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001-33089</w:t>
            </w: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80" w:type="dxa"/>
            <w:vAlign w:val="bottom"/>
          </w:tcPr>
          <w:p>
            <w:pPr>
              <w:jc w:val="center"/>
              <w:ind w:right="30"/>
              <w:spacing w:after="0"/>
              <w:rPr>
                <w:sz w:val="20"/>
                <w:szCs w:val="20"/>
                <w:color w:val="auto"/>
              </w:rPr>
            </w:pPr>
            <w:r>
              <w:rPr>
                <w:rFonts w:ascii="Arial" w:cs="Arial" w:eastAsia="Arial" w:hAnsi="Arial"/>
                <w:sz w:val="18"/>
                <w:szCs w:val="18"/>
                <w:color w:val="auto"/>
                <w:w w:val="91"/>
              </w:rPr>
              <w:t>(State or other jurisdiction</w:t>
            </w:r>
          </w:p>
        </w:tc>
        <w:tc>
          <w:tcPr>
            <w:tcW w:w="5400" w:type="dxa"/>
            <w:vAlign w:val="bottom"/>
          </w:tcPr>
          <w:p>
            <w:pPr>
              <w:jc w:val="center"/>
              <w:ind w:right="170"/>
              <w:spacing w:after="0"/>
              <w:rPr>
                <w:sz w:val="20"/>
                <w:szCs w:val="20"/>
                <w:color w:val="auto"/>
              </w:rPr>
            </w:pPr>
            <w:r>
              <w:rPr>
                <w:rFonts w:ascii="Arial" w:cs="Arial" w:eastAsia="Arial" w:hAnsi="Arial"/>
                <w:sz w:val="18"/>
                <w:szCs w:val="18"/>
                <w:color w:val="auto"/>
                <w:w w:val="92"/>
              </w:rPr>
              <w:t>(Commission File Number)</w:t>
            </w:r>
          </w:p>
        </w:tc>
        <w:tc>
          <w:tcPr>
            <w:tcW w:w="170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480" w:type="dxa"/>
            <w:vAlign w:val="bottom"/>
          </w:tcPr>
          <w:p>
            <w:pPr>
              <w:jc w:val="center"/>
              <w:ind w:right="30"/>
              <w:spacing w:after="0"/>
              <w:rPr>
                <w:sz w:val="20"/>
                <w:szCs w:val="20"/>
                <w:color w:val="auto"/>
              </w:rPr>
            </w:pPr>
            <w:r>
              <w:rPr>
                <w:rFonts w:ascii="Arial" w:cs="Arial" w:eastAsia="Arial" w:hAnsi="Arial"/>
                <w:sz w:val="18"/>
                <w:szCs w:val="18"/>
                <w:color w:val="auto"/>
                <w:w w:val="92"/>
              </w:rPr>
              <w:t>of incorporation or organization)</w:t>
            </w:r>
          </w:p>
        </w:tc>
        <w:tc>
          <w:tcPr>
            <w:tcW w:w="5400" w:type="dxa"/>
            <w:vAlign w:val="bottom"/>
          </w:tcPr>
          <w:p>
            <w:pPr>
              <w:spacing w:after="0"/>
              <w:rPr>
                <w:sz w:val="20"/>
                <w:szCs w:val="20"/>
                <w:color w:val="auto"/>
              </w:rPr>
            </w:pPr>
          </w:p>
        </w:tc>
        <w:tc>
          <w:tcPr>
            <w:tcW w:w="1700" w:type="dxa"/>
            <w:vAlign w:val="bottom"/>
          </w:tcPr>
          <w:p>
            <w:pPr>
              <w:ind w:left="36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248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320 Park Avenue, 29th Floor</w:t>
            </w:r>
          </w:p>
        </w:tc>
        <w:tc>
          <w:tcPr>
            <w:tcW w:w="170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5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New York, New York</w:t>
            </w: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8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jc w:val="center"/>
              <w:ind w:left="330"/>
              <w:spacing w:after="0"/>
              <w:rPr>
                <w:sz w:val="20"/>
                <w:szCs w:val="20"/>
                <w:color w:val="auto"/>
              </w:rPr>
            </w:pPr>
            <w:r>
              <w:rPr>
                <w:rFonts w:ascii="Arial" w:cs="Arial" w:eastAsia="Arial" w:hAnsi="Arial"/>
                <w:sz w:val="18"/>
                <w:szCs w:val="18"/>
                <w:color w:val="auto"/>
                <w:w w:val="93"/>
              </w:rPr>
              <w:t>(Zip code)</w:t>
            </w:r>
          </w:p>
        </w:tc>
      </w:tr>
      <w:tr>
        <w:trPr>
          <w:trHeight w:val="432"/>
        </w:trPr>
        <w:tc>
          <w:tcPr>
            <w:tcW w:w="2480" w:type="dxa"/>
            <w:vAlign w:val="bottom"/>
          </w:tcPr>
          <w:p>
            <w:pPr>
              <w:spacing w:after="0"/>
              <w:rPr>
                <w:sz w:val="24"/>
                <w:szCs w:val="24"/>
                <w:color w:val="auto"/>
              </w:rPr>
            </w:pPr>
          </w:p>
        </w:tc>
        <w:tc>
          <w:tcPr>
            <w:tcW w:w="540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700" w:type="dxa"/>
            <w:vAlign w:val="bottom"/>
          </w:tcPr>
          <w:p>
            <w:pPr>
              <w:spacing w:after="0"/>
              <w:rPr>
                <w:sz w:val="24"/>
                <w:szCs w:val="24"/>
                <w:color w:val="auto"/>
              </w:rPr>
            </w:pPr>
          </w:p>
        </w:tc>
      </w:tr>
      <w:tr>
        <w:trPr>
          <w:trHeight w:val="418"/>
        </w:trPr>
        <w:tc>
          <w:tcPr>
            <w:tcW w:w="2480" w:type="dxa"/>
            <w:vAlign w:val="bottom"/>
          </w:tcPr>
          <w:p>
            <w:pPr>
              <w:spacing w:after="0"/>
              <w:rPr>
                <w:sz w:val="24"/>
                <w:szCs w:val="24"/>
                <w:color w:val="auto"/>
              </w:rPr>
            </w:pPr>
          </w:p>
        </w:tc>
        <w:tc>
          <w:tcPr>
            <w:tcW w:w="5400" w:type="dxa"/>
            <w:vAlign w:val="bottom"/>
          </w:tcPr>
          <w:p>
            <w:pPr>
              <w:jc w:val="center"/>
              <w:ind w:right="150"/>
              <w:spacing w:after="0"/>
              <w:rPr>
                <w:sz w:val="20"/>
                <w:szCs w:val="20"/>
                <w:color w:val="auto"/>
              </w:rPr>
            </w:pPr>
            <w:r>
              <w:rPr>
                <w:rFonts w:ascii="Arial" w:cs="Arial" w:eastAsia="Arial" w:hAnsi="Arial"/>
                <w:sz w:val="18"/>
                <w:szCs w:val="18"/>
                <w:b w:val="1"/>
                <w:bCs w:val="1"/>
                <w:color w:val="auto"/>
              </w:rPr>
              <w:t>NOT APPLICABLE</w:t>
            </w:r>
          </w:p>
        </w:tc>
        <w:tc>
          <w:tcPr>
            <w:tcW w:w="1700" w:type="dxa"/>
            <w:vAlign w:val="bottom"/>
          </w:tcPr>
          <w:p>
            <w:pPr>
              <w:spacing w:after="0"/>
              <w:rPr>
                <w:sz w:val="24"/>
                <w:szCs w:val="24"/>
                <w:color w:val="auto"/>
              </w:rPr>
            </w:pPr>
          </w:p>
        </w:tc>
      </w:tr>
      <w:tr>
        <w:trPr>
          <w:trHeight w:val="230"/>
        </w:trPr>
        <w:tc>
          <w:tcPr>
            <w:tcW w:w="2480" w:type="dxa"/>
            <w:vAlign w:val="bottom"/>
          </w:tcPr>
          <w:p>
            <w:pPr>
              <w:spacing w:after="0"/>
              <w:rPr>
                <w:sz w:val="20"/>
                <w:szCs w:val="20"/>
                <w:color w:val="auto"/>
              </w:rPr>
            </w:pPr>
          </w:p>
        </w:tc>
        <w:tc>
          <w:tcPr>
            <w:tcW w:w="5400" w:type="dxa"/>
            <w:vAlign w:val="bottom"/>
          </w:tcPr>
          <w:p>
            <w:pPr>
              <w:jc w:val="center"/>
              <w:ind w:right="170"/>
              <w:spacing w:after="0"/>
              <w:rPr>
                <w:sz w:val="20"/>
                <w:szCs w:val="20"/>
                <w:color w:val="auto"/>
              </w:rPr>
            </w:pPr>
            <w:r>
              <w:rPr>
                <w:rFonts w:ascii="Arial" w:cs="Arial" w:eastAsia="Arial" w:hAnsi="Arial"/>
                <w:sz w:val="18"/>
                <w:szCs w:val="18"/>
                <w:color w:val="auto"/>
                <w:w w:val="89"/>
              </w:rPr>
              <w:t>(Former name or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4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EXLS</w:t>
            </w: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64"/>
        </w:trPr>
        <w:tc>
          <w:tcPr>
            <w:tcW w:w="38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tcPr>
          <w:p>
            <w:pPr>
              <w:spacing w:after="0"/>
              <w:rPr>
                <w:sz w:val="22"/>
                <w:szCs w:val="22"/>
                <w:color w:val="auto"/>
              </w:rPr>
            </w:pPr>
          </w:p>
        </w:tc>
      </w:tr>
      <w:tr>
        <w:trPr>
          <w:trHeight w:val="28"/>
        </w:trPr>
        <w:tc>
          <w:tcPr>
            <w:tcW w:w="38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459"/>
        </w:trPr>
        <w:tc>
          <w:tcPr>
            <w:tcW w:w="38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2" w:right="23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311"/>
        <w:spacing w:after="0" w:line="259" w:lineRule="auto"/>
        <w:rPr>
          <w:sz w:val="20"/>
          <w:szCs w:val="20"/>
          <w:color w:val="auto"/>
        </w:rPr>
      </w:pPr>
      <w:r>
        <w:rPr>
          <w:rFonts w:ascii="Arial" w:cs="Arial" w:eastAsia="Arial" w:hAnsi="Arial"/>
          <w:sz w:val="18"/>
          <w:szCs w:val="18"/>
          <w:color w:val="auto"/>
        </w:rPr>
        <w:t>On January 28, 2020, ExlService Holdings, Inc. (the “Company”) announced in a press release that the Company’s Board of Directors had appointed Maurizio Nicolelli, 51, as the Executive Vice President and Chief Financial Officer of the Company. Mr. Niolelli is expected to join effective February 3, 2020. Effective upon Mr. Nicolelli’s appointment, Pavan Bagai has resigned his role as interim Chief Financial Officer and will continue in his previous role as President and Chief Operating Officer.</w:t>
      </w:r>
    </w:p>
    <w:p>
      <w:pPr>
        <w:spacing w:after="0" w:line="187" w:lineRule="exact"/>
        <w:rPr>
          <w:sz w:val="20"/>
          <w:szCs w:val="20"/>
          <w:color w:val="auto"/>
        </w:rPr>
      </w:pPr>
    </w:p>
    <w:p>
      <w:pPr>
        <w:ind w:right="160" w:firstLine="311"/>
        <w:spacing w:after="0" w:line="259" w:lineRule="auto"/>
        <w:rPr>
          <w:sz w:val="20"/>
          <w:szCs w:val="20"/>
          <w:color w:val="auto"/>
        </w:rPr>
      </w:pPr>
      <w:r>
        <w:rPr>
          <w:rFonts w:ascii="Arial" w:cs="Arial" w:eastAsia="Arial" w:hAnsi="Arial"/>
          <w:sz w:val="18"/>
          <w:szCs w:val="18"/>
          <w:color w:val="auto"/>
        </w:rPr>
        <w:t>Prior to joining the Company, Mr. Nicolelli served as Senior Vice President and Chief Financial Officer of Casa Systems (NASDAQ: CASA) beginning in 2019. He previously served 23 years at FactSet Research Systems (NYSE: FDS), where he was Senior Vice President, Principal and Chief Financial Officer from 2009 to 2018, and had global responsibility for finance, accounting, tax, treasury and investor relations. He also led FDS’s M&amp;A efforts overseeing more than 20 acquisitions.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his appointment, Mr. Nicolelli and the Company entered into an employment agreement, under which Mr. Nicolelli’s annual base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salary will be $475,000 and his discretionary annual target cash bonus will be 75% of his base salary. Mr. Nicolelli will also receive a joining bonus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$225,000, payable in two installments, and an initial grant of restricted stock units of the Company’s common stock with a fair market value of $425,000,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will vest in four equal, annual installments beginning on the first anniversary of the grant date. In addition, Mr. Nicolelli will become eligible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equity awards, as determined by the Compensation Committee of the Company’s Board of Directors in its sole discretion, subject to performance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conditions. Mr. Nicolelli will be entitled to participate in the benefit plans and programs commensurate with his position that are provided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to its senior executives generally, which are more fully described in the Company’s proxy statement for the 2019 annual meeting of stockholders.</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copy of the press release announcing Mr. Nicolelli’s appointment is attached hereto as Exhibit 99.1 and is hereby incorporated by reference.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48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dated January 28, 2020.</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780" w:type="dxa"/>
            <w:vAlign w:val="bottom"/>
            <w:gridSpan w:val="2"/>
          </w:tcPr>
          <w:p>
            <w:pPr>
              <w:ind w:left="19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January 28, 2020</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640" w:type="dxa"/>
            <w:vAlign w:val="bottom"/>
          </w:tcPr>
          <w:p>
            <w:pPr>
              <w:spacing w:after="0"/>
              <w:rPr>
                <w:sz w:val="16"/>
                <w:szCs w:val="16"/>
                <w:color w:val="auto"/>
              </w:rPr>
            </w:pPr>
          </w:p>
        </w:tc>
        <w:tc>
          <w:tcPr>
            <w:tcW w:w="252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640" w:type="dxa"/>
            <w:vAlign w:val="bottom"/>
          </w:tcPr>
          <w:p>
            <w:pPr>
              <w:spacing w:after="0"/>
              <w:rPr>
                <w:sz w:val="20"/>
                <w:szCs w:val="20"/>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702"/>
        </w:trPr>
        <w:tc>
          <w:tcPr>
            <w:tcW w:w="36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EXL Appoints Maurizio Nicolelli as Executive Vice President and Chief Financial Officer</w:t>
      </w:r>
    </w:p>
    <w:p>
      <w:pPr>
        <w:spacing w:after="0" w:line="235"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New York, January 28, 2020 — </w:t>
      </w:r>
      <w:r>
        <w:rPr>
          <w:rFonts w:ascii="Arial" w:cs="Arial" w:eastAsia="Arial" w:hAnsi="Arial"/>
          <w:sz w:val="18"/>
          <w:szCs w:val="18"/>
          <w:color w:val="auto"/>
        </w:rPr>
        <w:t>EXL (NASDAQ: EXLS), a leading operations management and analytics company, today announced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Maurizio Nicolelli to the role of Executive Vice President and Chief Financial Officer effective February 3, 2020. Mr. Nicolelli will join EXL’s Executive Committee and will be based at EXL’s corporate headquarters in New York.</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Nicolelli’s most recent role was Senior Vice President and Chief Financial Officer of Casa Systems (NASDAQ: CASA), which he joined in 2019. Prior to that, he served 23 years at FactSet Research Systems (NYSE: FDS), where he was Senior Vice President, Principal and Chief Financial Officer from 2009 to 2018. During his tenure, FDS grew from $30 million in revenue to $1.4 billion. Mr. Nicolelli had global responsibility for finance, accounting, tax, treasury and investor relations while managing the Market Metrics division until the sale of the business in 2016. He was also an integral leader in FactSet’s M&amp;A efforts with more than 20 acquisitions during his tenure at the Company.</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Rohit Kapoor, Vice Chairman and CEO, EXL said, “I am delighted that Maurizio will be joining EXL to lead our finance function and he will be a valuable addition to our senior executive team. I am impressed with his tremendous financial, operational and leadership experience and I believe he is great fit for EXL. At FactSet, he led a strong finance team in a high-growth, technology enabled evolving global business which will benefit EXL as we continue our growth trajectory. His understanding of the critical role of finance in achieving our operational and financial goals will enrich our clients, employees and shareholders.“</w:t>
      </w:r>
    </w:p>
    <w:p>
      <w:pPr>
        <w:spacing w:after="0" w:line="18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 am excited to join EXL and look forward to collaborating across the organization to increase EXL’s profitability and grow shareholder value,” said Mr. Nicolelli. “I am impressed with EXL’s leadership team, its talented global workforce and financial strength. As clients continue to transform their business operations through technology and analytics, EXL is well positioned for sustainable long-term growth as we enter the new decade.”</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Nicolelli holds a Bachelor of Arts degree from Syracuse University and a Master’s of Business Administration degree from St. John’s University. He is a Certified Public Accountant.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Effective February 3, 2020, Pavan Bagai will resign his role as interim Chief Financial Officer, and will continue in his role as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EXL</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EXL (EXLS) is a leading operations management and analytics company that designs and enables agile, customer-centric operating models to help clients improve their revenue growth and profitability. Our delivery model provides market-leading business outcomes using EXL’s proprietary Digital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31,000 professionals in locations throughout the United States, Europe, Asia (primarily India and Philippines), South America, Australia and South Africa.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steven.barlow@exlservice.com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646-419-0778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michael.sherrill@exlservice.com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2020-01-28T07:02:22Z</dcterms:created>
  <dcterms:modified xsi:type="dcterms:W3CDTF">2020-01-28T07:02:22Z</dcterms:modified>
</cp:coreProperties>
</file>