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STAGLIN GAREN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361"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1"/>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gridSpan w:val="3"/>
          </w:tcPr>
          <w:p>
            <w:pPr>
              <w:ind w:left="240"/>
              <w:spacing w:after="0" w:line="195" w:lineRule="exact"/>
              <w:rPr>
                <w:sz w:val="20"/>
                <w:szCs w:val="20"/>
                <w:color w:val="auto"/>
              </w:rPr>
            </w:pPr>
            <w:r>
              <w:rPr>
                <w:rFonts w:ascii="Arial" w:cs="Arial" w:eastAsia="Arial" w:hAnsi="Arial"/>
                <w:sz w:val="18"/>
                <w:szCs w:val="18"/>
                <w:color w:val="0000FF"/>
              </w:rPr>
              <w:t>06/03/2014</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10017</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6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8"/>
                <w:szCs w:val="8"/>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color w:val="0000FF"/>
              </w:rPr>
              <w:t>40,016</w:t>
            </w:r>
            <w:r>
              <w:rPr>
                <w:rFonts w:ascii="Arial" w:cs="Arial" w:eastAsia="Arial" w:hAnsi="Arial"/>
                <w:sz w:val="22"/>
                <w:szCs w:val="22"/>
                <w:color w:val="008000"/>
                <w:vertAlign w:val="superscript"/>
              </w:rPr>
              <w:t>(3)</w:t>
            </w: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ind w:left="260"/>
              <w:spacing w:after="0" w:line="149" w:lineRule="exact"/>
              <w:rPr>
                <w:sz w:val="20"/>
                <w:szCs w:val="20"/>
                <w:color w:val="auto"/>
              </w:rPr>
            </w:pPr>
            <w:r>
              <w:rPr>
                <w:rFonts w:ascii="Arial" w:cs="Arial" w:eastAsia="Arial" w:hAnsi="Arial"/>
                <w:sz w:val="14"/>
                <w:szCs w:val="14"/>
                <w:color w:val="0000FF"/>
              </w:rPr>
              <w:t>05/31/2014</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tcPr>
          <w:p>
            <w:pPr>
              <w:ind w:left="200"/>
              <w:spacing w:after="0" w:line="149" w:lineRule="exact"/>
              <w:rPr>
                <w:sz w:val="20"/>
                <w:szCs w:val="20"/>
                <w:color w:val="auto"/>
              </w:rPr>
            </w:pPr>
            <w:r>
              <w:rPr>
                <w:rFonts w:ascii="Arial" w:cs="Arial" w:eastAsia="Arial" w:hAnsi="Arial"/>
                <w:sz w:val="14"/>
                <w:szCs w:val="14"/>
                <w:color w:val="0000FF"/>
              </w:rPr>
              <w:t>4,000</w:t>
            </w:r>
          </w:p>
        </w:tc>
        <w:tc>
          <w:tcPr>
            <w:tcW w:w="3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ind w:left="12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32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May 31, 2015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3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Form 4 filed on June 3, 2014 inadvertently understated the amount of restricted stock units directly held by the reporting person by 4,016, which amount was also not included in the subsequent Forms 4 filed by the reporting person.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The purpose of this Form 4/A is to amend the reporting person's original Form 4, as more particularly described in footnote 3 above. Mr. Oseni is the Company's Head of Administration and Accounts.</w:t>
      </w:r>
    </w:p>
    <w:p>
      <w:pPr>
        <w:ind w:left="6860"/>
        <w:spacing w:after="0" w:line="193" w:lineRule="auto"/>
        <w:rPr>
          <w:sz w:val="20"/>
          <w:szCs w:val="20"/>
          <w:color w:val="auto"/>
        </w:rPr>
      </w:pPr>
      <w:r>
        <w:rPr>
          <w:rFonts w:ascii="Arial" w:cs="Arial" w:eastAsia="Arial" w:hAnsi="Arial"/>
          <w:sz w:val="18"/>
          <w:szCs w:val="18"/>
          <w:color w:val="0000FF"/>
        </w:rPr>
        <w:t xml:space="preserve">/s/ Lazbart Oseni, Attorney-in-  </w:t>
      </w:r>
      <w:r>
        <w:rPr>
          <w:rFonts w:ascii="Arial" w:cs="Arial" w:eastAsia="Arial" w:hAnsi="Arial"/>
          <w:sz w:val="35"/>
          <w:szCs w:val="35"/>
          <w:color w:val="0000FF"/>
          <w:vertAlign w:val="subscript"/>
        </w:rPr>
        <w:t>06/22/2015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2019-12-08T12:25:24Z</dcterms:created>
  <dcterms:modified xsi:type="dcterms:W3CDTF">2019-12-08T12:25:24Z</dcterms:modified>
</cp:coreProperties>
</file>