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64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640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38"/>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1"/>
              <w:spacing w:after="0"/>
              <w:rPr>
                <w:sz w:val="20"/>
                <w:szCs w:val="20"/>
                <w:color w:val="auto"/>
              </w:rPr>
            </w:pPr>
            <w:r>
              <w:rPr>
                <w:rFonts w:ascii="Times New Roman" w:cs="Times New Roman" w:eastAsia="Times New Roman" w:hAnsi="Times New Roman"/>
                <w:sz w:val="17"/>
                <w:szCs w:val="17"/>
                <w:color w:val="0000FF"/>
              </w:rPr>
              <w:t>02/28/2026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33,525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1,322,214</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885,670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420,000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420,000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665,925</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201,095</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1"/>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33,525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02/28/2026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33,525</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67,050</w:t>
            </w: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2024, the reporting person was granted 134,100 restricted stock units, vesting in four equal annual installments beginning on the first anniversary of the grant date. 25 percent of the restricted stock units became vested on February 28, 2025, an additional 25 percent of the restricted stock units became vested on February 28, 2026, an additional 25 percent of the restricted stock units will vest on February 28, 2027, and the remaining balance of 25 percent of the restricted stock units will vest on February 28,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2026-03-03T16:42:49Z</dcterms:created>
  <dcterms:modified xsi:type="dcterms:W3CDTF">2026-03-03T16:42:49Z</dcterms:modified>
</cp:coreProperties>
</file>