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Sections 13 or 15(d) of</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October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449"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449"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October 30, 2013, ExlService Holdings, Inc. (the “Company”) reported its results of operations for the three months ended September 30, 2013. A copy of the press release issued by the Company concerning the foregoing is furnished herewith as Exhibit 99.1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30, 2013 (furnished pursuant to Item 2.02)</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900" w:val="left"/>
          <w:tab w:leader="none" w:pos="802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Vishal Chhibbar</w:t>
      </w:r>
    </w:p>
    <w:p>
      <w:pPr>
        <w:jc w:val="center"/>
        <w:ind w:left="630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30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Accounting Officer)</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30, 2013 (furnished pursuant to Item 2.02)</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0"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2013 THIRD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Revenues of $122.3 Million, Up 9% Year over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Earnings Per Share (EPS) of $0.48, Up 15% Year over Year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New York, NY – October 30, 2013 – ExlService Holdings, Inc. (NASDAQ: EXLS), a leading provider of outsourcing and transformation services, today announced its financial results for the third quarter of 2013.</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Rohit Kapoor, Vice Chairman and CEO, commented: “In the third quarter EXL showed acceleration across our businesses. In particular, transformation services reported 21% sequential revenue growth, fueled by robust growth in decision analytics. In addition, our platform technology businesses posted strong growth. Both decision analytics and platform technology are key investment areas, and we are pleased to see them generating strong returns.</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New business activity in last few months has been encouraging. We won new deals with four leading companies in the insurance and banking and financial services verticals. We also added significant expansions with two key existing clients in our insurance and travel verticals. Tempering the prospects of positive new business activity is uncertainty around future volumes and terms with a material client.”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Vishal Chhibbar, CFO, commented: “EXL generated third quarter revenues of $122.3 million, up 9% year over year and 5% sequentially. Year over year revenue growth was driven by 8% growth in outsourcing services and 10% growth in transformation services. Excluding previously announced client transitions, constant currency revenues grew 16% year over year and 8% sequentially. Third quarter adjusted diluted earnings per share were a record $0.48, up 15% year over year, driven by revenue growth and gross margin improvement.</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2013, we are tightening our revenue guidance to $473 million to $478 million, due to the depreciation in the rupee and our year to date results. Adjusted for constant currency, the midpoint of our revenue guidance is unchanged. We are also tightening our adjusted diluted EPS guidance to $1.72 to $1.77 to account for our strong third quarter results and current visibility.”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Third Quarter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right="14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September 30, 2013 were $122.3 million compared to $112.6 million for the quarter ended September 30, 2012 and $116.0 million for the quarter ended June 30, 2013. Outsourcing services revenues for the quarter ended September 30, 2013 were $99.7 million compared to $92.0 million for the quarter ended September 30, 2012 and $97.3 million for the quarter ended June 30, 2013. Transformation services revenues for the quarter ended September 30, 2013 were $22.6 million compared to $20.7 million for the quarter ended September 30, 2012 and $18.7 million for the quarter ended June 30, 2013.</w:t>
      </w:r>
    </w:p>
    <w:p>
      <w:pPr>
        <w:spacing w:after="0" w:line="93" w:lineRule="exact"/>
        <w:rPr>
          <w:rFonts w:ascii="Arial" w:cs="Arial" w:eastAsia="Arial" w:hAnsi="Arial"/>
          <w:sz w:val="18"/>
          <w:szCs w:val="18"/>
          <w:color w:val="auto"/>
        </w:rPr>
      </w:pPr>
    </w:p>
    <w:p>
      <w:pPr>
        <w:jc w:val="both"/>
        <w:ind w:left="900" w:right="2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September 30, 2013 was 41.1% compared to 39.1% for the quarter ended September 30, 2012 and 36.3% for the quarter ended June 30, 2013. Outsourcing services gross margin for the quarter ended September 30, 2013 was 43.3% compared to 39.5% for the quarter ended September 30, 2012 and 38.9% for the quarter ended June 30, 2013. Transformation services gross margin for the quarter ended September 30, 2013 was 31.5% compared to 37.1% for the quarter ended September 30, 2012 and 22.7% for the quarter ended June 30, 2013.</w:t>
      </w:r>
    </w:p>
    <w:p>
      <w:pPr>
        <w:spacing w:after="0" w:line="59" w:lineRule="exact"/>
        <w:rPr>
          <w:rFonts w:ascii="Arial" w:cs="Arial" w:eastAsia="Arial" w:hAnsi="Arial"/>
          <w:sz w:val="16"/>
          <w:szCs w:val="16"/>
          <w:color w:val="auto"/>
        </w:rPr>
      </w:pPr>
    </w:p>
    <w:p>
      <w:pPr>
        <w:jc w:val="both"/>
        <w:ind w:left="900" w:right="8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2013 was 16.0% compared to 15.0% for the quarter ended September 30, 2012 and 11.1% for the quarter ended June 30, 2013. Adjusted operating margin for the quarter ended September 30, 2013 was 19.6% compared to 17.8% for the quarter ended September 30, 2012 and 14.9% for the quarter ended June 30, 2013.</w:t>
      </w:r>
    </w:p>
    <w:p>
      <w:pPr>
        <w:spacing w:after="0" w:line="86" w:lineRule="exact"/>
        <w:rPr>
          <w:rFonts w:ascii="Arial" w:cs="Arial" w:eastAsia="Arial" w:hAnsi="Arial"/>
          <w:sz w:val="18"/>
          <w:szCs w:val="18"/>
          <w:color w:val="auto"/>
        </w:rPr>
      </w:pPr>
    </w:p>
    <w:p>
      <w:pPr>
        <w:ind w:left="900" w:right="2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for the quarter ended September 30, 2013 was $13.2 million compared to $11.7 million for the quarter ended September 30, 2012 and $9.2 million for the quarter ended June 30, 2013. Adjusted EBITDA for the quarter ended September 30, 2013 was $28.4 million compared to $25.1 million for the quarter ended September 30, 2012 and $22.0 million for the quarter ended June 30, 2013.</w:t>
      </w:r>
    </w:p>
    <w:p>
      <w:pPr>
        <w:spacing w:after="0" w:line="70" w:lineRule="exact"/>
        <w:rPr>
          <w:rFonts w:ascii="Arial" w:cs="Arial" w:eastAsia="Arial" w:hAnsi="Arial"/>
          <w:sz w:val="17"/>
          <w:szCs w:val="17"/>
          <w:color w:val="auto"/>
        </w:rPr>
      </w:pPr>
    </w:p>
    <w:p>
      <w:pPr>
        <w:jc w:val="both"/>
        <w:ind w:left="9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for the quarter ended September 30, 2013 were $0.39 compared to $0.35 for the quarter ended September 30, 2012 and $0.27 for the quarter ended June 30, 2013. Adjusted diluted earnings per share for the quarter ended September 30, 2013 were $0.48 compared to $0.42 for the quarter ended September 30, 2012 and $0.37 for the quarter ended June 30,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eight new clients during the quarter, including four outsourcing clients and four transformation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a contract to implement and manage LifePRO® Version 17 with a leading provider of supplemental health and life insurance.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multiple new strategic partnerships with leading software and services providers including:</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Joint marketing agreement with Ariba, a SAP company, to provide procure-to-pay services.</w:t>
      </w:r>
    </w:p>
    <w:p>
      <w:pPr>
        <w:spacing w:after="0" w:line="130" w:lineRule="exact"/>
        <w:rPr>
          <w:rFonts w:ascii="Arial" w:cs="Arial" w:eastAsia="Arial" w:hAnsi="Arial"/>
          <w:sz w:val="18"/>
          <w:szCs w:val="18"/>
          <w:color w:val="auto"/>
        </w:rPr>
      </w:pPr>
    </w:p>
    <w:p>
      <w:pPr>
        <w:ind w:left="1920" w:right="620" w:hanging="318"/>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Agreement with SunGard to distribute comprehensive receivables management services globally leveraging the AvantGard GETPAID technology platform for order-to-cash management.</w:t>
      </w:r>
    </w:p>
    <w:p>
      <w:pPr>
        <w:spacing w:after="0" w:line="75" w:lineRule="exact"/>
        <w:rPr>
          <w:rFonts w:ascii="Arial" w:cs="Arial" w:eastAsia="Arial" w:hAnsi="Arial"/>
          <w:sz w:val="18"/>
          <w:szCs w:val="18"/>
          <w:color w:val="auto"/>
        </w:rPr>
      </w:pPr>
    </w:p>
    <w:p>
      <w:pPr>
        <w:ind w:left="1920" w:right="300" w:hanging="318"/>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Strategic relationship agreement with Urban Lending Solutions to provide dual-shore business process management, operations consulting, and analytics solutions to the U.S. mortgage industry.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44 new processes in the third quarter of 2013.</w:t>
      </w:r>
    </w:p>
    <w:p>
      <w:pPr>
        <w:spacing w:after="0" w:line="130"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Released Version 17 of LifePRO®, EXL’s leading policy administration system for life and health insurance and annuities, with more than 50 business and technology enhancements to streamline processing, expand new product functionality and provide more flexible access to data.</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Recorded headcount as of September 30, 2013 to 21,372, compared to 20,095 as of September 30, 2012 and 21,556 as of June 30, 2013.</w:t>
      </w:r>
    </w:p>
    <w:p>
      <w:pPr>
        <w:spacing w:after="0" w:line="142"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September 30, 2013 of 25.4%, compared with 28.5% for the quarter ended September 30, 2012 and 26.8% for the quarter ended June 30, 2013.</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2013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2013, the company is tightening its revenue and adjusted earnings per share guidance to:</w:t>
      </w:r>
    </w:p>
    <w:p>
      <w:pPr>
        <w:spacing w:after="0" w:line="131" w:lineRule="exact"/>
        <w:rPr>
          <w:sz w:val="20"/>
          <w:szCs w:val="20"/>
          <w:color w:val="auto"/>
        </w:rPr>
      </w:pPr>
    </w:p>
    <w:p>
      <w:pPr>
        <w:ind w:left="900" w:right="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of $473 million to $478 million, due to the depreciation in the rupee and our year to date results. Our revenue guidance is based on a rupee to dollar exchange rate of 61 for the fourth quarter. Adjusted for constant currency, the midpoint of our revenue guidance is unchanged.</w:t>
      </w:r>
    </w:p>
    <w:p>
      <w:pPr>
        <w:spacing w:after="0" w:line="29"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$1.72 to $1.77, to account for our strong third quarter results and current visibility.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121"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Wednesday, October 30, 2013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auto"/>
        </w:rPr>
        <w:t>ir.exlservice.com</w:t>
      </w:r>
      <w:r>
        <w:rPr>
          <w:rFonts w:ascii="Arial" w:cs="Arial" w:eastAsia="Arial" w:hAnsi="Arial"/>
          <w:sz w:val="18"/>
          <w:szCs w:val="18"/>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2012.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72,049</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68,650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218,892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50,266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135,437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123,910</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15,791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8,993</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27,884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5,969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19,513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10,842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32,907,281</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32,154,001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32,737,267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31,857,909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33,955,445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33,283,854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33,859,525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33,055,857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(Recasted)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132,393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6,154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74,054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6,353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237,647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206,104</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31,690</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13,978</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35,621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107,058</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17,348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446,768</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5,395</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25,894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32,484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67,099</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86,962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100,000,000 shares authorized, 33,249,047 shares issued and 32,899,767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September 30, 2013 and 32,540,082 shares issued and 32,203,820 shares outstanding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2012</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209,344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221,120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(67,278)</w:t>
            </w: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363,219</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w w:val="94"/>
              </w:rPr>
              <w:t>Less: 349,280 shares as of September 30, 2013 and 336,262 shares as of December 31, 2012, held in treasury, at cost</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359,806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359,806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344,517</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446,768</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the Company’s ability to generate cash flow.</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months ended September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for the three months ended June 30, 2013:</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5"/>
              </w:rPr>
              <w:t>Sep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$13,240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$11,703</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add: Income tax provision and other income/(expense)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$19,513</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$16,870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12,827</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600" w:type="dxa"/>
            <w:vAlign w:val="bottom"/>
          </w:tcPr>
          <w:p>
            <w:pPr>
              <w:jc w:val="right"/>
              <w:spacing w:after="0"/>
              <w:rPr>
                <w:sz w:val="20"/>
                <w:szCs w:val="20"/>
                <w:color w:val="auto"/>
              </w:rPr>
            </w:pPr>
            <w:r>
              <w:rPr>
                <w:rFonts w:ascii="Arial" w:cs="Arial" w:eastAsia="Arial" w:hAnsi="Arial"/>
                <w:sz w:val="18"/>
                <w:szCs w:val="18"/>
                <w:color w:val="auto"/>
              </w:rPr>
              <w:t>2,967</w:t>
            </w:r>
          </w:p>
        </w:tc>
        <w:tc>
          <w:tcPr>
            <w:tcW w:w="160" w:type="dxa"/>
            <w:vAlign w:val="bottom"/>
          </w:tcPr>
          <w:p>
            <w:pPr>
              <w:spacing w:after="0"/>
              <w:rPr>
                <w:sz w:val="18"/>
                <w:szCs w:val="18"/>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1,871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24,014</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20,065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19.6%</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17.8%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14.9%</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add: Depreciation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28,449</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25,074</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22,049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i w:val="1"/>
                <w:iCs w:val="1"/>
                <w:color w:val="auto"/>
              </w:rPr>
              <w:t>23.3%</w:t>
            </w:r>
          </w:p>
        </w:tc>
        <w:tc>
          <w:tcPr>
            <w:tcW w:w="6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22.3%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19.0%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9" w:name="page10"/>
    <w:bookmarkEnd w:id="9"/>
    <w:p>
      <w:pPr>
        <w:jc w:val="center"/>
        <w:ind w:right="-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(Amounts in thousands, except per share data)</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9"/>
              </w:rPr>
              <w:t>Sep 30,</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13,240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11,703</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1,871</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(1,093)</w:t>
            </w:r>
          </w:p>
        </w:tc>
      </w:tr>
      <w:tr>
        <w:trPr>
          <w:trHeight w:val="202"/>
        </w:trPr>
        <w:tc>
          <w:tcPr>
            <w:tcW w:w="5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subtract: Tax impact on amortization of acquisition-related</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16,440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13,966</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12,416</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0.37</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sectPr>
      <w:pgSz w:w="11900" w:h="16838" w:orient="portrait"/>
      <w:cols w:equalWidth="0" w:num="1">
        <w:col w:w="10500"/>
      </w:cols>
      <w:pgMar w:left="240" w:top="270"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2019-12-07T08:14:00Z</dcterms:created>
  <dcterms:modified xsi:type="dcterms:W3CDTF">2019-12-07T08:14:00Z</dcterms:modified>
</cp:coreProperties>
</file>