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133350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100330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8"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rPr>
          <w:sz w:val="20"/>
          <w:szCs w:val="20"/>
          <w:color w:val="auto"/>
        </w:rPr>
      </w:pPr>
      <w:r>
        <w:rPr>
          <w:rFonts w:ascii="Arial" w:cs="Arial" w:eastAsia="Arial" w:hAnsi="Arial"/>
          <w:sz w:val="15"/>
          <w:szCs w:val="15"/>
          <w:b w:val="1"/>
          <w:bCs w:val="1"/>
          <w:color w:val="auto"/>
        </w:rPr>
        <w:t>(Mark One)</w:t>
      </w:r>
    </w:p>
    <w:p>
      <w:pPr>
        <w:spacing w:after="0" w:line="115" w:lineRule="exact"/>
        <w:rPr>
          <w:sz w:val="24"/>
          <w:szCs w:val="24"/>
          <w:color w:val="auto"/>
        </w:rPr>
      </w:pPr>
    </w:p>
    <w:p>
      <w:pPr>
        <w:ind w:left="300" w:hanging="280"/>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05"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FOR THE FISCAL YEAR ENDED DECEMBER 31, 2022</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OR</w:t>
      </w:r>
    </w:p>
    <w:p>
      <w:pPr>
        <w:spacing w:after="0" w:line="31" w:lineRule="exact"/>
        <w:rPr>
          <w:sz w:val="24"/>
          <w:szCs w:val="24"/>
          <w:color w:val="auto"/>
        </w:rPr>
      </w:pPr>
    </w:p>
    <w:p>
      <w:pPr>
        <w:ind w:left="300" w:hanging="280"/>
        <w:spacing w:after="0"/>
        <w:tabs>
          <w:tab w:leader="none" w:pos="3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0" w:lineRule="exact"/>
        <w:rPr>
          <w:sz w:val="24"/>
          <w:szCs w:val="24"/>
          <w:color w:val="auto"/>
        </w:rPr>
      </w:pPr>
    </w:p>
    <w:p>
      <w:pPr>
        <w:ind w:left="3260"/>
        <w:spacing w:after="0"/>
        <w:tabs>
          <w:tab w:leader="none" w:pos="69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117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COMMISSION FILE NUMBER 001-33089</w:t>
      </w:r>
    </w:p>
    <w:p>
      <w:pPr>
        <w:spacing w:after="0" w:line="11"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EXLSERVICE HOLDINGS, INC.</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(Exact name of registrant as specified in its charter)</w:t>
      </w: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__________________________________________________________</w:t>
      </w:r>
    </w:p>
    <w:p>
      <w:pPr>
        <w:spacing w:after="0" w:line="98" w:lineRule="exact"/>
        <w:rPr>
          <w:sz w:val="24"/>
          <w:szCs w:val="24"/>
          <w:color w:val="auto"/>
        </w:rPr>
      </w:pPr>
    </w:p>
    <w:tbl>
      <w:tblPr>
        <w:tblLayout w:type="fixed"/>
        <w:tblInd w:w="330" w:type="dxa"/>
        <w:tblCellMar>
          <w:top w:w="0" w:type="dxa"/>
          <w:left w:w="0" w:type="dxa"/>
          <w:bottom w:w="0" w:type="dxa"/>
          <w:right w:w="0" w:type="dxa"/>
        </w:tblCellMar>
      </w:tblPr>
      <w:tr>
        <w:trPr>
          <w:trHeight w:val="198"/>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40" w:type="dxa"/>
            <w:vAlign w:val="bottom"/>
            <w:gridSpan w:val="2"/>
          </w:tcPr>
          <w:p>
            <w:pPr>
              <w:jc w:val="center"/>
              <w:ind w:right="1340"/>
              <w:spacing w:after="0"/>
              <w:rPr>
                <w:sz w:val="20"/>
                <w:szCs w:val="20"/>
                <w:color w:val="auto"/>
              </w:rPr>
            </w:pPr>
            <w:r>
              <w:rPr>
                <w:rFonts w:ascii="Arial" w:cs="Arial" w:eastAsia="Arial" w:hAnsi="Arial"/>
                <w:sz w:val="15"/>
                <w:szCs w:val="15"/>
                <w:b w:val="1"/>
                <w:bCs w:val="1"/>
                <w:color w:val="auto"/>
                <w:w w:val="97"/>
              </w:rPr>
              <w:t>Delaware</w:t>
            </w: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2"/>
          </w:tcPr>
          <w:p>
            <w:pPr>
              <w:jc w:val="right"/>
              <w:ind w:right="1988"/>
              <w:spacing w:after="0"/>
              <w:rPr>
                <w:sz w:val="20"/>
                <w:szCs w:val="20"/>
                <w:color w:val="auto"/>
              </w:rPr>
            </w:pPr>
            <w:r>
              <w:rPr>
                <w:rFonts w:ascii="Arial" w:cs="Arial" w:eastAsia="Arial" w:hAnsi="Arial"/>
                <w:sz w:val="15"/>
                <w:szCs w:val="15"/>
                <w:b w:val="1"/>
                <w:bCs w:val="1"/>
                <w:color w:val="auto"/>
              </w:rPr>
              <w:t>82-0572194</w:t>
            </w:r>
          </w:p>
        </w:tc>
        <w:tc>
          <w:tcPr>
            <w:tcW w:w="620" w:type="dxa"/>
            <w:vAlign w:val="bottom"/>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330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9"/>
              </w:rPr>
              <w:t>(State or other jurisdiction of</w:t>
            </w: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2" w:lineRule="exact"/>
              <w:rPr>
                <w:sz w:val="20"/>
                <w:szCs w:val="20"/>
                <w:color w:val="auto"/>
              </w:rPr>
            </w:pPr>
            <w:r>
              <w:rPr>
                <w:rFonts w:ascii="Arial" w:cs="Arial" w:eastAsia="Arial" w:hAnsi="Arial"/>
                <w:sz w:val="14"/>
                <w:szCs w:val="14"/>
                <w:b w:val="1"/>
                <w:bCs w:val="1"/>
                <w:color w:val="auto"/>
                <w:w w:val="93"/>
              </w:rPr>
              <w:t>(I.R.S. Employer</w:t>
            </w:r>
          </w:p>
        </w:tc>
      </w:tr>
      <w:tr>
        <w:trPr>
          <w:trHeight w:val="178"/>
        </w:trPr>
        <w:tc>
          <w:tcPr>
            <w:tcW w:w="1340" w:type="dxa"/>
            <w:vAlign w:val="bottom"/>
          </w:tcPr>
          <w:p>
            <w:pPr>
              <w:spacing w:after="0"/>
              <w:rPr>
                <w:sz w:val="15"/>
                <w:szCs w:val="15"/>
                <w:color w:val="auto"/>
              </w:rPr>
            </w:pPr>
          </w:p>
        </w:tc>
        <w:tc>
          <w:tcPr>
            <w:tcW w:w="3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incorporation or organization)</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3"/>
          </w:tcPr>
          <w:p>
            <w:pPr>
              <w:jc w:val="center"/>
              <w:ind w:right="2440"/>
              <w:spacing w:after="0"/>
              <w:rPr>
                <w:sz w:val="20"/>
                <w:szCs w:val="20"/>
                <w:color w:val="auto"/>
              </w:rPr>
            </w:pPr>
            <w:r>
              <w:rPr>
                <w:rFonts w:ascii="Arial" w:cs="Arial" w:eastAsia="Arial" w:hAnsi="Arial"/>
                <w:sz w:val="14"/>
                <w:szCs w:val="14"/>
                <w:b w:val="1"/>
                <w:bCs w:val="1"/>
                <w:color w:val="auto"/>
                <w:w w:val="91"/>
              </w:rPr>
              <w:t>Identification No.)</w:t>
            </w:r>
          </w:p>
        </w:tc>
      </w:tr>
      <w:tr>
        <w:trPr>
          <w:trHeight w:val="268"/>
        </w:trPr>
        <w:tc>
          <w:tcPr>
            <w:tcW w:w="1340" w:type="dxa"/>
            <w:vAlign w:val="bottom"/>
          </w:tcPr>
          <w:p>
            <w:pPr>
              <w:spacing w:after="0"/>
              <w:rPr>
                <w:sz w:val="23"/>
                <w:szCs w:val="23"/>
                <w:color w:val="auto"/>
              </w:rPr>
            </w:pPr>
          </w:p>
        </w:tc>
        <w:tc>
          <w:tcPr>
            <w:tcW w:w="330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1"/>
              </w:rPr>
              <w:t>320 Park Avenue, 29</w:t>
            </w:r>
            <w:r>
              <w:rPr>
                <w:rFonts w:ascii="Arial" w:cs="Arial" w:eastAsia="Arial" w:hAnsi="Arial"/>
                <w:sz w:val="20"/>
                <w:szCs w:val="20"/>
                <w:b w:val="1"/>
                <w:bCs w:val="1"/>
                <w:color w:val="auto"/>
                <w:w w:val="91"/>
                <w:vertAlign w:val="superscript"/>
              </w:rPr>
              <w:t>th</w:t>
            </w:r>
            <w:r>
              <w:rPr>
                <w:rFonts w:ascii="Arial" w:cs="Arial" w:eastAsia="Arial" w:hAnsi="Arial"/>
                <w:sz w:val="15"/>
                <w:szCs w:val="15"/>
                <w:b w:val="1"/>
                <w:bCs w:val="1"/>
                <w:color w:val="auto"/>
                <w:w w:val="91"/>
              </w:rPr>
              <w:t xml:space="preserve"> Floor,</w:t>
            </w:r>
          </w:p>
        </w:tc>
        <w:tc>
          <w:tcPr>
            <w:tcW w:w="1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98"/>
        </w:trPr>
        <w:tc>
          <w:tcPr>
            <w:tcW w:w="1340" w:type="dxa"/>
            <w:vAlign w:val="bottom"/>
          </w:tcPr>
          <w:p>
            <w:pPr>
              <w:spacing w:after="0"/>
              <w:rPr>
                <w:sz w:val="17"/>
                <w:szCs w:val="17"/>
                <w:color w:val="auto"/>
              </w:rPr>
            </w:pPr>
          </w:p>
        </w:tc>
        <w:tc>
          <w:tcPr>
            <w:tcW w:w="3300" w:type="dxa"/>
            <w:vAlign w:val="bottom"/>
            <w:gridSpan w:val="3"/>
          </w:tcPr>
          <w:p>
            <w:pPr>
              <w:ind w:left="1080"/>
              <w:spacing w:after="0"/>
              <w:rPr>
                <w:sz w:val="20"/>
                <w:szCs w:val="20"/>
                <w:color w:val="auto"/>
              </w:rPr>
            </w:pPr>
            <w:r>
              <w:rPr>
                <w:rFonts w:ascii="Arial" w:cs="Arial" w:eastAsia="Arial" w:hAnsi="Arial"/>
                <w:sz w:val="15"/>
                <w:szCs w:val="15"/>
                <w:b w:val="1"/>
                <w:bCs w:val="1"/>
                <w:color w:val="auto"/>
              </w:rPr>
              <w:t>New York, New York</w:t>
            </w: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2"/>
          </w:tcPr>
          <w:p>
            <w:pPr>
              <w:jc w:val="right"/>
              <w:ind w:right="2168"/>
              <w:spacing w:after="0"/>
              <w:rPr>
                <w:sz w:val="20"/>
                <w:szCs w:val="20"/>
                <w:color w:val="auto"/>
              </w:rPr>
            </w:pPr>
            <w:r>
              <w:rPr>
                <w:rFonts w:ascii="Arial" w:cs="Arial" w:eastAsia="Arial" w:hAnsi="Arial"/>
                <w:sz w:val="15"/>
                <w:szCs w:val="15"/>
                <w:b w:val="1"/>
                <w:bCs w:val="1"/>
                <w:color w:val="auto"/>
              </w:rPr>
              <w:t>10022</w:t>
            </w:r>
          </w:p>
        </w:tc>
        <w:tc>
          <w:tcPr>
            <w:tcW w:w="620" w:type="dxa"/>
            <w:vAlign w:val="bottom"/>
          </w:tcPr>
          <w:p>
            <w:pPr>
              <w:spacing w:after="0"/>
              <w:rPr>
                <w:sz w:val="17"/>
                <w:szCs w:val="17"/>
                <w:color w:val="auto"/>
              </w:rPr>
            </w:pPr>
          </w:p>
        </w:tc>
      </w:tr>
      <w:tr>
        <w:trPr>
          <w:trHeight w:val="178"/>
        </w:trPr>
        <w:tc>
          <w:tcPr>
            <w:tcW w:w="1340" w:type="dxa"/>
            <w:vAlign w:val="bottom"/>
          </w:tcPr>
          <w:p>
            <w:pPr>
              <w:spacing w:after="0"/>
              <w:rPr>
                <w:sz w:val="15"/>
                <w:szCs w:val="15"/>
                <w:color w:val="auto"/>
              </w:rPr>
            </w:pPr>
          </w:p>
        </w:tc>
        <w:tc>
          <w:tcPr>
            <w:tcW w:w="3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60" w:type="dxa"/>
            <w:vAlign w:val="bottom"/>
            <w:gridSpan w:val="2"/>
          </w:tcPr>
          <w:p>
            <w:pPr>
              <w:jc w:val="center"/>
              <w:ind w:right="2760"/>
              <w:spacing w:after="0"/>
              <w:rPr>
                <w:sz w:val="20"/>
                <w:szCs w:val="20"/>
                <w:color w:val="auto"/>
              </w:rPr>
            </w:pPr>
            <w:r>
              <w:rPr>
                <w:rFonts w:ascii="Arial" w:cs="Arial" w:eastAsia="Arial" w:hAnsi="Arial"/>
                <w:sz w:val="14"/>
                <w:szCs w:val="14"/>
                <w:b w:val="1"/>
                <w:bCs w:val="1"/>
                <w:color w:val="auto"/>
                <w:w w:val="89"/>
              </w:rPr>
              <w:t>(Zip code)</w:t>
            </w:r>
          </w:p>
        </w:tc>
      </w:tr>
      <w:tr>
        <w:trPr>
          <w:trHeight w:val="5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jc w:val="center"/>
              <w:ind w:left="46"/>
              <w:spacing w:after="0"/>
              <w:rPr>
                <w:sz w:val="20"/>
                <w:szCs w:val="20"/>
                <w:color w:val="auto"/>
              </w:rPr>
            </w:pPr>
            <w:r>
              <w:rPr>
                <w:rFonts w:ascii="Arial" w:cs="Arial" w:eastAsia="Arial" w:hAnsi="Arial"/>
                <w:sz w:val="15"/>
                <w:szCs w:val="15"/>
                <w:b w:val="1"/>
                <w:bCs w:val="1"/>
                <w:color w:val="auto"/>
                <w:w w:val="93"/>
              </w:rPr>
              <w:t>(212) 277-7100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0"/>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5"/>
          </w:tcPr>
          <w:p>
            <w:pPr>
              <w:jc w:val="center"/>
              <w:ind w:left="1106"/>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3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89"/>
        </w:trPr>
        <w:tc>
          <w:tcPr>
            <w:tcW w:w="1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gridSpan w:val="3"/>
          </w:tcPr>
          <w:p>
            <w:pPr>
              <w:spacing w:after="0"/>
              <w:rPr>
                <w:sz w:val="7"/>
                <w:szCs w:val="7"/>
                <w:color w:val="auto"/>
              </w:rPr>
            </w:pPr>
          </w:p>
        </w:tc>
        <w:tc>
          <w:tcPr>
            <w:tcW w:w="1420" w:type="dxa"/>
            <w:vAlign w:val="bottom"/>
            <w:tcBorders>
              <w:bottom w:val="single" w:sz="8" w:color="auto"/>
            </w:tcBorders>
            <w:gridSpan w:val="3"/>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197"/>
        </w:trPr>
        <w:tc>
          <w:tcPr>
            <w:tcW w:w="134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8"/>
          </w:tcPr>
          <w:p>
            <w:pPr>
              <w:jc w:val="center"/>
              <w:ind w:right="2500"/>
              <w:spacing w:after="0"/>
              <w:rPr>
                <w:sz w:val="20"/>
                <w:szCs w:val="20"/>
                <w:color w:val="auto"/>
              </w:rPr>
            </w:pPr>
            <w:r>
              <w:rPr>
                <w:rFonts w:ascii="Arial" w:cs="Arial" w:eastAsia="Arial" w:hAnsi="Arial"/>
                <w:sz w:val="15"/>
                <w:szCs w:val="15"/>
                <w:b w:val="1"/>
                <w:bCs w:val="1"/>
                <w:color w:val="auto"/>
                <w:w w:val="91"/>
              </w:rPr>
              <w:t>Securities registered pursuant to Section 12(b) of the Act:</w:t>
            </w:r>
          </w:p>
        </w:tc>
      </w:tr>
      <w:tr>
        <w:trPr>
          <w:trHeight w:val="170"/>
        </w:trPr>
        <w:tc>
          <w:tcPr>
            <w:tcW w:w="1340" w:type="dxa"/>
            <w:vAlign w:val="bottom"/>
            <w:tcBorders>
              <w:left w:val="single" w:sz="8" w:color="auto"/>
            </w:tcBorders>
          </w:tcPr>
          <w:p>
            <w:pPr>
              <w:spacing w:after="0"/>
              <w:rPr>
                <w:sz w:val="14"/>
                <w:szCs w:val="14"/>
                <w:color w:val="auto"/>
              </w:rPr>
            </w:pPr>
          </w:p>
        </w:tc>
        <w:tc>
          <w:tcPr>
            <w:tcW w:w="2500" w:type="dxa"/>
            <w:vAlign w:val="bottom"/>
            <w:tcBorders>
              <w:right w:val="single" w:sz="8" w:color="auto"/>
            </w:tcBorders>
            <w:gridSpan w:val="2"/>
          </w:tcPr>
          <w:p>
            <w:pPr>
              <w:jc w:val="center"/>
              <w:ind w:right="1266"/>
              <w:spacing w:after="0" w:line="135" w:lineRule="exact"/>
              <w:rPr>
                <w:sz w:val="20"/>
                <w:szCs w:val="20"/>
                <w:color w:val="auto"/>
              </w:rPr>
            </w:pPr>
            <w:r>
              <w:rPr>
                <w:rFonts w:ascii="Arial" w:cs="Arial" w:eastAsia="Arial" w:hAnsi="Arial"/>
                <w:sz w:val="14"/>
                <w:szCs w:val="14"/>
                <w:b w:val="1"/>
                <w:bCs w:val="1"/>
                <w:color w:val="auto"/>
                <w:w w:val="89"/>
              </w:rPr>
              <w:t>Title of Each Class:</w:t>
            </w:r>
          </w:p>
        </w:tc>
        <w:tc>
          <w:tcPr>
            <w:tcW w:w="800" w:type="dxa"/>
            <w:vAlign w:val="bottom"/>
          </w:tcPr>
          <w:p>
            <w:pPr>
              <w:spacing w:after="0"/>
              <w:rPr>
                <w:sz w:val="14"/>
                <w:szCs w:val="14"/>
                <w:color w:val="auto"/>
              </w:rPr>
            </w:pPr>
          </w:p>
        </w:tc>
        <w:tc>
          <w:tcPr>
            <w:tcW w:w="2020" w:type="dxa"/>
            <w:vAlign w:val="bottom"/>
            <w:tcBorders>
              <w:right w:val="single" w:sz="8" w:color="auto"/>
            </w:tcBorders>
            <w:gridSpan w:val="2"/>
          </w:tcPr>
          <w:p>
            <w:pPr>
              <w:jc w:val="center"/>
              <w:ind w:right="820"/>
              <w:spacing w:after="0" w:line="135" w:lineRule="exact"/>
              <w:rPr>
                <w:sz w:val="20"/>
                <w:szCs w:val="20"/>
                <w:color w:val="auto"/>
              </w:rPr>
            </w:pPr>
            <w:r>
              <w:rPr>
                <w:rFonts w:ascii="Arial" w:cs="Arial" w:eastAsia="Arial" w:hAnsi="Arial"/>
                <w:sz w:val="15"/>
                <w:szCs w:val="15"/>
                <w:b w:val="1"/>
                <w:bCs w:val="1"/>
                <w:color w:val="auto"/>
                <w:w w:val="92"/>
              </w:rPr>
              <w:t>Trading symbol(s)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60" w:type="dxa"/>
            <w:vAlign w:val="bottom"/>
            <w:tcBorders>
              <w:right w:val="single" w:sz="8" w:color="auto"/>
            </w:tcBorders>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0"/>
        </w:trPr>
        <w:tc>
          <w:tcPr>
            <w:tcW w:w="134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5"/>
                <w:szCs w:val="15"/>
                <w:color w:val="auto"/>
                <w:w w:val="92"/>
              </w:rPr>
              <w:t>Common Stock, par value $0.001 per share</w:t>
            </w:r>
          </w:p>
        </w:tc>
        <w:tc>
          <w:tcPr>
            <w:tcW w:w="80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14"/>
                <w:szCs w:val="14"/>
                <w:color w:val="auto"/>
                <w:w w:val="94"/>
              </w:rPr>
              <w:t>EXLS</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60" w:type="dxa"/>
            <w:vAlign w:val="bottom"/>
            <w:tcBorders>
              <w:bottom w:val="single" w:sz="8" w:color="auto"/>
              <w:right w:val="single" w:sz="8" w:color="auto"/>
            </w:tcBorders>
            <w:gridSpan w:val="2"/>
          </w:tcPr>
          <w:p>
            <w:pPr>
              <w:jc w:val="center"/>
              <w:ind w:right="640"/>
              <w:spacing w:after="0"/>
              <w:rPr>
                <w:sz w:val="20"/>
                <w:szCs w:val="20"/>
                <w:color w:val="auto"/>
              </w:rPr>
            </w:pPr>
            <w:r>
              <w:rPr>
                <w:rFonts w:ascii="Arial" w:cs="Arial" w:eastAsia="Arial" w:hAnsi="Arial"/>
                <w:sz w:val="15"/>
                <w:szCs w:val="15"/>
                <w:color w:val="auto"/>
              </w:rPr>
              <w:t>NASDAQ</w:t>
            </w:r>
          </w:p>
        </w:tc>
      </w:tr>
    </w:tbl>
    <w:p>
      <w:pPr>
        <w:spacing w:after="0" w:line="115"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None</w:t>
      </w:r>
    </w:p>
    <w:p>
      <w:pPr>
        <w:spacing w:after="0" w:line="42" w:lineRule="exact"/>
        <w:rPr>
          <w:sz w:val="24"/>
          <w:szCs w:val="24"/>
          <w:color w:val="auto"/>
        </w:rPr>
      </w:pPr>
    </w:p>
    <w:p>
      <w:pPr>
        <w:ind w:left="4300"/>
        <w:spacing w:after="0"/>
        <w:rPr>
          <w:sz w:val="20"/>
          <w:szCs w:val="20"/>
          <w:color w:val="auto"/>
        </w:rPr>
      </w:pPr>
      <w:r>
        <w:rPr>
          <w:rFonts w:ascii="Arial" w:cs="Arial" w:eastAsia="Arial" w:hAnsi="Arial"/>
          <w:sz w:val="17"/>
          <w:szCs w:val="17"/>
          <w:b w:val="1"/>
          <w:bCs w:val="1"/>
          <w:color w:val="auto"/>
        </w:rPr>
        <w:t>_______________________________</w:t>
      </w:r>
    </w:p>
    <w:p>
      <w:pPr>
        <w:spacing w:after="0" w:line="10" w:lineRule="exact"/>
        <w:rPr>
          <w:sz w:val="24"/>
          <w:szCs w:val="24"/>
          <w:color w:val="auto"/>
        </w:rPr>
      </w:pPr>
    </w:p>
    <w:p>
      <w:pPr>
        <w:ind w:left="320" w:right="2860"/>
        <w:spacing w:after="0" w:line="20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right="100" w:firstLine="309"/>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80" w:firstLine="309"/>
        <w:spacing w:after="0" w:line="19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 w:lineRule="exact"/>
        <w:rPr>
          <w:sz w:val="24"/>
          <w:szCs w:val="24"/>
          <w:color w:val="auto"/>
        </w:rPr>
      </w:pPr>
    </w:p>
    <w:p>
      <w:pPr>
        <w:ind w:right="220"/>
        <w:spacing w:after="0" w:line="30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20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540"/>
              <w:spacing w:after="0"/>
              <w:rPr>
                <w:sz w:val="20"/>
                <w:szCs w:val="20"/>
                <w:color w:val="auto"/>
              </w:rPr>
            </w:pPr>
            <w:r>
              <w:rPr>
                <w:rFonts w:ascii="Arial" w:cs="Arial" w:eastAsia="Arial" w:hAnsi="Arial"/>
                <w:sz w:val="15"/>
                <w:szCs w:val="15"/>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5"/>
        </w:trPr>
        <w:tc>
          <w:tcPr>
            <w:tcW w:w="2140" w:type="dxa"/>
            <w:vAlign w:val="bottom"/>
          </w:tcPr>
          <w:p>
            <w:pPr>
              <w:spacing w:after="0"/>
              <w:rPr>
                <w:sz w:val="20"/>
                <w:szCs w:val="20"/>
                <w:color w:val="auto"/>
              </w:rPr>
            </w:pPr>
            <w:r>
              <w:rPr>
                <w:rFonts w:ascii="Arial" w:cs="Arial" w:eastAsia="Arial" w:hAnsi="Arial"/>
                <w:sz w:val="15"/>
                <w:szCs w:val="15"/>
                <w:color w:val="auto"/>
              </w:rPr>
              <w:t>Non-accelerated filer</w:t>
            </w:r>
          </w:p>
        </w:tc>
        <w:tc>
          <w:tcPr>
            <w:tcW w:w="320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540"/>
              <w:spacing w:after="0"/>
              <w:rPr>
                <w:sz w:val="20"/>
                <w:szCs w:val="20"/>
                <w:color w:val="auto"/>
              </w:rPr>
            </w:pPr>
            <w:r>
              <w:rPr>
                <w:rFonts w:ascii="Arial" w:cs="Arial" w:eastAsia="Arial" w:hAnsi="Arial"/>
                <w:sz w:val="15"/>
                <w:szCs w:val="15"/>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5"/>
        </w:trPr>
        <w:tc>
          <w:tcPr>
            <w:tcW w:w="21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20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69" w:lineRule="exact"/>
        <w:rPr>
          <w:sz w:val="24"/>
          <w:szCs w:val="24"/>
          <w:color w:val="auto"/>
        </w:rPr>
      </w:pPr>
    </w:p>
    <w:p>
      <w:pPr>
        <w:ind w:right="40" w:firstLine="309"/>
        <w:spacing w:after="0" w:line="18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62" w:lineRule="exact"/>
        <w:rPr>
          <w:sz w:val="24"/>
          <w:szCs w:val="24"/>
          <w:color w:val="auto"/>
        </w:rPr>
      </w:pPr>
    </w:p>
    <w:p>
      <w:pPr>
        <w:ind w:firstLine="309"/>
        <w:spacing w:after="0" w:line="18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63" w:lineRule="exact"/>
        <w:rPr>
          <w:sz w:val="24"/>
          <w:szCs w:val="24"/>
          <w:color w:val="auto"/>
        </w:rPr>
      </w:pPr>
    </w:p>
    <w:p>
      <w:pPr>
        <w:ind w:right="60" w:firstLine="309"/>
        <w:spacing w:after="0" w:line="179"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31115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456" w:right="39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ind w:firstLine="309"/>
        <w:spacing w:after="0" w:line="17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209" w:lineRule="exact"/>
        <w:rPr>
          <w:sz w:val="20"/>
          <w:szCs w:val="20"/>
          <w:color w:val="auto"/>
        </w:rPr>
      </w:pPr>
    </w:p>
    <w:p>
      <w:pPr>
        <w:ind w:left="320"/>
        <w:spacing w:after="0" w:line="173" w:lineRule="exact"/>
        <w:tabs>
          <w:tab w:leader="none" w:pos="7060" w:val="left"/>
          <w:tab w:leader="none" w:pos="7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3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June 30, 2022, the aggregate market value of common stock held by non-affiliates was approximately $4,754,716,854.</w:t>
      </w:r>
    </w:p>
    <w:p>
      <w:pPr>
        <w:spacing w:after="0" w:line="3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February 21, 2023, there were 33,300,643 shares of the registrant’s common stock outstanding, par value $0.001 per share.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8" w:lineRule="exact"/>
        <w:rPr>
          <w:sz w:val="20"/>
          <w:szCs w:val="20"/>
          <w:color w:val="auto"/>
        </w:rPr>
      </w:pPr>
    </w:p>
    <w:p>
      <w:pPr>
        <w:ind w:right="200"/>
        <w:spacing w:after="0" w:line="244" w:lineRule="auto"/>
        <w:rPr>
          <w:sz w:val="20"/>
          <w:szCs w:val="20"/>
          <w:color w:val="auto"/>
        </w:rPr>
      </w:pPr>
      <w:r>
        <w:rPr>
          <w:rFonts w:ascii="Arial" w:cs="Arial" w:eastAsia="Arial" w:hAnsi="Arial"/>
          <w:sz w:val="15"/>
          <w:szCs w:val="15"/>
          <w:color w:val="auto"/>
        </w:rPr>
        <w:t>Part III incorporates information from certain portions of the registrant’s definitive proxy statement to be filed with the Securities and Exchange Commission within 120 days after the fiscal year end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68580</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00" w:type="dxa"/>
            <w:vAlign w:val="bottom"/>
            <w:gridSpan w:val="12"/>
          </w:tcPr>
          <w:p>
            <w:pPr>
              <w:ind w:left="42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40" w:type="dxa"/>
            <w:vAlign w:val="bottom"/>
            <w:vMerge w:val="restart"/>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7"/>
                <w:szCs w:val="17"/>
                <w:b w:val="1"/>
                <w:bCs w:val="1"/>
                <w:color w:val="0000FF"/>
                <w:w w:val="95"/>
              </w:rPr>
              <w:t>PART I.</w:t>
            </w:r>
          </w:p>
        </w:tc>
        <w:tc>
          <w:tcPr>
            <w:tcW w:w="1400" w:type="dxa"/>
            <w:vAlign w:val="bottom"/>
            <w:gridSpan w:val="5"/>
            <w:vMerge w:val="restart"/>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0" w:type="dxa"/>
            <w:vAlign w:val="bottom"/>
            <w:vMerge w:val="continue"/>
          </w:tcPr>
          <w:p>
            <w:pPr>
              <w:spacing w:after="0"/>
              <w:rPr>
                <w:sz w:val="13"/>
                <w:szCs w:val="13"/>
                <w:color w:val="auto"/>
              </w:rPr>
            </w:pPr>
          </w:p>
        </w:tc>
        <w:tc>
          <w:tcPr>
            <w:tcW w:w="600" w:type="dxa"/>
            <w:vAlign w:val="bottom"/>
            <w:tcBorders>
              <w:bottom w:val="single" w:sz="8" w:color="0000FF"/>
            </w:tcBorders>
            <w:vMerge w:val="continue"/>
          </w:tcPr>
          <w:p>
            <w:pPr>
              <w:spacing w:after="0"/>
              <w:rPr>
                <w:sz w:val="13"/>
                <w:szCs w:val="13"/>
                <w:color w:val="auto"/>
              </w:rPr>
            </w:pPr>
          </w:p>
        </w:tc>
        <w:tc>
          <w:tcPr>
            <w:tcW w:w="1400" w:type="dxa"/>
            <w:vAlign w:val="bottom"/>
            <w:gridSpan w:val="5"/>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6"/>
              </w:rPr>
              <w:t>Business</w:t>
            </w:r>
          </w:p>
        </w:tc>
        <w:tc>
          <w:tcPr>
            <w:tcW w:w="7920" w:type="dxa"/>
            <w:vAlign w:val="bottom"/>
            <w:gridSpan w:val="22"/>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0000FF"/>
              </w:rPr>
              <w:t>1</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1A.</w:t>
            </w:r>
          </w:p>
        </w:tc>
        <w:tc>
          <w:tcPr>
            <w:tcW w:w="8540" w:type="dxa"/>
            <w:vAlign w:val="bottom"/>
            <w:gridSpan w:val="23"/>
          </w:tcPr>
          <w:p>
            <w:pPr>
              <w:spacing w:after="0"/>
              <w:rPr>
                <w:sz w:val="20"/>
                <w:szCs w:val="20"/>
                <w:color w:val="auto"/>
              </w:rPr>
            </w:pPr>
            <w:r>
              <w:rPr>
                <w:rFonts w:ascii="Arial" w:cs="Arial" w:eastAsia="Arial" w:hAnsi="Arial"/>
                <w:sz w:val="17"/>
                <w:szCs w:val="17"/>
                <w:color w:val="0000FF"/>
              </w:rPr>
              <w:t>Risk Factors</w:t>
            </w: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1B.</w:t>
            </w:r>
          </w:p>
        </w:tc>
        <w:tc>
          <w:tcPr>
            <w:tcW w:w="196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1"/>
              </w:rPr>
              <w:t>Unresolved Staff Comments</w:t>
            </w:r>
          </w:p>
        </w:tc>
        <w:tc>
          <w:tcPr>
            <w:tcW w:w="6580" w:type="dxa"/>
            <w:vAlign w:val="bottom"/>
            <w:gridSpan w:val="13"/>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2.</w:t>
            </w:r>
          </w:p>
        </w:tc>
        <w:tc>
          <w:tcPr>
            <w:tcW w:w="8540" w:type="dxa"/>
            <w:vAlign w:val="bottom"/>
            <w:gridSpan w:val="23"/>
          </w:tcPr>
          <w:p>
            <w:pPr>
              <w:spacing w:after="0"/>
              <w:rPr>
                <w:sz w:val="20"/>
                <w:szCs w:val="20"/>
                <w:color w:val="auto"/>
              </w:rPr>
            </w:pPr>
            <w:r>
              <w:rPr>
                <w:rFonts w:ascii="Arial" w:cs="Arial" w:eastAsia="Arial" w:hAnsi="Arial"/>
                <w:sz w:val="17"/>
                <w:szCs w:val="17"/>
                <w:color w:val="0000FF"/>
              </w:rPr>
              <w:t>Properties</w:t>
            </w: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3.</w:t>
            </w:r>
          </w:p>
        </w:tc>
        <w:tc>
          <w:tcPr>
            <w:tcW w:w="12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89"/>
              </w:rPr>
              <w:t>Legal Proceedings</w:t>
            </w:r>
          </w:p>
        </w:tc>
        <w:tc>
          <w:tcPr>
            <w:tcW w:w="7260" w:type="dxa"/>
            <w:vAlign w:val="bottom"/>
            <w:gridSpan w:val="18"/>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4.</w:t>
            </w:r>
          </w:p>
        </w:tc>
        <w:tc>
          <w:tcPr>
            <w:tcW w:w="8540" w:type="dxa"/>
            <w:vAlign w:val="bottom"/>
            <w:gridSpan w:val="23"/>
          </w:tcPr>
          <w:p>
            <w:pPr>
              <w:spacing w:after="0"/>
              <w:rPr>
                <w:sz w:val="20"/>
                <w:szCs w:val="20"/>
                <w:color w:val="auto"/>
              </w:rPr>
            </w:pPr>
            <w:r>
              <w:rPr>
                <w:rFonts w:ascii="Arial" w:cs="Arial" w:eastAsia="Arial" w:hAnsi="Arial"/>
                <w:sz w:val="17"/>
                <w:szCs w:val="17"/>
                <w:color w:val="0000FF"/>
              </w:rPr>
              <w:t>Mine Safety Disclosures</w:t>
            </w: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b w:val="1"/>
                <w:bCs w:val="1"/>
                <w:color w:val="0000FF"/>
                <w:w w:val="98"/>
              </w:rPr>
              <w:t>PART II.</w:t>
            </w:r>
          </w:p>
        </w:tc>
        <w:tc>
          <w:tcPr>
            <w:tcW w:w="1340" w:type="dxa"/>
            <w:vAlign w:val="bottom"/>
            <w:gridSpan w:val="4"/>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5.</w:t>
            </w:r>
          </w:p>
        </w:tc>
        <w:tc>
          <w:tcPr>
            <w:tcW w:w="7720" w:type="dxa"/>
            <w:vAlign w:val="bottom"/>
            <w:tcBorders>
              <w:bottom w:val="single" w:sz="8" w:color="0000FF"/>
            </w:tcBorders>
            <w:gridSpan w:val="22"/>
          </w:tcPr>
          <w:p>
            <w:pPr>
              <w:spacing w:after="0"/>
              <w:rPr>
                <w:sz w:val="20"/>
                <w:szCs w:val="20"/>
                <w:color w:val="auto"/>
              </w:rPr>
            </w:pPr>
            <w:r>
              <w:rPr>
                <w:rFonts w:ascii="Arial" w:cs="Arial" w:eastAsia="Arial" w:hAnsi="Arial"/>
                <w:sz w:val="17"/>
                <w:szCs w:val="17"/>
                <w:color w:val="0000FF"/>
                <w:w w:val="91"/>
              </w:rPr>
              <w:t>Market for Registrant’s Common Equity, Related Stockholder Matters and Issuer Purchases of Equity Securities</w:t>
            </w:r>
          </w:p>
        </w:tc>
        <w:tc>
          <w:tcPr>
            <w:tcW w:w="8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6.</w:t>
            </w:r>
          </w:p>
        </w:tc>
        <w:tc>
          <w:tcPr>
            <w:tcW w:w="164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0"/>
              </w:rPr>
              <w:t>Selected Financial Data</w:t>
            </w:r>
          </w:p>
        </w:tc>
        <w:tc>
          <w:tcPr>
            <w:tcW w:w="6900" w:type="dxa"/>
            <w:vAlign w:val="bottom"/>
            <w:gridSpan w:val="16"/>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7.</w:t>
            </w:r>
          </w:p>
        </w:tc>
        <w:tc>
          <w:tcPr>
            <w:tcW w:w="618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w w:val="92"/>
              </w:rPr>
              <w:t>Management’s Discussion and Analysis of Financial Condition and Results of Operations</w:t>
            </w:r>
          </w:p>
        </w:tc>
        <w:tc>
          <w:tcPr>
            <w:tcW w:w="2360" w:type="dxa"/>
            <w:vAlign w:val="bottom"/>
            <w:gridSpan w:val="3"/>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7A.</w:t>
            </w:r>
          </w:p>
        </w:tc>
        <w:tc>
          <w:tcPr>
            <w:tcW w:w="8540" w:type="dxa"/>
            <w:vAlign w:val="bottom"/>
            <w:gridSpan w:val="23"/>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8.</w:t>
            </w:r>
          </w:p>
        </w:tc>
        <w:tc>
          <w:tcPr>
            <w:tcW w:w="4160" w:type="dxa"/>
            <w:vAlign w:val="bottom"/>
            <w:tcBorders>
              <w:top w:val="single" w:sz="8" w:color="0000FF"/>
            </w:tcBorders>
            <w:gridSpan w:val="16"/>
          </w:tcPr>
          <w:p>
            <w:pPr>
              <w:spacing w:after="0"/>
              <w:rPr>
                <w:sz w:val="20"/>
                <w:szCs w:val="20"/>
                <w:color w:val="auto"/>
              </w:rPr>
            </w:pPr>
            <w:r>
              <w:rPr>
                <w:rFonts w:ascii="Arial" w:cs="Arial" w:eastAsia="Arial" w:hAnsi="Arial"/>
                <w:sz w:val="17"/>
                <w:szCs w:val="17"/>
                <w:color w:val="0000FF"/>
              </w:rPr>
              <w:t>Financial Statements and Supplementary Data</w:t>
            </w:r>
          </w:p>
        </w:tc>
        <w:tc>
          <w:tcPr>
            <w:tcW w:w="4380" w:type="dxa"/>
            <w:vAlign w:val="bottom"/>
            <w:gridSpan w:val="7"/>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9.</w:t>
            </w:r>
          </w:p>
        </w:tc>
        <w:tc>
          <w:tcPr>
            <w:tcW w:w="8540" w:type="dxa"/>
            <w:vAlign w:val="bottom"/>
            <w:gridSpan w:val="23"/>
          </w:tcPr>
          <w:p>
            <w:pPr>
              <w:spacing w:after="0"/>
              <w:rPr>
                <w:sz w:val="20"/>
                <w:szCs w:val="20"/>
                <w:color w:val="auto"/>
              </w:rPr>
            </w:pPr>
            <w:r>
              <w:rPr>
                <w:rFonts w:ascii="Arial" w:cs="Arial" w:eastAsia="Arial" w:hAnsi="Arial"/>
                <w:sz w:val="17"/>
                <w:szCs w:val="17"/>
                <w:color w:val="0000FF"/>
              </w:rPr>
              <w:t>Changes in and Disagreement with Accountants on Accounting and Financial Disclosure</w:t>
            </w: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9A.</w:t>
            </w:r>
          </w:p>
        </w:tc>
        <w:tc>
          <w:tcPr>
            <w:tcW w:w="17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7"/>
                <w:szCs w:val="17"/>
                <w:color w:val="0000FF"/>
                <w:w w:val="89"/>
              </w:rPr>
              <w:t>Controls and Procedures</w:t>
            </w:r>
          </w:p>
        </w:tc>
        <w:tc>
          <w:tcPr>
            <w:tcW w:w="4420" w:type="dxa"/>
            <w:vAlign w:val="bottom"/>
            <w:tcBorders>
              <w:top w:val="single" w:sz="8" w:color="0000FF"/>
            </w:tcBorders>
            <w:gridSpan w:val="11"/>
          </w:tcPr>
          <w:p>
            <w:pPr>
              <w:spacing w:after="0"/>
              <w:rPr>
                <w:sz w:val="17"/>
                <w:szCs w:val="17"/>
                <w:color w:val="auto"/>
              </w:rPr>
            </w:pPr>
          </w:p>
        </w:tc>
        <w:tc>
          <w:tcPr>
            <w:tcW w:w="2420" w:type="dxa"/>
            <w:vAlign w:val="bottom"/>
            <w:gridSpan w:val="4"/>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9B.</w:t>
            </w:r>
          </w:p>
        </w:tc>
        <w:tc>
          <w:tcPr>
            <w:tcW w:w="12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3"/>
              </w:rPr>
              <w:t>Other Information</w:t>
            </w:r>
          </w:p>
        </w:tc>
        <w:tc>
          <w:tcPr>
            <w:tcW w:w="7280" w:type="dxa"/>
            <w:vAlign w:val="bottom"/>
            <w:gridSpan w:val="19"/>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9C.</w:t>
            </w:r>
          </w:p>
        </w:tc>
        <w:tc>
          <w:tcPr>
            <w:tcW w:w="8540" w:type="dxa"/>
            <w:vAlign w:val="bottom"/>
            <w:gridSpan w:val="23"/>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spacing w:after="0"/>
              <w:rPr>
                <w:sz w:val="20"/>
                <w:szCs w:val="20"/>
                <w:color w:val="auto"/>
              </w:rPr>
            </w:pPr>
            <w:r>
              <w:rPr>
                <w:rFonts w:ascii="Arial" w:cs="Arial" w:eastAsia="Arial" w:hAnsi="Arial"/>
                <w:sz w:val="17"/>
                <w:szCs w:val="17"/>
                <w:b w:val="1"/>
                <w:bCs w:val="1"/>
                <w:color w:val="0000FF"/>
              </w:rPr>
              <w:t>PART III.</w:t>
            </w: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10.</w:t>
            </w:r>
          </w:p>
        </w:tc>
        <w:tc>
          <w:tcPr>
            <w:tcW w:w="392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w w:val="91"/>
              </w:rPr>
              <w:t>Directors, Executive Officers and Corporate Governance</w:t>
            </w:r>
          </w:p>
        </w:tc>
        <w:tc>
          <w:tcPr>
            <w:tcW w:w="4620" w:type="dxa"/>
            <w:vAlign w:val="bottom"/>
            <w:gridSpan w:val="8"/>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11.</w:t>
            </w:r>
          </w:p>
        </w:tc>
        <w:tc>
          <w:tcPr>
            <w:tcW w:w="8540" w:type="dxa"/>
            <w:vAlign w:val="bottom"/>
            <w:gridSpan w:val="23"/>
          </w:tcPr>
          <w:p>
            <w:pPr>
              <w:spacing w:after="0"/>
              <w:rPr>
                <w:sz w:val="20"/>
                <w:szCs w:val="20"/>
                <w:color w:val="auto"/>
              </w:rPr>
            </w:pPr>
            <w:r>
              <w:rPr>
                <w:rFonts w:ascii="Arial" w:cs="Arial" w:eastAsia="Arial" w:hAnsi="Arial"/>
                <w:sz w:val="17"/>
                <w:szCs w:val="17"/>
                <w:color w:val="0000FF"/>
              </w:rPr>
              <w:t>Executive Compensation</w:t>
            </w: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12.</w:t>
            </w:r>
          </w:p>
        </w:tc>
        <w:tc>
          <w:tcPr>
            <w:tcW w:w="8540" w:type="dxa"/>
            <w:vAlign w:val="bottom"/>
            <w:gridSpan w:val="23"/>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13.</w:t>
            </w:r>
          </w:p>
        </w:tc>
        <w:tc>
          <w:tcPr>
            <w:tcW w:w="6960" w:type="dxa"/>
            <w:vAlign w:val="bottom"/>
            <w:tcBorders>
              <w:top w:val="single" w:sz="8" w:color="0000FF"/>
            </w:tcBorders>
            <w:gridSpan w:val="21"/>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1580" w:type="dxa"/>
            <w:vAlign w:val="bottom"/>
            <w:gridSpan w:val="2"/>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14.</w:t>
            </w:r>
          </w:p>
        </w:tc>
        <w:tc>
          <w:tcPr>
            <w:tcW w:w="5200" w:type="dxa"/>
            <w:vAlign w:val="bottom"/>
            <w:tcBorders>
              <w:top w:val="single" w:sz="8" w:color="0000FF"/>
            </w:tcBorders>
            <w:gridSpan w:val="18"/>
          </w:tcPr>
          <w:p>
            <w:pPr>
              <w:spacing w:after="0"/>
              <w:rPr>
                <w:sz w:val="20"/>
                <w:szCs w:val="20"/>
                <w:color w:val="auto"/>
              </w:rPr>
            </w:pPr>
            <w:r>
              <w:rPr>
                <w:rFonts w:ascii="Arial" w:cs="Arial" w:eastAsia="Arial" w:hAnsi="Arial"/>
                <w:sz w:val="17"/>
                <w:szCs w:val="17"/>
                <w:color w:val="0000FF"/>
              </w:rPr>
              <w:t>Principal Accountant Fees and Services</w:t>
            </w:r>
          </w:p>
        </w:tc>
        <w:tc>
          <w:tcPr>
            <w:tcW w:w="3340" w:type="dxa"/>
            <w:vAlign w:val="bottom"/>
            <w:gridSpan w:val="5"/>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72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b w:val="1"/>
                <w:bCs w:val="1"/>
                <w:color w:val="0000FF"/>
                <w:w w:val="94"/>
              </w:rPr>
              <w:t>PART IV.</w:t>
            </w:r>
          </w:p>
        </w:tc>
        <w:tc>
          <w:tcPr>
            <w:tcW w:w="1280" w:type="dxa"/>
            <w:vAlign w:val="bottom"/>
            <w:gridSpan w:val="3"/>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15.</w:t>
            </w:r>
          </w:p>
        </w:tc>
        <w:tc>
          <w:tcPr>
            <w:tcW w:w="8540" w:type="dxa"/>
            <w:vAlign w:val="bottom"/>
            <w:gridSpan w:val="23"/>
          </w:tcPr>
          <w:p>
            <w:pPr>
              <w:spacing w:after="0"/>
              <w:rPr>
                <w:sz w:val="20"/>
                <w:szCs w:val="20"/>
                <w:color w:val="auto"/>
              </w:rPr>
            </w:pPr>
            <w:r>
              <w:rPr>
                <w:rFonts w:ascii="Arial" w:cs="Arial" w:eastAsia="Arial" w:hAnsi="Arial"/>
                <w:sz w:val="17"/>
                <w:szCs w:val="17"/>
                <w:color w:val="0000FF"/>
              </w:rPr>
              <w:t>Exhibits and Financial Statement Schedules</w:t>
            </w: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000" w:type="dxa"/>
            <w:vAlign w:val="bottom"/>
            <w:gridSpan w:val="6"/>
          </w:tcPr>
          <w:p>
            <w:pPr>
              <w:ind w:left="420"/>
              <w:spacing w:after="0"/>
              <w:rPr>
                <w:sz w:val="20"/>
                <w:szCs w:val="20"/>
                <w:color w:val="auto"/>
              </w:rPr>
            </w:pPr>
            <w:r>
              <w:rPr>
                <w:rFonts w:ascii="Arial" w:cs="Arial" w:eastAsia="Arial" w:hAnsi="Arial"/>
                <w:sz w:val="17"/>
                <w:szCs w:val="17"/>
                <w:color w:val="auto"/>
              </w:rPr>
              <w:t>ITEM 16.</w:t>
            </w:r>
          </w:p>
        </w:tc>
        <w:tc>
          <w:tcPr>
            <w:tcW w:w="3020" w:type="dxa"/>
            <w:vAlign w:val="bottom"/>
            <w:tcBorders>
              <w:top w:val="single" w:sz="8" w:color="0000FF"/>
            </w:tcBorders>
            <w:gridSpan w:val="13"/>
          </w:tcPr>
          <w:p>
            <w:pPr>
              <w:spacing w:after="0"/>
              <w:rPr>
                <w:sz w:val="20"/>
                <w:szCs w:val="20"/>
                <w:color w:val="auto"/>
              </w:rPr>
            </w:pPr>
            <w:r>
              <w:rPr>
                <w:rFonts w:ascii="Arial" w:cs="Arial" w:eastAsia="Arial" w:hAnsi="Arial"/>
                <w:sz w:val="17"/>
                <w:szCs w:val="17"/>
                <w:color w:val="0000FF"/>
              </w:rPr>
              <w:t>Form 10-K Summary</w:t>
            </w:r>
          </w:p>
        </w:tc>
        <w:tc>
          <w:tcPr>
            <w:tcW w:w="5520" w:type="dxa"/>
            <w:vAlign w:val="bottom"/>
            <w:gridSpan w:val="10"/>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2000" w:type="dxa"/>
            <w:vAlign w:val="bottom"/>
            <w:gridSpan w:val="6"/>
          </w:tcPr>
          <w:p>
            <w:pPr>
              <w:spacing w:after="0"/>
              <w:rPr>
                <w:sz w:val="20"/>
                <w:szCs w:val="20"/>
                <w:color w:val="auto"/>
              </w:rPr>
            </w:pPr>
            <w:r>
              <w:rPr>
                <w:rFonts w:ascii="Arial" w:cs="Arial" w:eastAsia="Arial" w:hAnsi="Arial"/>
                <w:sz w:val="17"/>
                <w:szCs w:val="17"/>
                <w:color w:val="0000FF"/>
              </w:rPr>
              <w:t>SIGNATURES</w:t>
            </w:r>
          </w:p>
        </w:tc>
        <w:tc>
          <w:tcPr>
            <w:tcW w:w="6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26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EXHIBIT INDEX</w:t>
            </w: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10540" w:type="dxa"/>
            <w:vAlign w:val="bottom"/>
            <w:gridSpan w:val="29"/>
          </w:tcPr>
          <w:p>
            <w:pPr>
              <w:spacing w:after="0"/>
              <w:rPr>
                <w:sz w:val="20"/>
                <w:szCs w:val="20"/>
                <w:color w:val="auto"/>
              </w:rPr>
            </w:pPr>
            <w:r>
              <w:rPr>
                <w:rFonts w:ascii="Arial" w:cs="Arial" w:eastAsia="Arial" w:hAnsi="Arial"/>
                <w:sz w:val="17"/>
                <w:szCs w:val="17"/>
                <w:color w:val="0000FF"/>
              </w:rPr>
              <w:t>INDEX TO CONSOLIDATED FINANCIAL STATEMENTS</w:t>
            </w:r>
          </w:p>
        </w:tc>
        <w:tc>
          <w:tcPr>
            <w:tcW w:w="400" w:type="dxa"/>
            <w:vAlign w:val="bottom"/>
          </w:tcPr>
          <w:p>
            <w:pPr>
              <w:spacing w:after="0"/>
              <w:rPr>
                <w:sz w:val="21"/>
                <w:szCs w:val="21"/>
                <w:color w:val="auto"/>
              </w:rPr>
            </w:pPr>
          </w:p>
        </w:tc>
        <w:tc>
          <w:tcPr>
            <w:tcW w:w="260" w:type="dxa"/>
            <w:vAlign w:val="bottom"/>
            <w:gridSpan w:val="2"/>
          </w:tcPr>
          <w:p>
            <w:pPr>
              <w:spacing w:after="0"/>
              <w:rPr>
                <w:sz w:val="20"/>
                <w:szCs w:val="20"/>
                <w:color w:val="auto"/>
              </w:rPr>
            </w:pPr>
            <w:r>
              <w:rPr>
                <w:rFonts w:ascii="Arial" w:cs="Arial" w:eastAsia="Arial" w:hAnsi="Arial"/>
                <w:sz w:val="17"/>
                <w:szCs w:val="17"/>
                <w:color w:val="661DE8"/>
                <w:w w:val="93"/>
              </w:rPr>
              <w:t>F-1</w:t>
            </w:r>
          </w:p>
        </w:tc>
        <w:tc>
          <w:tcPr>
            <w:tcW w:w="0" w:type="dxa"/>
            <w:vAlign w:val="bottom"/>
          </w:tcPr>
          <w:p>
            <w:pPr>
              <w:spacing w:after="0"/>
              <w:rPr>
                <w:sz w:val="1"/>
                <w:szCs w:val="1"/>
                <w:color w:val="auto"/>
              </w:rPr>
            </w:pPr>
          </w:p>
        </w:tc>
      </w:tr>
      <w:tr>
        <w:trPr>
          <w:trHeight w:val="901"/>
        </w:trPr>
        <w:tc>
          <w:tcPr>
            <w:tcW w:w="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top w:val="single" w:sz="8" w:color="661DE8"/>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71" w:lineRule="exact"/>
        <w:rPr>
          <w:sz w:val="20"/>
          <w:szCs w:val="20"/>
          <w:color w:val="auto"/>
        </w:rPr>
      </w:pPr>
    </w:p>
    <w:p>
      <w:pPr>
        <w:jc w:val="both"/>
        <w:ind w:firstLine="387"/>
        <w:spacing w:after="0" w:line="277" w:lineRule="auto"/>
        <w:rPr>
          <w:sz w:val="20"/>
          <w:szCs w:val="20"/>
          <w:color w:val="auto"/>
        </w:rPr>
      </w:pPr>
      <w:r>
        <w:rPr>
          <w:rFonts w:ascii="Arial" w:cs="Arial" w:eastAsia="Arial" w:hAnsi="Arial"/>
          <w:sz w:val="16"/>
          <w:szCs w:val="16"/>
          <w:color w:val="auto"/>
        </w:rPr>
        <w:t>ExlService Holdings, Inc. (“EXL,” “we,” “us,” “our” or the “Company”), incorporated in Delaware in 2002,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 making and transforming operating models, EXL was founded on the core values of innovation, collaboration, excellence, integrity and respect. Headquartered in New York, our team is over 45,400 strong, with more than 50 offices spanning six continents.</w:t>
      </w:r>
    </w:p>
    <w:p>
      <w:pPr>
        <w:spacing w:after="0" w:line="118"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We deliver data analytics and digital operations and solutions to our clients, driving enterprise-scale business transformation initiatives that leverage our deep expertise in advanced analytics, AI, ML and cloud. Data, analytics and digital have become core to virtually every significant move a business makes to serve customers, optimize business processes, stay competitive and grow. Our vision of being an indispensable partner for data-led businesses reflects where the data and technology-led transformation of our clients’ businesses is trending across industry sectors, and we are evolving our offerings to drive business outcomes through advanced analytics and AI-powered solutions on the cloud. Our data-led value creation framework enables better and faster decision making, leveraging our end-to-end data and analytics capabilities to drive improved business outcomes, and re-designing of operating models to integrate advanced technology into operational workflows. We embed digital operations and solutions into clients’ businesses and introduce our data-led approach to transform operations with every new engagement.</w:t>
      </w:r>
    </w:p>
    <w:p>
      <w:pPr>
        <w:spacing w:after="0" w:line="130"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manage and report financial information through our four reportable segments or strategic business units: Insurance, Healthcare, Analytics and Emerging Business, which reflects how management reviews financial information and makes operating decisions. Our strategic business units align our products and services with how we manage our business, approach our key markets and interact with our clients. These business units develop client-specific solutions, build capabilities, maintain a unified go-to-market approach and are integrally responsible for service delivery, customer satisfaction, growth and profitability. By integrating data and analytics directly into our client workflows, we drive more intelligence into our clients’ increasingly digital operations that drive superior customer outcomes, optimize costs and power resilient and agile business models.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Digital Operations and Solutions</w:t>
      </w:r>
    </w:p>
    <w:p>
      <w:pPr>
        <w:spacing w:after="0" w:line="17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6"/>
          <w:szCs w:val="16"/>
          <w:color w:val="auto"/>
        </w:rPr>
        <w:t>Our digital operations and solutions, which we provide from our Insurance, Healthcare and Emerging Business strategic business units, are focused on solving complex industry challenges, such as the insurance claims life cycle, financial transactions processing and provider and member experiences. This typically involves the use of agile delivery models to implement digital technologies and interventions like hyper-automation, customer experience transformation, advanced automation, robotics, enterprise architecture, end-to-end business function management and transformations. We either administer and manage these functions for our clients on an ongoing basis via longer-term arrangements or project work. We use a focused industry vertical approach, and our solutions are designed to help our clients realize their business and innovation goals and improve their strategic competitive position.</w:t>
      </w:r>
    </w:p>
    <w:p>
      <w:pPr>
        <w:spacing w:after="0" w:line="118"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The key differentiators and salient features of our digital operations and solutions include our agile operating and delivery model, which leverages AI/ML-based content extraction, natural language processing and cloud-based operations to automate business processes and improve speed to market. We integrate AI/ML and data on the cloud to digitally transform legacy models and support real-time insights, faster decision making and streamlined operations. This approach positions us to digitally transform our clients’ enterprise-wide data flows to deliver meaningful customer experience, business outcomes and efficiency improvements.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Some of the key digital capabilities embedded in our digital operations and solutions include:</w:t>
      </w:r>
    </w:p>
    <w:p>
      <w:pPr>
        <w:spacing w:after="0" w:line="165" w:lineRule="exact"/>
        <w:rPr>
          <w:sz w:val="20"/>
          <w:szCs w:val="20"/>
          <w:color w:val="auto"/>
        </w:rPr>
      </w:pPr>
    </w:p>
    <w:p>
      <w:pPr>
        <w:ind w:left="620" w:hanging="307"/>
        <w:spacing w:after="0" w:line="25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AI:OS: Integrated cloud-native AI solutions with deep domain expertise and process transition experience to deliver a cloud receiving center for business processes;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Xtrakto.AI: AI-driven automation of manual processing of text, image and financial data;</w:t>
      </w:r>
    </w:p>
    <w:p>
      <w:pPr>
        <w:spacing w:after="0" w:line="10" w:lineRule="exact"/>
        <w:rPr>
          <w:rFonts w:ascii="Arial" w:cs="Arial" w:eastAsia="Arial" w:hAnsi="Arial"/>
          <w:sz w:val="17"/>
          <w:szCs w:val="17"/>
          <w:color w:val="auto"/>
        </w:rPr>
      </w:pPr>
    </w:p>
    <w:p>
      <w:pPr>
        <w:ind w:left="540" w:hanging="227"/>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Exelia.AI: AI-infused experiences across multiple customer journeys and touchpoints;</w:t>
      </w:r>
    </w:p>
    <w:p>
      <w:pPr>
        <w:spacing w:after="0" w:line="10" w:lineRule="exact"/>
        <w:rPr>
          <w:rFonts w:ascii="Arial" w:cs="Arial" w:eastAsia="Arial" w:hAnsi="Arial"/>
          <w:sz w:val="17"/>
          <w:szCs w:val="17"/>
          <w:color w:val="auto"/>
        </w:rPr>
      </w:pPr>
    </w:p>
    <w:p>
      <w:pPr>
        <w:ind w:left="540" w:hanging="227"/>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Paymentor: AI-powered customer centricity and digitization in payment and collection processes; and</w:t>
      </w:r>
    </w:p>
    <w:p>
      <w:pPr>
        <w:spacing w:after="0" w:line="10" w:lineRule="exact"/>
        <w:rPr>
          <w:rFonts w:ascii="Arial" w:cs="Arial" w:eastAsia="Arial" w:hAnsi="Arial"/>
          <w:sz w:val="17"/>
          <w:szCs w:val="17"/>
          <w:color w:val="auto"/>
        </w:rPr>
      </w:pPr>
    </w:p>
    <w:p>
      <w:pPr>
        <w:ind w:left="540" w:hanging="227"/>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 Financing: AI-powered Buy Now, Pay Later solution, reimagining an integrated and coherent sales and credit journey.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deliver digital operations and solutions to clients through multiple technology approaches, including using client environments, EXL platforms and leveraging third-party solutions from our partner ecosystem. Where possible, our aim is to use standardized and shared technology and operational delivery infrastructure, enabling us to leverage technology and infrastructure investments across multiple clients.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strategic business units, through which we provide digital operations and solutions, are described below:</w:t>
      </w:r>
    </w:p>
    <w:p>
      <w:pPr>
        <w:spacing w:after="0" w:line="159"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Insurance</w:t>
      </w:r>
      <w:r>
        <w:rPr>
          <w:rFonts w:ascii="Arial" w:cs="Arial" w:eastAsia="Arial" w:hAnsi="Arial"/>
          <w:sz w:val="16"/>
          <w:szCs w:val="16"/>
          <w:color w:val="auto"/>
        </w:rPr>
        <w:t xml:space="preserve"> strategic business unit serves property and casualty insurance, life insurance, disability insurance, insurance brokers, reinsurers, annuity and retirement services companies. We provide digital transformation and solutions and data-led operations services across the insurance industry in areas such as claims processing, premium and benefit administration, agency management, account reconciliation, policy research, underwriting support, new business acquisition, policy servicing, premium audit, surveys, billing and collection, commercial and residential survey and customer service using digital technology, AI, ML and advanced automation. We provide end-to-end third-party administration for life and annuity insurance policies which includes digital customer acquisition services using a software-as-a-service (“SaaS”) delivery model through our LifePRO® and Life Digital Suite platforms that help clients administer life insurance, annuities and credit life and disability insurance policies. We also provide subrogation services to property and casualty insurers using business process-as-a-service (“BPaaS”) delivery model and our proprietary Subrosource® software platform, the largest commercial end-to-end subrogation platform. Subrosource® integrates with client systems, manages recovery workflow, increases recoveries and reduces costs. We provide a suite of finance and accounting services that include high-end, data-led services including financial planning and analysis, decision support, GAAP and statutory reporting and compliance services in addition to core finance operations. We bring a data-led and practical digital approach to finance and accounting, enabling our clients to simplify and scale their finance and accounting processes, drive stakeholder centricity, improve controls and compliance, reduce operating costs and deliver rich data-led insights to our clients’ businesses.</w:t>
      </w:r>
    </w:p>
    <w:p>
      <w:pPr>
        <w:spacing w:after="0" w:line="116" w:lineRule="exact"/>
        <w:rPr>
          <w:sz w:val="20"/>
          <w:szCs w:val="20"/>
          <w:color w:val="auto"/>
        </w:rPr>
      </w:pPr>
    </w:p>
    <w:p>
      <w:pPr>
        <w:jc w:val="both"/>
        <w:ind w:firstLine="387"/>
        <w:spacing w:after="0" w:line="261"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Healthcare</w:t>
      </w:r>
      <w:r>
        <w:rPr>
          <w:rFonts w:ascii="Arial" w:cs="Arial" w:eastAsia="Arial" w:hAnsi="Arial"/>
          <w:sz w:val="17"/>
          <w:szCs w:val="17"/>
          <w:color w:val="auto"/>
        </w:rPr>
        <w:t xml:space="preserve"> strategic business unit primarily serves U.S.-based healthcare payers, providers and pharmacy benefit managers organizations. We combine deep healthcare domain expertise with data-led insights and technology-enabled services to transform how care is delivered, managed and paid. We provide services related to care management, utilization management, disease management, payment integrity, revenue optimization and customer engagement directly addressing the market need for improved healthcare outcomes, patient and provider experience and access to the healthcare system in the healthcare market and optimized healthcare spend.</w:t>
      </w:r>
    </w:p>
    <w:p>
      <w:pPr>
        <w:spacing w:after="0" w:line="129"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offer digital operations, SaaS and platform services designed to serve the healthcare industry. EXL’s integrated care management offering, including our proprietary clinical data, connects payers, providers and members to increase efficiencies and effectiveness across all aspects of care management, including medical, pharmacy and behavioral health. Our digital operations and solutions infuse cloud, data, AI, ML, advanced analytics and robotics capabilities to improve efficiency, business outcomes and the consumer experience in healthcare across patient/member management, contracting and network management, health and care management, claims administration and business operations.</w:t>
      </w:r>
    </w:p>
    <w:p>
      <w:pPr>
        <w:spacing w:after="0" w:line="13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Similar to our Insurance strategic business unit, we also provide finance and accounting services, digital transformation and advisory/consulting services for our clients in the healthcare industry.</w:t>
      </w:r>
    </w:p>
    <w:p>
      <w:pPr>
        <w:spacing w:after="0" w:line="107"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Emerging Business</w:t>
      </w:r>
      <w:r>
        <w:rPr>
          <w:rFonts w:ascii="Arial" w:cs="Arial" w:eastAsia="Arial" w:hAnsi="Arial"/>
          <w:sz w:val="17"/>
          <w:szCs w:val="17"/>
          <w:color w:val="auto"/>
        </w:rPr>
        <w:t xml:space="preserve"> strategic business unit provides data-led enterprise solutions in the areas of revenue enhancement, finance &amp; accounting and customer experience management to clients primarily in the banking and capital markets, utilities, travel and leisure, transportation and logistics, media and communications, manufacturing, retail and business services industries. These enterprise solutions complement our domain-specific industry solutions enabling our clients to deliver superior performance.</w:t>
      </w:r>
    </w:p>
    <w:p>
      <w:pPr>
        <w:spacing w:after="0" w:line="126"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Our revenue enhancement solutions include lead generation, inside sales and digital marketing, pricing, customer and marketing analytics, billing and proprietary revenue assurance solutions, helping deliver direct topline and margin impact to our clients’ business.</w:t>
      </w:r>
    </w:p>
    <w:p>
      <w:pPr>
        <w:spacing w:after="0" w:line="113"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Our data-led finance and accounting services include high-end analytical services, including financial planning and analysis, management reporting, advanced forecasting and decision support, data management, regulatory reporting and risk and compliance services in addition to core transactional finance operations. Powered by our integrated cloud-based hyper-automation and insights platform EXL Digital Finance Suite, we help chief financial officers transform finance into a digitally enabled, scalable data-led function with lower cost to serve, superior business outcomes and improved stakeholder experience.</w:t>
      </w:r>
    </w:p>
    <w:p>
      <w:pPr>
        <w:spacing w:after="0" w:line="112"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client experience management solutions that run on our proprietary CONNECx platform, help our clients improve their end-customer experience across the front, middle and back-office, integrating data flows, redesigning customer service processes and leveraging digital omni-channel platforms. To deliver these solutions, we combine our deep domain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expertise with advanced analytics and digital capabilities, including robotics, proprietary and partner-driven AI and ML solutions.</w:t>
      </w:r>
    </w:p>
    <w:p>
      <w:pPr>
        <w:spacing w:after="0" w:line="165"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We also provide industry-specific digital operations and solutions. For our clients in the travel and leisure sector, we provide corporate and leisure travel services including reservations, customer service and fulfilment services. In the transportation and logistics sector, we provide our clients with freight billing, collections, claims management, freight audit, freight scheduling, supply chain management and revenue assurance services. For our clients in the banking and financial services sector, we provide a comprehensive range of digital solutions, including residential mortgage lending, title verification and validation, retail banking and credit cards, trust verification, commercial banking and investment management. For our clients in the retail sector, we provide supply chain management services and analytical services including merchandising, pricing and demand forecasting. For our clients in the utilities sector, we offer digital operations and solutions related to end-to-end customer life cycle management including onboarding and terminations, engineering field services, customer service, billing and debt management and collections.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Analytics</w:t>
      </w:r>
    </w:p>
    <w:p>
      <w:pPr>
        <w:spacing w:after="0" w:line="17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Analytics strategic business unit helps clients build data-led businesses using AI and advanced analytics solutions and services. By leveraging our suite of end-to-end analytics capabilities, we aim to drive better business outcomes for our clients by unlocking deep insights from data and creating data-led solutions across all parts of clients’ businesses.</w:t>
      </w:r>
    </w:p>
    <w:p>
      <w:pPr>
        <w:spacing w:after="0" w:line="124"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Our Analytics teams deliver predictive and prescriptive analytics in the areas of customer acquisition and life cycle management, risk underwriting and pricing, operational effectiveness, credit and operational risk monitoring and governance, regulatory reporting, and data management.</w:t>
      </w:r>
    </w:p>
    <w:p>
      <w:pPr>
        <w:spacing w:after="0" w:line="89"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enhance, modernize and enrich structured and unstructured data and use a spectrum of advanced analytical tools and techniques, including our in-house AI and ML capabilities and proprietary solutions, to create insights, improve decision making for our clients and address a range of complex industry-wide priorities, including:</w:t>
      </w:r>
    </w:p>
    <w:p>
      <w:pPr>
        <w:spacing w:after="0" w:line="124"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Superior customer experience, driving engagement, loyalty and increasing cross-sell through a deeper understanding of consumer behavior;</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Solutions for risk models, stress testing, Basel risk-weighted assets, reserves, and economic capital calculation;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ML models for fraud monitoring, loss mitigation, and implementation and execution of fraud strategies;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Enhanced decision-making in underwriting, claims processing and policy renewal through cognitive image analytics.</w:t>
      </w:r>
    </w:p>
    <w:p>
      <w:pPr>
        <w:spacing w:after="0" w:line="165"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Our Analytics team is comprised of approximately 8,200 professionals, including data scientists, data architects, business analysts, statisticians, modelers, industry domain specialists and data experts.</w:t>
      </w:r>
    </w:p>
    <w:p>
      <w:pPr>
        <w:spacing w:after="0" w:line="113"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We help our clients leverage internal and external data sources, enhance their data assets, identify and visualize data patterns, and utilize data-led insights to improve their effectiveness. Our Analytics services for our clients include:</w:t>
      </w:r>
    </w:p>
    <w:p>
      <w:pPr>
        <w:spacing w:after="0" w:line="113" w:lineRule="exact"/>
        <w:rPr>
          <w:sz w:val="20"/>
          <w:szCs w:val="20"/>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Identification, cleansing, matching and use of structured, semi-structured and unstructured data available both internally to our client’s organization and externally;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Integration of data insights and predictive models into real-time, decision-making processes to drive measurable business impact;</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Design and implementation of services that enable data visualization and management reporting enabling business users to segment, drill down, and filter data; and</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Deployment of analytics professionals and data scientists who utilize analytics tools, cutting edge statistical techniques and methodologies in ways designed to help customers better understand their data to generate actionable business insights.</w:t>
      </w:r>
    </w:p>
    <w:p>
      <w:pPr>
        <w:spacing w:after="0" w:line="113" w:lineRule="exact"/>
        <w:rPr>
          <w:sz w:val="20"/>
          <w:szCs w:val="20"/>
          <w:color w:val="auto"/>
        </w:rPr>
      </w:pPr>
    </w:p>
    <w:p>
      <w:pPr>
        <w:jc w:val="both"/>
        <w:ind w:firstLine="378"/>
        <w:spacing w:after="0" w:line="266" w:lineRule="auto"/>
        <w:rPr>
          <w:sz w:val="20"/>
          <w:szCs w:val="20"/>
          <w:color w:val="auto"/>
        </w:rPr>
      </w:pPr>
      <w:r>
        <w:rPr>
          <w:rFonts w:ascii="Arial" w:cs="Arial" w:eastAsia="Arial" w:hAnsi="Arial"/>
          <w:sz w:val="17"/>
          <w:szCs w:val="17"/>
          <w:color w:val="auto"/>
        </w:rPr>
        <w:t>Our Analytics engagements span both project work and longer-term arrangements where EXL provides ongoing analytics modeling and services for a year or longer. We utilize our domain and industry knowledge to drive these engagements across our various competencies including data management and cloud enablement, AI, ML and advanced analytics and insights, data-enabled marketing solutions and strategic data assets.</w:t>
      </w:r>
    </w:p>
    <w:p>
      <w:pPr>
        <w:spacing w:after="0" w:line="124"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Our Analytics services support: (1) retail banking, commercial banking and investment banking and management for the banking and financial services industries; (2) marketing analytics, clinical analytics, patient engagement and pharmaco-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economics outcomes in the healthcare industry; (3) marketing and agency analytics, actuarial, servicing and operations, customer management and claims and money movement in the insurance industry; and (4) marketing analytics, supply chain, logistics and digital operations and solutions in the retail, media and entertainment industries.</w:t>
      </w:r>
    </w:p>
    <w:p>
      <w:pPr>
        <w:spacing w:after="0" w:line="12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Over the past two years, we have seen a significant acceleration in the shift to digital and cloud-based solutions across all our target markets, including as a result of the COVID-19 pandemic. Capturing data and enriching data has become a key differentiator for clients and their speed of decision making necessitating the adoption of advanced AI and ML techniques. The accelerated adoption of cloud-based solutions has increased our clients’ needs for a suite of cloud migration and enablement capabilities.</w:t>
      </w:r>
    </w:p>
    <w:p>
      <w:pPr>
        <w:spacing w:after="0" w:line="12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expect the trend in increased demand for analytics solutions to continue, and to capture these new opportunities, we are building a scalable and customizable multi-cloud cross-sector AI and advanced analytics platform with pre-built accelerators and packaged solutions. This platform will expand our target addressable market and help monetize our intellectual property through ‘as-a-service’ models.</w:t>
      </w:r>
    </w:p>
    <w:p>
      <w:pPr>
        <w:spacing w:after="0" w:line="111"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During 2022, we made significant progress in the development of solutions on our analytics platform. We now have three solutions that are live on this platform with several client deployments in-progress and others under development.</w:t>
      </w:r>
    </w:p>
    <w:p>
      <w:pPr>
        <w:spacing w:after="0" w:line="117" w:lineRule="exact"/>
        <w:rPr>
          <w:sz w:val="20"/>
          <w:szCs w:val="20"/>
          <w:color w:val="auto"/>
        </w:rPr>
      </w:pPr>
    </w:p>
    <w:p>
      <w:pPr>
        <w:jc w:val="both"/>
        <w:ind w:firstLine="387"/>
        <w:spacing w:after="0" w:line="263" w:lineRule="auto"/>
        <w:rPr>
          <w:sz w:val="20"/>
          <w:szCs w:val="20"/>
          <w:color w:val="auto"/>
        </w:rPr>
      </w:pPr>
      <w:r>
        <w:rPr>
          <w:rFonts w:ascii="Arial" w:cs="Arial" w:eastAsia="Arial" w:hAnsi="Arial"/>
          <w:sz w:val="15"/>
          <w:szCs w:val="15"/>
          <w:color w:val="auto"/>
        </w:rPr>
        <w:t>Our EXLClarity</w:t>
      </w:r>
      <w:r>
        <w:rPr>
          <w:rFonts w:ascii="Arial" w:cs="Arial" w:eastAsia="Arial" w:hAnsi="Arial"/>
          <w:sz w:val="19"/>
          <w:szCs w:val="19"/>
          <w:color w:val="auto"/>
          <w:vertAlign w:val="superscript"/>
        </w:rPr>
        <w:t>TM</w:t>
      </w:r>
      <w:r>
        <w:rPr>
          <w:rFonts w:ascii="Arial" w:cs="Arial" w:eastAsia="Arial" w:hAnsi="Arial"/>
          <w:sz w:val="15"/>
          <w:szCs w:val="15"/>
          <w:color w:val="auto"/>
        </w:rPr>
        <w:t xml:space="preserve"> platform supports payers’ and providers’ risk adjustment and quality management programs to close clinical gaps and optimize revenue, and our EXLVantage</w:t>
      </w:r>
      <w:r>
        <w:rPr>
          <w:rFonts w:ascii="Arial" w:cs="Arial" w:eastAsia="Arial" w:hAnsi="Arial"/>
          <w:sz w:val="19"/>
          <w:szCs w:val="19"/>
          <w:color w:val="auto"/>
          <w:vertAlign w:val="superscript"/>
        </w:rPr>
        <w:t>TM</w:t>
      </w:r>
      <w:r>
        <w:rPr>
          <w:rFonts w:ascii="Arial" w:cs="Arial" w:eastAsia="Arial" w:hAnsi="Arial"/>
          <w:sz w:val="15"/>
          <w:szCs w:val="15"/>
          <w:color w:val="auto"/>
        </w:rPr>
        <w:t xml:space="preserve"> platform offers robust population health analytics that can be leveraged by payer and provider customers to drive insights and associated actions for improved outcomes in quality and efficiency performance for care and network optimization. In addition, our population health analytics models can be leveraged with our campaign management and marketing analytics to support member acquisition and clinical program intervention management.</w:t>
      </w:r>
    </w:p>
    <w:p>
      <w:pPr>
        <w:spacing w:after="0" w:line="130"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We offer end-to-end data management services to support data strategy, ingestion, normalization, quality, security, governance, visualization and data architecture development and deployment via agnostic tools and flexible delivery models.</w:t>
      </w:r>
    </w:p>
    <w:p>
      <w:pPr>
        <w:spacing w:after="0" w:line="11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acquisition of Clairvoyant AI, Inc. (“Clairvoyant”) in December 2021 strengthened our data analytics capabilities with additional expertise in data and product engineering, machine learning operations, cloud enablement and managed services. During 2022, we were able to cross-sell these capabilities and expand our footprint within our existing clients in the insurance, healthcare, banking and financial services and retail industries.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Strategy</w:t>
      </w:r>
    </w:p>
    <w:p>
      <w:pPr>
        <w:spacing w:after="0" w:line="197"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EXL is a leading data analytics and digital operations and solutions company and is a key strategic partner for data-led businesses. We drive business outcomes for our clients through advanced analytics and AI/ML-powered digital solutions on the cloud. We do this through our data-led value creation framework to enable better and faster decision making, and we re-design operating models to integrate advanced technology into operational workflows. Below are some of our strategically focused considerations: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Expanding our Services in Large Addressable Markets</w:t>
      </w:r>
    </w:p>
    <w:p>
      <w:pPr>
        <w:spacing w:after="0" w:line="16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continue to focus on the insurance, healthcare, banking, retail, media and technology industries, among others, which are large markets with high demand, as well as pursuing opportunities in emerging industries. We also continue to build our client portfolio in finance and accounting and consulting services in all our business segments. We are strategically equipped to help clients apply relevant digital technologies to enterprise processes and business priorities at every step of the digital transformation journey, by bringing together domain expertise with data, advanced analytics, cloud, AI and ML. Demand for our services is expected to continue to exhibit growth in the next several years.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Integrating our Data-led and Domain Capabilities</w:t>
      </w:r>
    </w:p>
    <w:p>
      <w:pPr>
        <w:spacing w:after="0" w:line="165"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 combination of our data-led capabilities and domain expertise has been central to our market differentiation. We are also well-positioned with our suite of advanced analytics, data and AI-based digital solutions to create integrated services and solutions under one brand.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Cultivating Long-term Relationships and Expanding our Client Base</w:t>
      </w:r>
    </w:p>
    <w:p>
      <w:pPr>
        <w:spacing w:after="0" w:line="16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spacing w:after="0" w:line="113" w:lineRule="exact"/>
        <w:rPr>
          <w:sz w:val="20"/>
          <w:szCs w:val="20"/>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the depth and breadth of the services we provide across our clients’ value chains and geographies;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2"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Offering the full suite of EXL services, which includes digital operations and solutions, consulting and data analytics services;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Supporting our clients’ geographic expansions by leveraging our global footprint.</w:t>
      </w:r>
    </w:p>
    <w:p>
      <w:pPr>
        <w:spacing w:after="0" w:line="165" w:lineRule="exact"/>
        <w:rPr>
          <w:sz w:val="20"/>
          <w:szCs w:val="20"/>
          <w:color w:val="auto"/>
        </w:rPr>
      </w:pPr>
    </w:p>
    <w:p>
      <w:pPr>
        <w:jc w:val="both"/>
        <w:ind w:firstLine="378"/>
        <w:spacing w:after="0" w:line="266" w:lineRule="auto"/>
        <w:rPr>
          <w:sz w:val="20"/>
          <w:szCs w:val="20"/>
          <w:color w:val="auto"/>
        </w:rPr>
      </w:pPr>
      <w:r>
        <w:rPr>
          <w:rFonts w:ascii="Arial" w:cs="Arial" w:eastAsia="Arial" w:hAnsi="Arial"/>
          <w:sz w:val="17"/>
          <w:szCs w:val="17"/>
          <w:color w:val="auto"/>
        </w:rPr>
        <w:t>We intend to continue building a portfolio of Fortune 500 and Global 2000 companies in our focus industries that have complex and diverse data-led processes and, accordingly, stand to benefit significantly from our services. We also intend to cultivate long-term relationships with medium-sized companies in our focus industries by leveraging our BPaaS and digital offerings.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Optimizing our Global Delivery Footprint and Operational Infrastructure in the Countries and Regions in Which we Operate</w:t>
      </w:r>
    </w:p>
    <w:p>
      <w:pPr>
        <w:spacing w:after="0" w:line="153" w:lineRule="exact"/>
        <w:rPr>
          <w:sz w:val="20"/>
          <w:szCs w:val="20"/>
          <w:color w:val="auto"/>
        </w:rPr>
      </w:pPr>
    </w:p>
    <w:p>
      <w:pPr>
        <w:jc w:val="both"/>
        <w:ind w:firstLine="378"/>
        <w:spacing w:after="0" w:line="250" w:lineRule="auto"/>
        <w:rPr>
          <w:sz w:val="20"/>
          <w:szCs w:val="20"/>
          <w:color w:val="auto"/>
        </w:rPr>
      </w:pPr>
      <w:r>
        <w:rPr>
          <w:rFonts w:ascii="Arial" w:cs="Arial" w:eastAsia="Arial" w:hAnsi="Arial"/>
          <w:sz w:val="17"/>
          <w:szCs w:val="17"/>
          <w:color w:val="auto"/>
        </w:rPr>
        <w:t>Our network of delivery centers and operational footprint is designed to serve the needs of our business, including delivering for our clients, driving efficiencies and adapting to hybrid and remote working models. As part of our ongoing evaluation of facilities usage and business needs, we continually optimize our network and footprint.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Pursuing Strategic Acquisitions and Relationships</w:t>
      </w:r>
    </w:p>
    <w:p>
      <w:pPr>
        <w:spacing w:after="0" w:line="165" w:lineRule="exact"/>
        <w:rPr>
          <w:sz w:val="20"/>
          <w:szCs w:val="20"/>
          <w:color w:val="auto"/>
        </w:rPr>
      </w:pPr>
    </w:p>
    <w:p>
      <w:pPr>
        <w:jc w:val="both"/>
        <w:ind w:firstLine="387"/>
        <w:spacing w:after="0" w:line="300" w:lineRule="auto"/>
        <w:rPr>
          <w:sz w:val="20"/>
          <w:szCs w:val="20"/>
          <w:color w:val="auto"/>
        </w:rPr>
      </w:pPr>
      <w:r>
        <w:rPr>
          <w:rFonts w:ascii="Arial" w:cs="Arial" w:eastAsia="Arial" w:hAnsi="Arial"/>
          <w:sz w:val="15"/>
          <w:szCs w:val="15"/>
          <w:color w:val="auto"/>
        </w:rPr>
        <w:t>We intend to continue making selective acquisitions in our focus industry verticals that enhance our competitive differentiation and that meet our strategic and financial criteria. We consider selective strategic relationships with industry leaders that add new long-term client relationships, enhance the depth and breadth of our services and solutions and complement our business strategy. Through our Connected Intelligence Partnership programs, we expand our technology and innovation ecosystem with select partnerships, alliances or investments. We expect that the digital assets and intellectual property this ecosystem provides will</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enhance our go-to-market opportunities, expand the scope and effectiveness of our services and solutions, help us to win new clients, and allow us to enter new industry verticals and geographic markets.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Industry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Digital operations and solutions</w:t>
      </w:r>
    </w:p>
    <w:p>
      <w:pPr>
        <w:spacing w:after="0" w:line="165"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7"/>
          <w:szCs w:val="17"/>
          <w:color w:val="auto"/>
        </w:rPr>
        <w:t>As a provider of digital operations and solutions, we work with clients to execute enterprise-scale business transformation initiatives that enable improved customer experience, revenue growth, operational efficiency and reduced risk. Our asset-based operations services combine the industry-specific knowledge of our global workforce with an ecosystem of partner and proprietary digital solutions. These digital solutions help clients achieve their desired outcomes in three key ways: 1) leveraging advanced analytics that combine publicly available data, proprietary data sets and clients’ own data to help power faster, more strategic decision making, 2) integrating AI/ML-driven natural language processing solutions to help streamline manual, labor-intensive workflows and improve end-customer engagement and experience, and 3) implementing AI/ML-powered operating models that help our clients transition from legacy business operations and get to market faster.</w:t>
      </w:r>
    </w:p>
    <w:p>
      <w:pPr>
        <w:spacing w:after="0" w:line="133"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This comprehensive approach acknowledges the critical role that digital capabilities play in both the operational business process and consumer-facing customer engagement and user experience, as our clients’ customer touch points, interactions and experiences have increasingly shifted to digital channels.</w:t>
      </w:r>
    </w:p>
    <w:p>
      <w:pPr>
        <w:spacing w:after="0" w:line="89"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7"/>
          <w:szCs w:val="17"/>
          <w:color w:val="auto"/>
        </w:rPr>
        <w:t>Digital transformation is a long-term strategic commitment for a company that, once begun, is generally not subject to cyclical spending or information technology budget fluctuations. Increased global demand, cost improvements in international communications and the automation of many business services have created opportunities for digital operations providers with offshore delivery capabilities, and many companies are moving select office processes to providers with the capacity to perform these functions from overseas locations. We believe the demand for digital operations and solutions will be led primarily by industries that are transaction-driven and require extensive customer interaction.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Analytics</w:t>
      </w:r>
    </w:p>
    <w:p>
      <w:pPr>
        <w:spacing w:after="0" w:line="165"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As a provider of advanced analytics, AI and data services, we help companies access and deliver real-time data and insights at multiple points in their overall workflows so that all parts of the organization are working from the same data pool. Leveraging a large number of high-frequency, granular, non-traditional data elements aggregated across proprietary data sets, client data and publicly available sources, advanced analytics enables clients to deliver personalized customer experiences at scale, settle consumer issues efficiently and rapidly adapt their business strategies in response to market changes.</w:t>
      </w:r>
    </w:p>
    <w:p>
      <w:pPr>
        <w:spacing w:after="0" w:line="112"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The enhanced generation of business data across multiple formats, substantial reduction in data storage costs, growing enterprise demand for data-led decision making and availability of sophisticated analytics tools, have enabled companies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make better decisions. By leveraging our end-to-end service offerings, we develop industry-specific AI and advanced analytics solutions and generate data insights, which makes us well-positioned to benefit from this global trend.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Marketing and Client Management</w:t>
      </w:r>
    </w:p>
    <w:p>
      <w:pPr>
        <w:spacing w:after="0" w:line="165" w:lineRule="exact"/>
        <w:rPr>
          <w:sz w:val="20"/>
          <w:szCs w:val="20"/>
          <w:color w:val="auto"/>
        </w:rPr>
      </w:pPr>
    </w:p>
    <w:p>
      <w:pPr>
        <w:jc w:val="both"/>
        <w:ind w:firstLine="378"/>
        <w:spacing w:after="0" w:line="266" w:lineRule="auto"/>
        <w:rPr>
          <w:sz w:val="20"/>
          <w:szCs w:val="20"/>
          <w:color w:val="auto"/>
        </w:rPr>
      </w:pPr>
      <w:r>
        <w:rPr>
          <w:rFonts w:ascii="Arial" w:cs="Arial" w:eastAsia="Arial" w:hAnsi="Arial"/>
          <w:sz w:val="17"/>
          <w:szCs w:val="17"/>
          <w:color w:val="auto"/>
        </w:rPr>
        <w:t>We market our services to our existing and prospective clients through our sales and client management teams, which are aligned by industry verticals and cross-industry domains such as finance and accounting and consulting. Our sales and client management teams operate from the U.S., Europe, Australia and South Africa are supported by our business development teams.</w:t>
      </w:r>
    </w:p>
    <w:p>
      <w:pPr>
        <w:spacing w:after="0" w:line="124"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6"/>
          <w:szCs w:val="16"/>
          <w:color w:val="auto"/>
        </w:rPr>
        <w:t>Our sales, marketing and business development teams are responsible for new client acquisitions, public relations, relations with outsourcing advisory companies, analyst relations, lead generation, knowledge management, content development, campaign management, digital or web presence, brand awareness and participation in industry forums and conferences. As of December 31, 2022, we employed approximately 231 sales, marketing, business development and client management professionals, with the majority of them based in either the U.S. or Europe. Our professionals generally have significant experience in consulting, analytics, digital operations and solutions services and digital technology within our focus industries.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Clients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EXL generated revenues from approximately 550 clients and 459 clients in 2022 and 2021, respectively (with annual revenue exceeding $50,000 per client).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We have won 59 and 58 new clients during 2022 and 2021, respectively.</w:t>
      </w:r>
    </w:p>
    <w:p>
      <w:pPr>
        <w:spacing w:after="0" w:line="15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Our top three, five and ten clients generated 16.3%, 22.9% and 34.9% of our revenues, respectively, in 2022. Our top three, five and ten clients generated 18.7%, 25.2% and 38.1% of our revenues, respectively, in 2021. No client accounted for more than 10% of our total revenues in 2022 or 2021. Our revenue concentration with our top clients has reduced year-over-year as we continue to develop relationships with new clients to diversify our client base. We believe that the loss of any of our ten largest clients could have a material adverse effect on our financial performance. See Part I, Item 1A, “Risk Factors” under “Risks Related to Our Business-We earn a substantial portion of our revenues from a limited number of clients.”</w:t>
      </w:r>
    </w:p>
    <w:p>
      <w:pPr>
        <w:spacing w:after="0" w:line="131"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7"/>
          <w:szCs w:val="17"/>
          <w:color w:val="auto"/>
        </w:rPr>
        <w:t>Our long-term relationships with our clients typically evolve from providing a single, discrete service or process into providing a series of complex, integrated processes across multiple business lines. For digital operations and solutions other than consulting, we generally enter into long-term agreements with our clients with typical initial terms of between three to five years. Consulting engagements have typical terms of six to twelve months. Agreements for our analytics services are either project based or have shorter initial terms, which are typically between one to three years. However, each agreement is individually negotiated with the client.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1"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6"/>
          <w:szCs w:val="16"/>
          <w:color w:val="auto"/>
        </w:rPr>
        <w:t>Competition in the data analytics and digital operations and solutions industry is intense and growing. See Part I, Item 1A, “Risk Factors” under “Risks Related to Our Business-We face competition from U.S.-based and non-U.S.-based BPM and IT companies and from our clients, who may build shared services centers to perform digital operations and solutions and analytics services themselves, either in-house or other arrangements.” Many companies, including certain of our clients, choose to perform some or all of their front-, middle- and back-office analytics and processes internally, utilizing their own employees and digital applications to provide these services as part of their regular business operations. We believe our key advantage over in-house business processes and analytics management is our ability to orchestrate relevant domain, data, digital, advanced analytics and human design expertise to enable delivery of sustainable outcomes that allow companies to focus on their customers, core products and markets. We compete primarily against:</w:t>
      </w:r>
    </w:p>
    <w:p>
      <w:pPr>
        <w:spacing w:after="0" w:line="118" w:lineRule="exact"/>
        <w:rPr>
          <w:sz w:val="20"/>
          <w:szCs w:val="20"/>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large global companies with digital operations and solutions and operations capabilities, such as Accenture, Cognizant Technology Solutions, Genpact Limited, IBM, Infosys, NTT DATA, Tata Consultancy Services, and WNS (Holdings);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niche industry-specific digital operations and solutions providers such as Cotiviti and Optum Health;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niche analytics services and digital platform providers;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leading accounting and management consulting firms.</w:t>
      </w:r>
    </w:p>
    <w:p>
      <w:pPr>
        <w:spacing w:after="0" w:line="165"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We compete against these entities by working to differentiate ourselves as a strategic partner for businesses with deep industry expertise, sophisticated data and analytics capabilities, innovative digital operations and solutions and technology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strong client relationships, leading industry talent, superior process capabilities and differentiated technology, which enable us to respond rapidly to market trends and the evolving needs of our clients.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71" w:lineRule="exact"/>
        <w:rPr>
          <w:sz w:val="20"/>
          <w:szCs w:val="20"/>
          <w:color w:val="auto"/>
        </w:rPr>
      </w:pPr>
    </w:p>
    <w:p>
      <w:pPr>
        <w:jc w:val="both"/>
        <w:ind w:firstLine="387"/>
        <w:spacing w:after="0" w:line="277" w:lineRule="auto"/>
        <w:rPr>
          <w:sz w:val="20"/>
          <w:szCs w:val="20"/>
          <w:color w:val="auto"/>
        </w:rPr>
      </w:pPr>
      <w:r>
        <w:rPr>
          <w:rFonts w:ascii="Arial" w:cs="Arial" w:eastAsia="Arial" w:hAnsi="Arial"/>
          <w:sz w:val="16"/>
          <w:szCs w:val="16"/>
          <w:color w:val="auto"/>
        </w:rPr>
        <w:t>Our intellectual property consists of proprietary platforms, software, data sets, models, processes, algorithms, methodologies and know-how, as well as our name and marks, among other assets. We consider many of our business processes and implementation methodologies to be trade secrets or proprietary know-how and confidential information. We seek to protect our intellectual property through a combination of patent, trademark, copyright and trade secret laws, confidentiality procedures and contractual provisions. Clients and business partners typically agree in writing to confidential treatment of our information. Our employees and independent contractors are required to sign work-for-hire agreements containing confidentiality covenants as a condition to their employment and engagement, respectively. We also have policies requiring our associates to respect the intellectual property rights of others.</w:t>
      </w:r>
    </w:p>
    <w:p>
      <w:pPr>
        <w:spacing w:after="0" w:line="118"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7"/>
          <w:szCs w:val="17"/>
          <w:color w:val="auto"/>
        </w:rPr>
        <w:t>The solutions we offer our clients often include our software, data and other intellectual property assets developed by our technology group, combined with software and data licensed by us or clients from third parties. We also leverage several strategic partnerships with third parties to facilitate our solution offerings to clients, including, among others, robotics and process automation software companies and a financing platform provider. We typically retain ownership of any pre-existing proprietary intellectual property assets, including modifications or enhancements to such pre-existing proprietary assets developed while providing client services. While working on client engagements, we also often develop new tools, methodologies and models, including robotics and process automation software, or “bots,” AI and ML capabilities. We endeavor to negotiate contracts that give us ownership or broad licenses to use, develop, demonstrate and offer such tools for other clients.</w:t>
      </w:r>
    </w:p>
    <w:p>
      <w:pPr>
        <w:spacing w:after="0" w:line="133"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7"/>
          <w:szCs w:val="17"/>
          <w:color w:val="auto"/>
        </w:rPr>
        <w:t>We operate in a highly competitive and rapidly evolving global market. We seek to continue providing value to our clients with our deep domain expertise, ability to advise clients on how to transform their processes and deliver transformation that drives business value, ability to provide innovative services and solutions, including digital offerings that incorporate AI and ML capabilities, and our ability to continuously improve processes and consistently add value through digital transformation. We also rely on our reputation, client references, ability to sustain long-term client relationships, as well as our global reach and scale, and competitive pricing to maintain our competitiveness in our industry. While our proprietary intellectual property assets are important to our business, we believe our company as a whole is not materially dependent on any particular intellectual property, other than our EXL brand. We have a registered, and have applied for the registration of, numerous U.S. and international trademarks, service marks, and domain names to protect our brands, including our EXL brand, which is one of our most valuable assets.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Security and Data Privacy</w:t>
      </w:r>
    </w:p>
    <w:p>
      <w:pPr>
        <w:spacing w:after="0" w:line="17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maintain a comprehensive program that focuses on information security and cyber security, data privacy and the protection of our clients’ confidential personal and sensitive information. We have invested in strengthening our cyber security posture and protocols to enable compliance with our contractual obligations and the regulations governing our activities. These investments include people, processes and technology intended to protect information throughout the business life cycle.</w:t>
      </w:r>
    </w:p>
    <w:p>
      <w:pPr>
        <w:spacing w:after="0" w:line="126"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Cyber security is managed by our cross-functional cyber security apex body, the Management Security, Continuity and Privacy Forum, which is comprised of representatives from our management, business unit heads, and our technology and information security leadership teams. The Audit Committee of our board of directors has primary oversight and receives briefings throughout the year on cyber security-related risks, vulnerabilities and strategic policies and practices from management. At least once a year, our full board receives a report from management on the Company’s readiness and capability to reduce the risk of, detect and respond to a cyber-attack.</w:t>
      </w:r>
    </w:p>
    <w:p>
      <w:pPr>
        <w:spacing w:after="0" w:line="131"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6"/>
          <w:szCs w:val="16"/>
          <w:color w:val="auto"/>
        </w:rPr>
        <w:t>Our cyber security strategy aims to build a cyber-resilient organization and focuses on implementing and operating cyber security capabilities to identify, protect, detect, respond and recover from cyber threats and events; our cyber security capabilities are also designed to enable us to mitigate vulnerabilities and minimize the impact of cyber incidents if they occur. We emphasize institutional governance built on, and supported by, policies and processes, tools and technologies and knowledge and awareness training. We take into account guidelines from relevant regulatory and governance bodies, including but not limited to the Cyber Security Framework of the National Institute of Standards and Technology of the U.S. Department of Commerce, in designing policies and controls regarding security of sensitive and confidential information of our clients, employee, partners, third parties, as well as our intellectual property and confidential information. We have undertaken measures designed to comply with all applicable privacy laws and regulations, including the European General Data Protection Regulation (EU) 2016/679 (“GDPR”), the U.S. Health Insurance Portability and Accountability Act of 1996, as amended, the California Consumer Privacy Act (“CCPA”), the California Privacy Rights Act (the “CPRA”), the Virginia Consumer Data Protection Act (“VCDPA”), the Colorado Privacy Act (“CPA”), as well as other national and state laws or regulations.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378"/>
        <w:spacing w:after="0" w:line="272" w:lineRule="auto"/>
        <w:rPr>
          <w:sz w:val="20"/>
          <w:szCs w:val="20"/>
          <w:color w:val="auto"/>
        </w:rPr>
      </w:pPr>
      <w:r>
        <w:rPr>
          <w:rFonts w:ascii="Arial" w:cs="Arial" w:eastAsia="Arial" w:hAnsi="Arial"/>
          <w:sz w:val="16"/>
          <w:szCs w:val="16"/>
          <w:color w:val="auto"/>
        </w:rPr>
        <w:t>According to the needs of our clients as well as the regulatory requirements of the geographies where we operate, many of our delivery centers are certified related to information security and health and environmental safety, such as the ISO 27001:2013 standard for information security management systems, the ISO 22301:2012 for business continuity management systems, the ISO 9001:2008 standard for quality management system, the ISO 14001 for environmental management standards and the OHSAS 18001:2007 standard for occupational health and safety management systems. The required delivery centers and processes are also compliant with HITRUST CSF™ and certified for other similar requirements. Some of our centers in the Philippines and South Africa and certain client processes in other operation centers in India are compliant with the Payment Card Industry Data Security Standard (PCI-DSS) version 3.2 or higher requirements. We engage independent firms to conduct General Controls and business process (SOC1and SOC2 - Type II) assessments on managed hosting environments that we offer in our Insurance and Healthcare verticals. We also engage third parties to periodically conduct vulnerability assessment and penetration testing of its technology environment. For disaster recovery purposes, many of our key technology systems are hosted in ISO 27001 certified, SSAE18 SOC1 compliant Tier 4 data centers that are proactively monitored and managed 24 hours a day. In 2021, we conducted an external security readiness review of our approach to remote work and strengthened the environment further. In 2022, we conducted an assessment of the effectiveness of our cyber security capabilities with an independent consulting firm to align with the evolving threat landscape.</w:t>
      </w:r>
    </w:p>
    <w:p>
      <w:pPr>
        <w:spacing w:after="0" w:line="128" w:lineRule="exact"/>
        <w:rPr>
          <w:sz w:val="20"/>
          <w:szCs w:val="20"/>
          <w:color w:val="auto"/>
        </w:rPr>
      </w:pPr>
    </w:p>
    <w:p>
      <w:pPr>
        <w:jc w:val="both"/>
        <w:ind w:firstLine="378"/>
        <w:spacing w:after="0" w:line="292" w:lineRule="auto"/>
        <w:rPr>
          <w:sz w:val="20"/>
          <w:szCs w:val="20"/>
          <w:color w:val="auto"/>
        </w:rPr>
      </w:pPr>
      <w:r>
        <w:rPr>
          <w:rFonts w:ascii="Arial" w:cs="Arial" w:eastAsia="Arial" w:hAnsi="Arial"/>
          <w:sz w:val="15"/>
          <w:szCs w:val="15"/>
          <w:color w:val="auto"/>
        </w:rPr>
        <w:t>In March 2020, as a result of COVID-19 and the implementation of our business continuity plans, a significant portion of our employees began to provide services from their homes, or other remote locations. Under our new hybrid and remote working models, many of our employees will continue to provide services from their home or other remote locations. We augmented our control environment to meet this business requirement. These augmented controls include enhancing endpoint security capabilities and strong encryption, and a secure virtual private network to access EXL or client application from these global locations. As we were unable to replicate physical controls in place at our delivery centers, we agreed with our clients to implement certain additional logical information security controls on the technology and computers issued by EXL and used by our employees while working from home, including browsers, peripherals and operating systems restrictions, as well additional monitoring from our Cyber Defense Operations Center. All employees providing services from home are required to agree to an undertaking of their compliance with our Telecommuter Policy. However, we continue to face certain risks related to cyber security threats in general including in connection with our hybrid and remote working models. See Part I, Item 1A, “Risk Factors” under “Risks Related to Our Business-We are vulnerable to natural disasters, technical disruptions, pandemics and societally created events that could severely disrupt the normal operation of our business and if our risk management, business continuity and disaster recovery plans are not effective, it may adversely affect our business, results of operations, financial condition and cash flows” and under “Risks Related to Our Business-Unauthorized disclosure of sensitive or confidential client and employee data, whether through breach of our computer systems or otherwise, could cause us significant reputational damage, expose us to protracted and costly litigation, and cause us to lose clients.”</w:t>
      </w:r>
    </w:p>
    <w:p>
      <w:pPr>
        <w:spacing w:after="0" w:line="108" w:lineRule="exact"/>
        <w:rPr>
          <w:sz w:val="20"/>
          <w:szCs w:val="20"/>
          <w:color w:val="auto"/>
        </w:rPr>
      </w:pPr>
    </w:p>
    <w:p>
      <w:pPr>
        <w:jc w:val="both"/>
        <w:ind w:firstLine="378"/>
        <w:spacing w:after="0" w:line="262" w:lineRule="auto"/>
        <w:rPr>
          <w:sz w:val="20"/>
          <w:szCs w:val="20"/>
          <w:color w:val="auto"/>
        </w:rPr>
      </w:pPr>
      <w:r>
        <w:rPr>
          <w:rFonts w:ascii="Arial" w:cs="Arial" w:eastAsia="Arial" w:hAnsi="Arial"/>
          <w:sz w:val="17"/>
          <w:szCs w:val="17"/>
          <w:color w:val="auto"/>
        </w:rPr>
        <w:t>We have procured from leading global technology providers and other third parties a robust, wide area network and international telecommunications capacity to support our global business operations. Our business continuity management plans include locations, redundancy network infrastructure, power sources and other utilities to mitigate and manage operational risks as well as trained talent across our service delivery locations. These plans are documented, as well as tested on a periodic basis.</w:t>
      </w:r>
    </w:p>
    <w:p>
      <w:pPr>
        <w:spacing w:after="0" w:line="126" w:lineRule="exact"/>
        <w:rPr>
          <w:sz w:val="20"/>
          <w:szCs w:val="20"/>
          <w:color w:val="auto"/>
        </w:rPr>
      </w:pPr>
    </w:p>
    <w:p>
      <w:pPr>
        <w:jc w:val="both"/>
        <w:ind w:firstLine="378"/>
        <w:spacing w:after="0" w:line="262" w:lineRule="auto"/>
        <w:rPr>
          <w:sz w:val="20"/>
          <w:szCs w:val="20"/>
          <w:color w:val="auto"/>
        </w:rPr>
      </w:pPr>
      <w:r>
        <w:rPr>
          <w:rFonts w:ascii="Arial" w:cs="Arial" w:eastAsia="Arial" w:hAnsi="Arial"/>
          <w:sz w:val="17"/>
          <w:szCs w:val="17"/>
          <w:color w:val="auto"/>
        </w:rPr>
        <w:t>We have adopted a cloud-first strategy for delivering business and enterprise technology services and have developed a Unified Cloud Infrastructure that addresses requirements across our diverse businesses leveraging public cloud services. This infrastructure spans across a multi-cloud environment for data and digital led business solutions and are covered with globally established service level agreements and best practices. We have deployed additional controls to create visibility around the cloud environment.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71"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At EXL, our culture is defined by our five core values: innovation, collaboration, excellence, integrity and mutual respect. In line with these values, we consider our employees to be critical to the success of our business and view employee development and growth as key to our performance and sustainability.</w:t>
      </w:r>
    </w:p>
    <w:p>
      <w:pPr>
        <w:spacing w:after="0" w:line="89"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As of December 31, 2022, we had a headcount of approximately 45,400 employees. We had approximately 30,000 employees based in India, 9,800 employees in the Philippines, 2,700 employees in the United States, 2,900 employees in South Africa and other geographies.</w:t>
      </w:r>
    </w:p>
    <w:p>
      <w:pPr>
        <w:spacing w:after="0" w:line="113"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Less than 1% of our total workforce, comprised of our employees based in Romania, is covered by collective bargaining agreements, as required by Romanian law. We have never experienced any work stoppages and believe that we enjoy good employee relations.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Equity and Inclusion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right="380" w:firstLine="387"/>
        <w:spacing w:after="0" w:line="279" w:lineRule="auto"/>
        <w:rPr>
          <w:sz w:val="20"/>
          <w:szCs w:val="20"/>
          <w:color w:val="auto"/>
        </w:rPr>
      </w:pPr>
      <w:r>
        <w:rPr>
          <w:rFonts w:ascii="Arial" w:cs="Arial" w:eastAsia="Arial" w:hAnsi="Arial"/>
          <w:sz w:val="17"/>
          <w:szCs w:val="17"/>
          <w:color w:val="auto"/>
        </w:rPr>
        <w:t>Our diversity, equity and inclusion philosophy is to create an inclusive work environment and leverage diversity to enable the organization to effectively capitalize on the differing views and contributions that each employee brings to the workplace.</w:t>
      </w:r>
    </w:p>
    <w:p>
      <w:pPr>
        <w:spacing w:after="0" w:line="11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consider diversity, equity and inclusion to be a key factor in our recruiting and retention goals and overall business growth strategy. As of December 31, 2022, of the United States reporting workforce, approximately 48.7% were racially/ethnically diverse individuals. As of December 31, 2022, our global workforce was approximately 41.2% female, with 18,700 women employees globally.</w:t>
      </w:r>
    </w:p>
    <w:p>
      <w:pPr>
        <w:spacing w:after="0" w:line="124" w:lineRule="exact"/>
        <w:rPr>
          <w:sz w:val="20"/>
          <w:szCs w:val="20"/>
          <w:color w:val="auto"/>
        </w:rPr>
      </w:pPr>
    </w:p>
    <w:p>
      <w:pPr>
        <w:jc w:val="both"/>
        <w:ind w:firstLine="387"/>
        <w:spacing w:after="0" w:line="274" w:lineRule="auto"/>
        <w:rPr>
          <w:sz w:val="20"/>
          <w:szCs w:val="20"/>
          <w:color w:val="auto"/>
        </w:rPr>
      </w:pPr>
      <w:r>
        <w:rPr>
          <w:rFonts w:ascii="Arial" w:cs="Arial" w:eastAsia="Arial" w:hAnsi="Arial"/>
          <w:sz w:val="16"/>
          <w:szCs w:val="16"/>
          <w:color w:val="auto"/>
        </w:rPr>
        <w:t>EXL is committed to providing a supportive working environment and career opportunities for our employees. Our Diversity and Inclusion Council consists of a global, diverse mix of leaders and oversees our diversity, equity and inclusion program. We provide trainings to our employees on topics aimed at improving diversity, equity and inclusion, such as managing unconscious bias, and have formed employee resource groups for select employee communities that are aimed at supporting diverse groups and interests. For our female employees, EXL has several programs to promote career advancement, including leadership development for women at the mid- to senior- levels, a separate program to improve the retention and engagement of new mothers through employee friendly parental leave and similar policies, and our WE (Women at EXL) platform, which is designed to enable women at EXL advance their career and achieve professional growth through discussion, collaboration, networking, training, development and mentorship opportunities. We launched a women’s leadership certificate program in collaboration with Cornell University for our women Vice Presidents and above. The program focuses on strengthening digital, leadership and finance skills, as well as presence and communications acumen.</w:t>
      </w:r>
    </w:p>
    <w:p>
      <w:pPr>
        <w:spacing w:after="0" w:line="12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actively work to foster the representation of underrepresented groups as well as promoting the inclusion of lesbian, gay, bisexual, transgender, and queer (or questioning) (“LGBTQ+”) employees at all levels of the organization. In addition to EXL’s employee resource groups, in 2022 we launched “The Umbrella Project,” a program for allyship and inclusion alongside our LGBTQ+ colleagues.</w:t>
      </w:r>
    </w:p>
    <w:p>
      <w:pPr>
        <w:spacing w:after="0" w:line="124" w:lineRule="exact"/>
        <w:rPr>
          <w:sz w:val="20"/>
          <w:szCs w:val="20"/>
          <w:color w:val="auto"/>
        </w:rPr>
      </w:pPr>
    </w:p>
    <w:p>
      <w:pPr>
        <w:ind w:right="2000" w:firstLine="387"/>
        <w:spacing w:after="0" w:line="443" w:lineRule="auto"/>
        <w:rPr>
          <w:sz w:val="20"/>
          <w:szCs w:val="20"/>
          <w:color w:val="auto"/>
        </w:rPr>
      </w:pPr>
      <w:r>
        <w:rPr>
          <w:rFonts w:ascii="Arial" w:cs="Arial" w:eastAsia="Arial" w:hAnsi="Arial"/>
          <w:sz w:val="17"/>
          <w:szCs w:val="17"/>
          <w:color w:val="auto"/>
        </w:rPr>
        <w:t xml:space="preserve">We maintain a supplier diversity program in the United States designed to provide opportunities for qualified diverse businesses. </w:t>
      </w:r>
      <w:r>
        <w:rPr>
          <w:rFonts w:ascii="Arial" w:cs="Arial" w:eastAsia="Arial" w:hAnsi="Arial"/>
          <w:sz w:val="17"/>
          <w:szCs w:val="17"/>
          <w:b w:val="1"/>
          <w:bCs w:val="1"/>
          <w:i w:val="1"/>
          <w:iCs w:val="1"/>
          <w:color w:val="auto"/>
        </w:rPr>
        <w:t>Recruiting, Developing and Engaging our Employees</w:t>
      </w:r>
    </w:p>
    <w:p>
      <w:pPr>
        <w:jc w:val="both"/>
        <w:ind w:firstLine="387"/>
        <w:spacing w:after="0" w:line="275" w:lineRule="auto"/>
        <w:rPr>
          <w:sz w:val="20"/>
          <w:szCs w:val="20"/>
          <w:color w:val="auto"/>
        </w:rPr>
      </w:pPr>
      <w:r>
        <w:rPr>
          <w:rFonts w:ascii="Arial" w:cs="Arial" w:eastAsia="Arial" w:hAnsi="Arial"/>
          <w:sz w:val="16"/>
          <w:szCs w:val="16"/>
          <w:color w:val="auto"/>
        </w:rPr>
        <w:t>We have an integrated talent management framework that employs active collaboration between our recruitment, capability development and business human resource functions. We deploy innovative methods to recruit, train and retain our skilled employees. We focus on recruiting the right talent and developing them further on relevant competencies through our learning academies, rigorous promotion standards, client and industry-specific training and competitive compensation packages, which include incentive-based compensation. We leverage shared resources across our services through personnel who have skill sets applicable to a wide variety of data, digital, cloud and AI/ML services. We also have specialized experts in various domains, in our chosen industries and subject matters through our training academies. We have established a comprehensive set of practices, processes and programs, which have made learning easily accessible, collaborative and embedded in workflows. Our employees participate in trainings and upskilling virtually. Our employee relations function helps us understand our employees’ needs, concerns and interests, so that we can respond to specific needs and concerns as they arise.</w:t>
      </w:r>
    </w:p>
    <w:p>
      <w:pPr>
        <w:spacing w:after="0" w:line="11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6"/>
          <w:szCs w:val="16"/>
          <w:color w:val="auto"/>
        </w:rPr>
        <w:t>We focus on recruiting, training and retaining our professionals. We have developed effective strategies that enable an efficient recruitment process. The recruitment and training process evolved to an online model in 2020, which we have since adopted as our permanent model. We have over 200 employees dedicated to recruitment. Some of the strategies we have adopted to increase efficiency in our hiring practices include AI/ML-based intelligent screening mechanisms, remotely proctored online techniques and automated trainings. Our hiring policies focus on identifying high-quality employees who demonstrate a propensity for learning, contribution to client services and growth. Candidates must undergo numerous tests and video interviews before we extend offers for employment. We also conduct background checks on candidates, including criminal background checks where permitted and as required by clients.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Benefits and Experience</w:t>
      </w:r>
    </w:p>
    <w:p>
      <w:pPr>
        <w:spacing w:after="0" w:line="16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7"/>
          <w:szCs w:val="17"/>
          <w:color w:val="auto"/>
        </w:rPr>
        <w:t>We offer our employees competitive compensation packages that include incentive-based compensation and offer a variety of benefits that vary by facility, including free transport to and from home in certain circumstances, subsidized meals and free access to recreational facilities located within some of our operations centers. Since 2020, we have implemented several new measures to support our employees while working remotely, including regular virtual Company-wide town hall meetings, as well as promoting smaller virtual video-based team building activities, and an employee wellness program, led by specialists such as counselors, physicians and fitness instructors.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Capability Development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7"/>
          <w:szCs w:val="17"/>
          <w:color w:val="auto"/>
        </w:rPr>
        <w:t>We maintain a strong focus on capability development, with an emphasis on digital transformation and domain expertise. Our talent development strategy is comprehensive and aligned to EXL’s overall business strategy. We aim for our employees to develop expertise around the specific technologies, tools and frameworks required to successfully execute projects for our clients, as well as a mindset focused on agility, speed, creativity, innovation and collaboration. We create thought leaders with high industry acumen who are better able to address our clients’ business priorities. We also provide a career-linked learning path to our employees from new hires to tenured employees to senior levels of leadership.</w:t>
      </w:r>
    </w:p>
    <w:p>
      <w:pPr>
        <w:spacing w:after="0" w:line="131"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In 2022, we launched a new learning management system, which permits self-driven learning and growth experiences for our employees based on their personal goals and skills by using AI, curated libraries and intelligent web-sourced content. Through this platform, our employees are supplied with specialized learning pathways to build digital capabilities, skill mapping to direct them to courses as needed, chat groups where they can collaborate and discuss the latest trends, practice questions, practice labs for real-world and hands-on experience, supervisor dashboards and leaderboards, and learning on the go.</w:t>
      </w:r>
    </w:p>
    <w:p>
      <w:pPr>
        <w:spacing w:after="0" w:line="112"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6"/>
          <w:szCs w:val="16"/>
          <w:color w:val="auto"/>
        </w:rPr>
        <w:t>Our domain academies focus on building domain expertise through certifications and specialization. These include our Insurance Academy, Travel Academy, Finance and Accounting Academy, Healthcare Academy, Analytics Academy, Utilities Academy, Consulting Academy and Digital Academy. These domain academies focus on achieving excellence and developing skill sets that can be used across the different domains. Our training includes behavioral and functional components to enhance and ensure job readiness as well as also boosting ongoing productivity and effectiveness. We also focus on promoting better diversity, equity and inclusion through our training programs. We have a global presence catering to the specific learning requirements of each geography. We provide learning through our blended learning methodology comprising of virtual, classroom, on the job coaching and technology-led learning.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Retention</w:t>
      </w:r>
    </w:p>
    <w:p>
      <w:pPr>
        <w:spacing w:after="0" w:line="15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Our attrition rate for employees who had been with EXL for more than 180 days was 31.6% and 28.3% for the years ended December 31, 2022 and 2021, respectively. The attrition rate in 2021 was lower than our historical average due to the lingering effects of COVID-19, and the attrition rate in 2022 increased from 2021 but remained lower than the historical average. As competition in our industry increases, our turnover rate could increase. See Part I, Item 1A, “Risk Factors” under “Risks Related to Our Business-We may fail to attract and retain enough sufficiently trained employees to support our operations or professionals with sufficient leadership capabilities, which may result in loss of revenue and an inability to expand our business” and “Employee wage increases may prevent us from sustaining our competitive advantage and may reduce our profit margin.”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Governance Strategy</w:t>
      </w:r>
    </w:p>
    <w:p>
      <w:pPr>
        <w:spacing w:after="0" w:line="171"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The world we work and live in is powered by innovation. We believe success in such a world will come through passing along social goods to the communities in which we operate, and ensuring that we conduct our operations in a sustainable and safe manner. These initiatives reflect our core values and will make us a stronger, more impactful organization to work for and allow us to deliver exceptional results for our clients, employees, communities and stockholders.</w:t>
      </w:r>
    </w:p>
    <w:p>
      <w:pPr>
        <w:spacing w:after="0" w:line="88"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Our most recent Sustainability Report is available on the Company’s website. The information contained on the Company’s website is not included in, or incorporated by reference into,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Community Activities</w:t>
      </w:r>
    </w:p>
    <w:p>
      <w:pPr>
        <w:spacing w:after="0" w:line="16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EXL finds meaningful ways to help the communities in which we operate. Our community activities focus on passing along the skills that our employees use in our operations to members of the communities in which we operate to help transform lives. On our own, with outside partners and in partnership with our clients, we support market-relevant technical and life skill development and education initiatives, disaster relief efforts and global health initiatives. These programs align with the expectations clients have of service providers and benefit our other stakeholders. In 2022, we continued many of these activities in hybrid and virtual formats. Examples of our programs include:</w:t>
      </w:r>
    </w:p>
    <w:p>
      <w:pPr>
        <w:spacing w:after="0" w:line="131" w:lineRule="exact"/>
        <w:rPr>
          <w:sz w:val="20"/>
          <w:szCs w:val="20"/>
          <w:color w:val="auto"/>
        </w:rPr>
      </w:pPr>
    </w:p>
    <w:p>
      <w:pPr>
        <w:jc w:val="both"/>
        <w:ind w:left="62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Skills to Win Initiative: This skill development initiative provides participants from communities in which we operate in the United States, the United Kingdom, the Philippines, India and South Africa with market-relevant skills for the digital economy. In 2022, we added a coding skills focus to the Skills to Win Initiative, aimed at elevating women and non-binary members of our communities in technology.</w:t>
      </w:r>
    </w:p>
    <w:p>
      <w:pPr>
        <w:spacing w:after="0" w:line="12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Education as a Foundation Initiative: This classroom-based initiative currently delivered through online and offline learning platforms provides school-aged students from communities in which we operate with data and analytics skills, language learning and career guidance.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Health and Safety</w:t>
      </w:r>
    </w:p>
    <w:p>
      <w:pPr>
        <w:spacing w:after="0" w:line="165"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6"/>
          <w:szCs w:val="16"/>
          <w:color w:val="auto"/>
        </w:rPr>
        <w:t>We strive to continuously improve our environmental, health and safety initiatives (“EHS”), with a focus on reducing our carbon footprint, energy conservation, waste minimization, green infrastructure and operations. Our EHS team tracks and assesses our progress with respect to key performance indicators for energy, greenhouse gas emissions and water and waste generation targets annually. We have also established Company-wide and worksite-specific workplace safety objectives that are integrated into our EHS Management System. We believe that these measures will also help us in sustainable development efforts. Where practical, we seek to integrate EHS with our business activities, focusing on conducting our activities in an environmentally responsible manner and ensuring the health and safety of the our employees, contractors, customers, visitors and the communities where we operate. In addition, we seek to maintain a responsible supply chain by stating our expectations for all our vendors in our Supplier Standards of Conduct and by collecting information from our new suppliers with respect to policies and performance on human rights, labor rights and environmental issues.</w:t>
      </w:r>
    </w:p>
    <w:p>
      <w:pPr>
        <w:spacing w:after="0" w:line="11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maintain safety measures related to COVID-19, such as chartering a senior management-led Pandemic Management Task Force that is charged with ensuring the safety of our employees and adherence to government guidelines in each of the geographies where we operate, publishing guidelines for our employees on quarantine protocols and, where applicable, enhanced testing and tracking measures for those of our employees who are unable to work remotely due to the nature of their jobs.</w:t>
      </w:r>
    </w:p>
    <w:p>
      <w:pPr>
        <w:spacing w:after="0" w:line="113" w:lineRule="exact"/>
        <w:rPr>
          <w:sz w:val="20"/>
          <w:szCs w:val="20"/>
          <w:color w:val="auto"/>
        </w:rPr>
      </w:pPr>
    </w:p>
    <w:p>
      <w:pPr>
        <w:jc w:val="both"/>
        <w:ind w:firstLine="387"/>
        <w:spacing w:after="0" w:line="242" w:lineRule="auto"/>
        <w:rPr>
          <w:sz w:val="20"/>
          <w:szCs w:val="20"/>
          <w:color w:val="auto"/>
        </w:rPr>
      </w:pPr>
      <w:r>
        <w:rPr>
          <w:rFonts w:ascii="Arial" w:cs="Arial" w:eastAsia="Arial" w:hAnsi="Arial"/>
          <w:sz w:val="17"/>
          <w:szCs w:val="17"/>
          <w:color w:val="auto"/>
        </w:rPr>
        <w:t>All our delivery centers worldwide are currently ISO 45001:2018 certified, meeting international standards for occupational health and safety, and ISO 14001:2015 certified, meeting international standards for effective environmental management systems. After receiving the COVID-19 assurance statement from the British Safety Council for all of our delivery centers worldwide in 2021 for having appropriate health and safety protocols in place for the return to work of our employees, we partnered further with the British Safety Council in 2022 to undergo the Five Star Occupational Health and Safety audit at all of our locations. While we expect to maintain these certifications and standards, there may be changes to our delivery centers or applicable rules or standards that could affect such certifications and standards.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72" w:lineRule="exact"/>
        <w:rPr>
          <w:sz w:val="20"/>
          <w:szCs w:val="20"/>
          <w:color w:val="auto"/>
        </w:rPr>
      </w:pPr>
    </w:p>
    <w:p>
      <w:pPr>
        <w:jc w:val="both"/>
        <w:ind w:firstLine="378"/>
        <w:spacing w:after="0" w:line="266" w:lineRule="auto"/>
        <w:rPr>
          <w:sz w:val="20"/>
          <w:szCs w:val="20"/>
          <w:color w:val="auto"/>
        </w:rPr>
      </w:pPr>
      <w:r>
        <w:rPr>
          <w:rFonts w:ascii="Arial" w:cs="Arial" w:eastAsia="Arial" w:hAnsi="Arial"/>
          <w:sz w:val="17"/>
          <w:szCs w:val="17"/>
          <w:color w:val="auto"/>
        </w:rPr>
        <w:t>Our operations are subject to rules, regulations and statutes in the countries where we have operations and where we deliver services as a result of the diverse and complex nature of our service offerings. More often, however, our clients contractually require that we comply with certain rules and regulations applicable to us in delivering our services to them.</w:t>
      </w:r>
    </w:p>
    <w:p>
      <w:pPr>
        <w:spacing w:after="0" w:line="124" w:lineRule="exact"/>
        <w:rPr>
          <w:sz w:val="20"/>
          <w:szCs w:val="20"/>
          <w:color w:val="auto"/>
        </w:rPr>
      </w:pPr>
    </w:p>
    <w:p>
      <w:pPr>
        <w:jc w:val="both"/>
        <w:ind w:firstLine="387"/>
        <w:spacing w:after="0" w:line="274" w:lineRule="auto"/>
        <w:rPr>
          <w:sz w:val="20"/>
          <w:szCs w:val="20"/>
          <w:color w:val="auto"/>
        </w:rPr>
      </w:pPr>
      <w:r>
        <w:rPr>
          <w:rFonts w:ascii="Arial" w:cs="Arial" w:eastAsia="Arial" w:hAnsi="Arial"/>
          <w:sz w:val="16"/>
          <w:szCs w:val="16"/>
          <w:color w:val="auto"/>
        </w:rPr>
        <w:t>We provide third-party administrator insurance services from India and the Philippines and are currently able to provide these services in the United States for 49 states and 48 states (and the District of Columbia), respectively by location. Additionally, our subsidiary in the Philippines is able to provide utilization review services in the United States for 47 states (and the District of Columbia). Further, through domestic subsidiaries, we are licensed or otherwise eligible to provide third-party administrator services in all states within the United States, as well as utilization review</w:t>
      </w:r>
      <w:r>
        <w:rPr>
          <w:rFonts w:ascii="Arial" w:cs="Arial" w:eastAsia="Arial" w:hAnsi="Arial"/>
          <w:sz w:val="16"/>
          <w:szCs w:val="16"/>
          <w:color w:val="1F497D"/>
        </w:rPr>
        <w:t>,</w:t>
      </w:r>
      <w:r>
        <w:rPr>
          <w:rFonts w:ascii="Arial" w:cs="Arial" w:eastAsia="Arial" w:hAnsi="Arial"/>
          <w:sz w:val="16"/>
          <w:szCs w:val="16"/>
          <w:color w:val="auto"/>
        </w:rPr>
        <w:t xml:space="preserve"> claims adjuster and insurance producer services in select states. We maintain licenses in various jurisdictions (or require certain categories of our professionals to be individually licensed) in service areas such as debt collection, utilization review, workers’ compensation utilization review, claims adjuster, mortgage loan processing and underwriting and telemarketing services. Our facilities in the Philippines, as well as one domestic subsidiary, are accredited by the Utilization Review Accreditation Commission (URAC) and National Committee for Quality Assurance (NCQA), the leading healthcare and education accreditation organizations. We continue to obtain licenses and accreditations required from time to time by our business operations.</w:t>
      </w:r>
    </w:p>
    <w:p>
      <w:pPr>
        <w:spacing w:after="0" w:line="121"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Our operations are also subject to compliance with a variety of other laws, including U.S. federal and state regulations that apply to certain portions of our business. See Part I, Item 1A, “Risk Factors” under “Risks Related to Our Business-Failure to adhere to the regulations or accreditation or licensing standards that govern our business could have an adverse impact on our operations,” and under “General Risk Factors-Our global operations expose us to numerous and sometimes conflicting legal and regulatory requirements, and violations of these regulations could harm our business.”</w:t>
      </w:r>
    </w:p>
    <w:p>
      <w:pPr>
        <w:spacing w:after="0" w:line="112" w:lineRule="exact"/>
        <w:rPr>
          <w:sz w:val="20"/>
          <w:szCs w:val="20"/>
          <w:color w:val="auto"/>
        </w:rPr>
      </w:pPr>
    </w:p>
    <w:p>
      <w:pPr>
        <w:jc w:val="both"/>
        <w:ind w:firstLine="378"/>
        <w:spacing w:after="0" w:line="262" w:lineRule="auto"/>
        <w:rPr>
          <w:sz w:val="20"/>
          <w:szCs w:val="20"/>
          <w:color w:val="auto"/>
        </w:rPr>
      </w:pPr>
      <w:r>
        <w:rPr>
          <w:rFonts w:ascii="Arial" w:cs="Arial" w:eastAsia="Arial" w:hAnsi="Arial"/>
          <w:sz w:val="17"/>
          <w:szCs w:val="17"/>
          <w:color w:val="auto"/>
        </w:rPr>
        <w:t>We benefit from tax relief provided by laws and regulations in various geographies where we operate. Pursuant to laws and regulations in the Philippines, we currently benefit from certain corporate tax holidays for our operations located in qualified Philippines Economic Zone Authority units. During 2022, the Philippines Fiscal Incentives Review Board issued guidelines clarifying work-from-home requirements in order for companies to continue to obtain tax holidays. We are managing our business in accordance with the guidelines to continue availing ourselves of the tax holidays.</w:t>
      </w:r>
    </w:p>
    <w:p>
      <w:pPr>
        <w:spacing w:after="0" w:line="126"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See Part I, Item 1A, “Risk Factors” under “Risks Related to the International Nature of Our Business-Our financial condition could be negatively affected if governments in the countries we operate in introduces new unfavorable tax legislation.”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Global Pandemic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2"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 COVID-19 pandemic continues to cause global economic disruption and uncertainty, which affects our business. The global economic disruption of this pandemic has led to adoption of more resilient operating models for our business operations and by our customers and suppliers.</w:t>
      </w:r>
    </w:p>
    <w:p>
      <w:pPr>
        <w:spacing w:after="0" w:line="19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extent to which COVID-19 impacts our future business, strategic initiatives, results of operations and financial condition will depend on future developments, which are highly uncertain and cannot be predicted, including, but not limited to, the duration, spread, severity and resurgence of COVID-19, the effects of COVID-19 on our clients, employees, contractors, suppliers and business partners and the remedial actions and stimulus measures adopted by local and federal governments, and to what extent normal economic and operating conditions can resume.</w:t>
      </w:r>
    </w:p>
    <w:p>
      <w:pPr>
        <w:spacing w:after="0" w:line="20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will continue to evaluate the nature and scope of the impact to our business and may take further actions strategizing our business operations and managing our costs and liquidity that we deem necessary or appropriate to respond to this evolving and uncertain global health crisis and the resulting global economic consequences.</w:t>
      </w:r>
    </w:p>
    <w:p>
      <w:pPr>
        <w:spacing w:after="0" w:line="20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For a further discussion of the risks, uncertainties and actions taken in response to COVID-19, see Part I, Item 1A, “Risk Factors” and Part II, Item 7, “Management's Discussion and Analysis of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1" w:lineRule="exact"/>
        <w:rPr>
          <w:sz w:val="20"/>
          <w:szCs w:val="20"/>
          <w:color w:val="auto"/>
        </w:rPr>
      </w:pPr>
    </w:p>
    <w:p>
      <w:pPr>
        <w:jc w:val="both"/>
        <w:ind w:firstLine="378"/>
        <w:spacing w:after="0" w:line="262"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(the “SEC”) under the Securities Exchange Act of 1934, as amended (the “Exchange Act”). The SEC maintains a website (http://www.sec.gov) that contains reports, proxy and information statements and other information regarding issuers that file electronically through the EDGAR System. You may access the information filed by us with the SEC by visiting its website.</w:t>
      </w:r>
    </w:p>
    <w:p>
      <w:pPr>
        <w:spacing w:after="0" w:line="126" w:lineRule="exact"/>
        <w:rPr>
          <w:sz w:val="20"/>
          <w:szCs w:val="20"/>
          <w:color w:val="auto"/>
        </w:rPr>
      </w:pPr>
    </w:p>
    <w:p>
      <w:pPr>
        <w:jc w:val="both"/>
        <w:ind w:firstLine="378"/>
        <w:spacing w:after="0" w:line="258" w:lineRule="auto"/>
        <w:rPr>
          <w:sz w:val="20"/>
          <w:szCs w:val="20"/>
          <w:color w:val="auto"/>
        </w:rPr>
      </w:pPr>
      <w:r>
        <w:rPr>
          <w:rFonts w:ascii="Arial" w:cs="Arial" w:eastAsia="Arial" w:hAnsi="Arial"/>
          <w:sz w:val="17"/>
          <w:szCs w:val="17"/>
          <w:color w:val="auto"/>
        </w:rPr>
        <w:t>We also maintain a website at http://www.exlservice.com. Information on our website does not constitute a part of, nor is it incorporated in any way, into this Form 10-K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ESG efforts, corporate governance information, and other news and announcements that investors might find useful or interesting.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business depends on maintaining and growing client demand for our services and solutions, including by anticipating and incorporating the latest technology into our offerings, and a significant reduction in such demand or a failure to respond to the evolving technological environment could materially affect our results of operations.</w:t>
      </w:r>
    </w:p>
    <w:p>
      <w:pPr>
        <w:spacing w:after="0" w:line="201" w:lineRule="exact"/>
        <w:rPr>
          <w:sz w:val="20"/>
          <w:szCs w:val="20"/>
          <w:color w:val="auto"/>
        </w:rPr>
      </w:pPr>
    </w:p>
    <w:p>
      <w:pPr>
        <w:jc w:val="both"/>
        <w:ind w:firstLine="395"/>
        <w:spacing w:after="0" w:line="293" w:lineRule="auto"/>
        <w:rPr>
          <w:sz w:val="20"/>
          <w:szCs w:val="20"/>
          <w:color w:val="auto"/>
        </w:rPr>
      </w:pPr>
      <w:r>
        <w:rPr>
          <w:rFonts w:ascii="Arial" w:cs="Arial" w:eastAsia="Arial" w:hAnsi="Arial"/>
          <w:sz w:val="15"/>
          <w:szCs w:val="15"/>
          <w:color w:val="auto"/>
        </w:rPr>
        <w:t>Our success depends in part on the demand for our services and solutions, which could be negatively affected by a number of factors that may be outside of our control, including, for example, economic and political volatility or changed market conditions. Our ability to maintain and grow demand for our services and solutions requires that we continue to develop and implement offerings that keep pace with changes in the industry and anticipate and respond to rapidly evolving technology and our clients’ evolving needs in areas such as AI, ML, digital transformation and solutions, advanced analytics, blockchain, augmented reality/virtual reality, cloud based solutions, bots, hyper-automation, data management, robotics and process automation, and data engineering.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technology and industry developments or if we do not make the right strategic investments to respond to these developments and successfully drive innovation, our services and solutions, our results of operations, and our ability</w:t>
      </w:r>
    </w:p>
    <w:p>
      <w:pPr>
        <w:spacing w:after="0" w:line="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develop and maintain a competitive advantage and continue to grow could be negatively affected. If we are successful in responding to these developments, as we expand our services and solutions into these new areas, we may be exposed to operational, legal, regulatory, ethical, technological and other risks specific to such new areas, which may negatively affect our reputation and demand for our services and solutions.</w:t>
      </w:r>
    </w:p>
    <w:p>
      <w:pPr>
        <w:spacing w:after="0" w:line="201"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Technological developments may materially affect the cost and use of technology by our clients and, in the case of cloud and as-a-service solutions, could affect the nature of how we generate revenue. Some of these technological developments have reduced and replaced some of our historical services and solutions and may continue to do so in the future. This has caused, and may in the future cause, clients to delay spending under existing contracts and engagements and to delay entering into new contracts while they evaluate new technologies. Such technological developments and spending delays can negatively impact our results of operations if we are unable to introduce new pricing or commercial models that reflect the value of these technological developments or if the pace and level of spending on new technologies are not sufficient to make up any shortfall.</w:t>
      </w:r>
    </w:p>
    <w:p>
      <w:pPr>
        <w:spacing w:after="0" w:line="196" w:lineRule="exact"/>
        <w:rPr>
          <w:sz w:val="20"/>
          <w:szCs w:val="20"/>
          <w:color w:val="auto"/>
        </w:rPr>
      </w:pPr>
    </w:p>
    <w:p>
      <w:pPr>
        <w:jc w:val="both"/>
        <w:ind w:firstLine="395"/>
        <w:spacing w:after="0" w:line="257" w:lineRule="auto"/>
        <w:rPr>
          <w:sz w:val="20"/>
          <w:szCs w:val="20"/>
          <w:color w:val="auto"/>
        </w:rPr>
      </w:pPr>
      <w:r>
        <w:rPr>
          <w:rFonts w:ascii="Arial" w:cs="Arial" w:eastAsia="Arial" w:hAnsi="Arial"/>
          <w:sz w:val="17"/>
          <w:szCs w:val="17"/>
          <w:color w:val="auto"/>
        </w:rPr>
        <w:t>Developments in the industries we serve, which may be rapid, also could shift demand to new services and solutions. If, as a result of new technologies or changes in the industries we serve, our clients demand new services and solutions, we may be less competitive in these new areas or need to make significant investment to meet that demand. Our growth strategy focuses on responding to these types of developments by driving innovation that will enable us to expand our business into new growth areas. If we do not sufficiently invest in new technology and adapt to industry developments, or evolve and expand our business at sufficient speed and scale, or if we do not make the right strategic investments to respond to these developments and successfully drive innovation, our services and solutions, our results of operations, and our ability to develop and maintain a competitive advantage and to execute on our growth strategy could be adversely affected.</w:t>
      </w:r>
    </w:p>
    <w:p>
      <w:pPr>
        <w:spacing w:after="0" w:line="198" w:lineRule="exact"/>
        <w:rPr>
          <w:sz w:val="20"/>
          <w:szCs w:val="20"/>
          <w:color w:val="auto"/>
        </w:rPr>
      </w:pPr>
    </w:p>
    <w:p>
      <w:pPr>
        <w:jc w:val="both"/>
        <w:ind w:firstLine="395"/>
        <w:spacing w:after="0" w:line="246" w:lineRule="auto"/>
        <w:rPr>
          <w:sz w:val="20"/>
          <w:szCs w:val="20"/>
          <w:color w:val="auto"/>
        </w:rPr>
      </w:pPr>
      <w:r>
        <w:rPr>
          <w:rFonts w:ascii="Arial" w:cs="Arial" w:eastAsia="Arial" w:hAnsi="Arial"/>
          <w:sz w:val="17"/>
          <w:szCs w:val="17"/>
          <w:color w:val="auto"/>
        </w:rPr>
        <w:t>Our growing use of AI (including ML) in our offerings presents additional risks. AI algorithms may be flawed and datasets may be insufficient or contain biased information. Inappropriate or controversial data practices by us or others could impair the acceptance of AI solutions or subject us to lawsuits and regulatory investigations. These deficiencies could undermine the decisions, predictions or analysis AI applications produce, or lead to unintentional bias and discrimination, subjecting us to competitive harm, legal liability, and brand or reputational harm.</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Client demand may be impacted by the selling cycle and terms of our client contracts.</w:t>
      </w:r>
    </w:p>
    <w:p>
      <w:pPr>
        <w:spacing w:after="0" w:line="282"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7"/>
          <w:szCs w:val="17"/>
          <w:color w:val="auto"/>
        </w:rPr>
        <w:t>Client demand may be impacted by the selling cycle and terms of our client contracts. Consistent with industry practice, most of our client contracts may be terminated by our clients without cause and do not commit our clients to provide us with a specific volume of business. Any failure to meet a client’s expectations or a change in a client’s strategic direction could result in a cancellation or non-renewal of a contract or a decrease in the scope of services or solutions that we are able to provide to such client. We may not be able to cover our costs or replace the associated revenues from such lost services or solutions, which could impact our results of operations in subsequent periods.</w:t>
      </w:r>
    </w:p>
    <w:p>
      <w:pPr>
        <w:spacing w:after="0" w:line="209" w:lineRule="exact"/>
        <w:rPr>
          <w:sz w:val="20"/>
          <w:szCs w:val="20"/>
          <w:color w:val="auto"/>
        </w:rPr>
      </w:pPr>
    </w:p>
    <w:p>
      <w:pPr>
        <w:jc w:val="both"/>
        <w:ind w:firstLine="395"/>
        <w:spacing w:after="0" w:line="266" w:lineRule="auto"/>
        <w:rPr>
          <w:sz w:val="20"/>
          <w:szCs w:val="20"/>
          <w:color w:val="auto"/>
        </w:rPr>
      </w:pPr>
      <w:r>
        <w:rPr>
          <w:rFonts w:ascii="Arial" w:cs="Arial" w:eastAsia="Arial" w:hAnsi="Arial"/>
          <w:sz w:val="17"/>
          <w:szCs w:val="17"/>
          <w:color w:val="auto"/>
        </w:rPr>
        <w:t>The terms of our project-based analytics and consulting services contracts generally do not exceed one year and may not produce ongoing or recurring business for us once the project is completed, and these contracts typically permit a client to terminate the agreement with shorter term notice. The majority of our digital operations and solutions contracts have longer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terms, typically ranging from three to five years, and generally require a longer notice period for termination and may include an early termination fee to be paid to</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us, but this might not be sufficient to cover our costs or make up for anticipated ongoing revenues and loss of profit upon termination of the contract. In addition, the selling cycle for such contracts, which generally ranges from six to eighteen months, and the implementation and initial transformation processes, which could take up to an additional six to twelve months, are subject to many risks and delays over which we have little or no control, including our clients’ decisions to choose alternatives to our services and solutions (such as other providers or in-house offshore resources) and the timing of our clients’ budget cycles and approval processes, or subsequent changes in technology and offerings, could result in changed demand. Our clients and future clients may not be willing or able to invest the time and resources necessary to implement our services, and we may fail to close sales with potential clients to which we have devoted significant time and resources.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fail to attract and retain enough sufficiently trained employees to support our operations or professionals with sufficient leadership capabilities, which may result in loss of revenue and an inability to expand our business.</w:t>
      </w:r>
    </w:p>
    <w:p>
      <w:pPr>
        <w:spacing w:after="0" w:line="177"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6"/>
          <w:szCs w:val="16"/>
          <w:color w:val="auto"/>
        </w:rPr>
        <w:t>Our success depends to a significant extent on our ability to attract, hire, train and retain qualified employees, including our ability to attract employees with needed skills in the geographies where we operate. Our industry, including us, experiences high employee turnover.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highly skilled workforce, would increase our cost of revenues and eventually impact our profit margins due to higher recruitment, training and retention costs and maintaining larger hiring, training and human resources departments. These additional costs could decrease our operating efficiency, impact our productivity and profit margins, and could also lead to a decline in demand for our services due to such higher cost getting baked in our pricing of services, making us less competitive.</w:t>
      </w:r>
    </w:p>
    <w:p>
      <w:pPr>
        <w:spacing w:after="0" w:line="209" w:lineRule="exact"/>
        <w:rPr>
          <w:sz w:val="20"/>
          <w:szCs w:val="20"/>
          <w:color w:val="auto"/>
        </w:rPr>
      </w:pPr>
    </w:p>
    <w:p>
      <w:pPr>
        <w:jc w:val="both"/>
        <w:ind w:firstLine="395"/>
        <w:spacing w:after="0" w:line="266" w:lineRule="auto"/>
        <w:rPr>
          <w:sz w:val="20"/>
          <w:szCs w:val="20"/>
          <w:color w:val="auto"/>
        </w:rPr>
      </w:pPr>
      <w:r>
        <w:rPr>
          <w:rFonts w:ascii="Arial" w:cs="Arial" w:eastAsia="Arial" w:hAnsi="Arial"/>
          <w:sz w:val="17"/>
          <w:szCs w:val="17"/>
          <w:color w:val="auto"/>
        </w:rPr>
        <w:t>If we are unable to attract and retain highly-skilled technical personnel and do not invest in reskilling and upskilling our employees in the areas and skills that strategically important to our business, our ability to effectively lead our current projects and develop new business could be jeopardized, and our business, results of operations and financial condition could be adversely affected.</w:t>
      </w:r>
    </w:p>
    <w:p>
      <w:pPr>
        <w:spacing w:after="0" w:line="188" w:lineRule="exact"/>
        <w:rPr>
          <w:sz w:val="20"/>
          <w:szCs w:val="20"/>
          <w:color w:val="auto"/>
        </w:rPr>
      </w:pPr>
    </w:p>
    <w:p>
      <w:pPr>
        <w:jc w:val="both"/>
        <w:ind w:firstLine="395"/>
        <w:spacing w:after="0" w:line="239" w:lineRule="auto"/>
        <w:rPr>
          <w:sz w:val="20"/>
          <w:szCs w:val="20"/>
          <w:color w:val="auto"/>
        </w:rPr>
      </w:pPr>
      <w:r>
        <w:rPr>
          <w:rFonts w:ascii="Arial" w:cs="Arial" w:eastAsia="Arial" w:hAnsi="Arial"/>
          <w:sz w:val="17"/>
          <w:szCs w:val="17"/>
          <w:color w:val="auto"/>
        </w:rPr>
        <w:t>Our future success also depends substantially on the continued services and performance of the members of our management team and other key employees in leadership positions that possess technical and business capabilities, including industry expertise, and are difficult to replace. Specifically, the loss of the services of our Vice Chairman and Chief Executive Officer could seriously impair our ability to continue to manage and expand our business. Although we have entered into employment and non-competition agreements with all of our executive officers, certain terms of those agreements may not be enforceable and in any event these agreements do not ensure the continued service of these executive officers. We currently do not maintain “key person” insurance covering any member of our management team. The loss of any of our key management personnel, particularly to competitors, could have a material adverse effect on our business, results of operations, financial condition and cash flows.</w:t>
      </w:r>
    </w:p>
    <w:p>
      <w:pPr>
        <w:spacing w:after="0" w:line="223" w:lineRule="exact"/>
        <w:rPr>
          <w:sz w:val="20"/>
          <w:szCs w:val="20"/>
          <w:color w:val="auto"/>
        </w:rPr>
      </w:pPr>
    </w:p>
    <w:p>
      <w:pPr>
        <w:jc w:val="both"/>
        <w:spacing w:after="0" w:line="349" w:lineRule="auto"/>
        <w:rPr>
          <w:sz w:val="20"/>
          <w:szCs w:val="20"/>
          <w:color w:val="auto"/>
        </w:rPr>
      </w:pPr>
      <w:r>
        <w:rPr>
          <w:rFonts w:ascii="Arial" w:cs="Arial" w:eastAsia="Arial" w:hAnsi="Arial"/>
          <w:sz w:val="15"/>
          <w:szCs w:val="15"/>
          <w:b w:val="1"/>
          <w:bCs w:val="1"/>
          <w:i w:val="1"/>
          <w:iCs w:val="1"/>
          <w:color w:val="auto"/>
        </w:rPr>
        <w:t>If we are unable to accurately estimate the resources and time for a project, adjust our pricing terms or effectively manage our asset utilization levels to meet the changing demands of our clients and potential clients, our business, results of operations, financial condition and cash flows may be adversely affected.</w:t>
      </w:r>
    </w:p>
    <w:p>
      <w:pPr>
        <w:spacing w:after="0" w:line="130" w:lineRule="exact"/>
        <w:rPr>
          <w:sz w:val="20"/>
          <w:szCs w:val="20"/>
          <w:color w:val="auto"/>
        </w:rPr>
      </w:pPr>
    </w:p>
    <w:p>
      <w:pPr>
        <w:jc w:val="both"/>
        <w:ind w:firstLine="387"/>
        <w:spacing w:after="0" w:line="241" w:lineRule="auto"/>
        <w:rPr>
          <w:sz w:val="20"/>
          <w:szCs w:val="20"/>
          <w:color w:val="auto"/>
        </w:rPr>
      </w:pPr>
      <w:r>
        <w:rPr>
          <w:rFonts w:ascii="Arial" w:cs="Arial" w:eastAsia="Arial" w:hAnsi="Arial"/>
          <w:sz w:val="17"/>
          <w:szCs w:val="17"/>
          <w:color w:val="auto"/>
        </w:rPr>
        <w:t>Our profitability is, in part, a function of the efficiency with which we utilize our assets, in particular our people and our operations centers, and the price we can charge for our services. Our asset utilization levels are affected by a number of factors, including our ability to transition employees from completed projects to new assignments, attract, train and retain employees, forecast demand for our services (including potential client terminations or reductions in required resources) and maintain an appropriate headcount in each of our locations, as well as our need to dedicate resources for employee training and development, other typically non-chargeable activities and optimizing our operational infrastructure. If we fail to estimate accurately the resources and time required for a contract, or manage our asset utilization levels, future attrition rates, potential productivity benefits over time, future wage inflation rates or currency exchange rates (or fail to accurately hedge our currency exchange rate exposure) or if we fail to complete our contractual obligations within the contracted timeframe, our revenues, cash flows and profitability may be negatively affected.</w:t>
      </w:r>
    </w:p>
    <w:p>
      <w:pPr>
        <w:spacing w:after="0" w:line="19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6"/>
          <w:szCs w:val="16"/>
          <w:color w:val="auto"/>
        </w:rPr>
        <w:t>In many of our digital operations and solutions contracts we commit to long-term and other pricing structures (such as full-time equivalent-based pricing, fixed-price arrangements, transaction-based and outcome-based pricing) with our clients and therefore bear the risk of cost overruns, completion delays, resource requirements, wage inflation and adverse movements in exchange rates in connection with these contracts. Industry pricing models are evolving and clients increasingly request alternative pricing models</w:t>
      </w:r>
      <w:r>
        <w:rPr>
          <w:rFonts w:ascii="Arial" w:cs="Arial" w:eastAsia="Arial" w:hAnsi="Arial"/>
          <w:sz w:val="16"/>
          <w:szCs w:val="16"/>
          <w:b w:val="1"/>
          <w:bCs w:val="1"/>
          <w:color w:val="auto"/>
        </w:rPr>
        <w:t>,</w:t>
      </w:r>
      <w:r>
        <w:rPr>
          <w:rFonts w:ascii="Arial" w:cs="Arial" w:eastAsia="Arial" w:hAnsi="Arial"/>
          <w:sz w:val="16"/>
          <w:szCs w:val="16"/>
          <w:color w:val="auto"/>
        </w:rPr>
        <w:t xml:space="preserve"> rather than annual or hourly billing rates. If we make inaccurate assumptions for contracts with such</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3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alternative pricing models including pricing for our digital capabilities and complex transformation services or are unable to offer competitive pricing, our profitability may be negatively affected.</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Unauthorized disclosure of sensitive or confidential client and employee data, whether through breach of our computer systems or otherwise, could cause us significant reputational damage, expose us to protracted and costly litigation, and cause us to lose clients.</w:t>
      </w:r>
    </w:p>
    <w:p>
      <w:pPr>
        <w:spacing w:after="0" w:line="177" w:lineRule="exact"/>
        <w:rPr>
          <w:sz w:val="20"/>
          <w:szCs w:val="20"/>
          <w:color w:val="auto"/>
        </w:rPr>
      </w:pPr>
    </w:p>
    <w:p>
      <w:pPr>
        <w:jc w:val="both"/>
        <w:ind w:firstLine="395"/>
        <w:spacing w:after="0" w:line="272" w:lineRule="auto"/>
        <w:rPr>
          <w:sz w:val="20"/>
          <w:szCs w:val="20"/>
          <w:color w:val="auto"/>
        </w:rPr>
      </w:pPr>
      <w:r>
        <w:rPr>
          <w:rFonts w:ascii="Arial" w:cs="Arial" w:eastAsia="Arial" w:hAnsi="Arial"/>
          <w:sz w:val="15"/>
          <w:szCs w:val="15"/>
          <w:color w:val="auto"/>
        </w:rPr>
        <w:t>We are typically required to process, and sometimes collect and/or store sensitive data, including data regulated by the U.S. Health Insurance Portability and Accountability Act of 1996, as amended, of our clients’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In the United States, several states have enacted or are considering enacting privacy regulations such as the California Consumer Privacy Act (the “CCPA”) and the California Privacy Rights Act (the “CPRA”), and the EU’s General Data Protection Regulation (the “GDPR”) imposes privacy and data security compliance obligations and significant penalties for noncompliance. A similar law in India that is currently progressing through Indian Parliament would impose stringent obligations on the handling of personal data, including certain localization requirements for sensitive data. Other countries have enacted or are considering enacting data localization laws that require certain data to stay within their borders. We may also face audits or investigations by one or more domestic or foreign government agencies or our clients pursuant to our contractual obligations relating to our compliance with these regulations. Complying with changing regulatory requirements requires us to incur substantial costs, exposes us to potential regulatory action or litigation, and may require changes to our business practices in certain jurisdictions. As a result, we are subject to various data protection and privacy laws in the countries in which we operate, and the failure to comply could result in significant fines and penalties. In addition, many of our agreements with our clients do not include any limitation on our liability to them with respect to breaches of our obligation to keep the information we receive from them confidential.</w:t>
      </w:r>
    </w:p>
    <w:p>
      <w:pPr>
        <w:spacing w:after="0" w:line="192" w:lineRule="exact"/>
        <w:rPr>
          <w:sz w:val="20"/>
          <w:szCs w:val="20"/>
          <w:color w:val="auto"/>
        </w:rPr>
      </w:pPr>
    </w:p>
    <w:p>
      <w:pPr>
        <w:jc w:val="both"/>
        <w:ind w:firstLine="395"/>
        <w:spacing w:after="0" w:line="273" w:lineRule="auto"/>
        <w:rPr>
          <w:sz w:val="20"/>
          <w:szCs w:val="20"/>
          <w:color w:val="auto"/>
        </w:rPr>
      </w:pPr>
      <w:r>
        <w:rPr>
          <w:rFonts w:ascii="Arial" w:cs="Arial" w:eastAsia="Arial" w:hAnsi="Arial"/>
          <w:sz w:val="15"/>
          <w:szCs w:val="15"/>
          <w:color w:val="auto"/>
        </w:rPr>
        <w:t>Although we devote substantial resources to protect our information assets and our clients' confidential information, any network infrastructure is to some extent vulnerable due to rapidly evolving cyber-attacks, employee error, malfeasance, or a combination of the foregoing. The remote work solutions that we employ in our hybrid and remote working models may also be limited in their ability to replicate the operational oversight and security controls of our office environments and may pose a higher risk of operational and information security failures. Outside parties may attempt to fraudulently induce employees, users, or customers to disclose sensitive information in order to gain access to our data or our users’ or customers’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(or a breach of a customer’s security that can be attributed to our fault or is perceived to be our fault), the market perception of the effectiveness of our security measures could be harmed and we could lose users and customers. Security breaches expose us to a risk of loss of this information, litigation, remediation costs, increased costs for security measures, loss of revenue, damage to our reputation, and potential liability.</w:t>
      </w:r>
    </w:p>
    <w:p>
      <w:pPr>
        <w:spacing w:after="0" w:line="204" w:lineRule="exact"/>
        <w:rPr>
          <w:sz w:val="20"/>
          <w:szCs w:val="20"/>
          <w:color w:val="auto"/>
        </w:rPr>
      </w:pPr>
    </w:p>
    <w:p>
      <w:pPr>
        <w:jc w:val="both"/>
        <w:ind w:firstLine="395"/>
        <w:spacing w:after="0" w:line="258" w:lineRule="auto"/>
        <w:rPr>
          <w:sz w:val="20"/>
          <w:szCs w:val="20"/>
          <w:color w:val="auto"/>
        </w:rPr>
      </w:pPr>
      <w:r>
        <w:rPr>
          <w:rFonts w:ascii="Arial" w:cs="Arial" w:eastAsia="Arial" w:hAnsi="Arial"/>
          <w:sz w:val="17"/>
          <w:szCs w:val="17"/>
          <w:color w:val="auto"/>
        </w:rPr>
        <w:t>Unauthorized access to or disclosure of sensitive or confidential client or employee data by any person, including any of our employees, whether through breach our perimeter or internal network security, data centers, computing infrastructure, computer systems, or systems failure, employee negligence, fraud or misappropriation, or otherwise, could result in negative publicity, subject us to significant liability and lawsuits from our employees, clients or their customers for breaching contractual confidentiality provisions or privacy laws, or investigations and penalties from regulators or criminal prosecution, damage to our reputation and cause us to lose clients. Under some of our client contracts, we have agreed to pay for the costs of remediation or notice to end users or credit monitoring, as well as other costs, in the event of a breach.</w:t>
      </w:r>
    </w:p>
    <w:p>
      <w:pPr>
        <w:spacing w:after="0" w:line="209"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6"/>
          <w:szCs w:val="16"/>
          <w:color w:val="auto"/>
        </w:rPr>
        <w:t>Further, retaliatory acts by Russia in response to Western sanctions could include cyber attacks that could disrupt the global economy. The growth in state sponsored cyber activity, including the increased rate of cyberattacks arising from the Russia-Ukraine crisis and the risk that these cyberattacks could spread globally, showcases the increasing sophistication of cyber threats and could dramatically expand the global threat landscape. If a material security breach or incident occurs with respect to a cloud services provider, our clients and potential customers may lose trust in cloud solutions generally, and with respect to security in particular. This could adversely impact our ability to retain existing customers or attract new customers, which, in turn, could have a serious impact on our reputation. Although we have not experienced a material incident to date, there can be no assurance that these measures will prevent or limit the impact of a future incident. We may incur significant costs in protecting against or remediating cyberattacks or other cyber incidents.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rely on third party vendors and partners to deliver services and components for client critical services, which exposes us to a variety of risks that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7"/>
          <w:szCs w:val="17"/>
          <w:color w:val="auto"/>
        </w:rPr>
        <w:t>The services we provide are often critical to our clients’ businesses, and any failure to provide those services could result in a reduction in revenues or a claim for substantial damages against us, regardless of whether we are responsible for that failure.</w:t>
      </w:r>
    </w:p>
    <w:p>
      <w:pPr>
        <w:spacing w:after="0" w:line="190"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6"/>
          <w:szCs w:val="16"/>
          <w:color w:val="auto"/>
        </w:rPr>
        <w:t>We depend on certain significant vendors and partners for software, technology and data communications, related equipment and its maintenance, third party components that we use to deliver our services, including cloud services. Our offshore operations centers require us to maintain active voice and data communications among our operations centers, our technology and data hubs and our clients’ offices. Although we maintain our facilities and communications links with adequate business continuity and disaster recovery plans, disruptions could result from, among other things, technical breakdowns, computer glitches and viruses and weather conditions. Any performance failure on the part of our vendors or partners, or the discontinuance by such vendors or partners of services that we have relied on them to perform for our clients, could delay our performance or require us to engage alternative third parties to perform the services at our cost or to perform them ourselves, any of which could deprive us of potential revenue or adversely impact our profitability.</w:t>
      </w:r>
    </w:p>
    <w:p>
      <w:pPr>
        <w:spacing w:after="0" w:line="195"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Any failure by our vendors and partners to perform the services or deliver the components for which we contract with them or to provide such components or services within our expected price ranges and timelines, any quality issues from such third party services or components, any temporary or permanent loss of our equipment or systems, any disruptions to basic infrastructure like power and telecommunications could impede our ability to provide services to our clients, or any failure of our vendors or partners to comply with current good business practices or applicable laws and regulations, could result in a negative impact on our reputation, cause us to lose clients, reduce our revenues and cash flows and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wage increases may prevent us from sustaining our competitive advantage and may reduce our profit margin.</w:t>
      </w:r>
    </w:p>
    <w:p>
      <w:pPr>
        <w:spacing w:after="0" w:line="243" w:lineRule="exact"/>
        <w:rPr>
          <w:sz w:val="20"/>
          <w:szCs w:val="20"/>
          <w:color w:val="auto"/>
        </w:rPr>
      </w:pPr>
    </w:p>
    <w:p>
      <w:pPr>
        <w:jc w:val="both"/>
        <w:ind w:firstLine="395"/>
        <w:spacing w:after="0" w:line="273"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For example, wage costs in India and the Philippines have historically been significantly lower than wage costs in the United States and Europe for comparable skilled professionals, and having a significant number of employees in those countries has been one of our competitive advantages. However, because of economic growth in India and the Philippines, increased demand for outsourced services from such countries and increased competition for skilled employees, wages for comparably skilled employees are increasing at a faster rate than in the United States and Europe. This may reduce the competitive advantage. We may need to increase the levels of employee compensation more rapidly than in the past to remain competitive in attracting and retaining the quality and number of employees that our business requires. Wages are generally higher for employees performing analytics and digital transformation services than for employees performing digital operations and solutions. As the scale of our analytics services increases, wages as a percentage of revenues may increase. In addition, changes to the labor laws in the countries where we operate may also lead to a substantial increase in our wage costs. To the extent that we are not able to control or share wage increases with our clients, wage increases may reduce our margins and cash flows. We will attempt to control such costs by our efforts to add capacity in locations where we consider wage levels of skilled personnel to be satisfactory, but we may not be successful in doing so.</w:t>
      </w:r>
    </w:p>
    <w:p>
      <w:pPr>
        <w:spacing w:after="0" w:line="1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190" w:lineRule="exact"/>
        <w:rPr>
          <w:sz w:val="20"/>
          <w:szCs w:val="20"/>
          <w:color w:val="auto"/>
        </w:rPr>
      </w:pPr>
    </w:p>
    <w:p>
      <w:pPr>
        <w:jc w:val="both"/>
        <w:ind w:firstLine="395"/>
        <w:spacing w:after="0" w:line="273" w:lineRule="auto"/>
        <w:rPr>
          <w:sz w:val="20"/>
          <w:szCs w:val="20"/>
          <w:color w:val="auto"/>
        </w:rPr>
      </w:pPr>
      <w:r>
        <w:rPr>
          <w:rFonts w:ascii="Arial" w:cs="Arial" w:eastAsia="Arial" w:hAnsi="Arial"/>
          <w:sz w:val="16"/>
          <w:szCs w:val="16"/>
          <w:color w:val="auto"/>
        </w:rPr>
        <w:t>Our success depends in part on certain methodologies, practices, tools and technical expertise we utilize in providing our services and solutions. Our intellectual property consists of proprietary and licensed platforms, software and databases, trade secrets, methodologies and know-how, trademarks, service marks, copyrighted software, operating procedures and other materials, and patents and pending patent applications. We consider many of our business processes and implementation methodologies to be trade secrets or proprietary know-how and confidential information. We seek to protect our intellectual property through a combination patent, trademark, copyright and trade secret laws, confidentiality procedures and contractual provisions. Clients and business partners typically agree in writing to confidential treatment of our information. Our employees and independent contractors are required to sign work-for-hire and confidentiality covenants as a condition to their employment and engagement, respectively. We also have policies requiring our associates to respect the intellectual property rights of others. However, these measures may not prevent misappropriation or infringement of our intellectual property or proprietary information and a resulting loss of competitive advantage. Additionally, we may not be successful in obtaining or maintaining patents, trademarks or other intellectual property rights protections for which we have applied or may in the future apply.</w:t>
      </w:r>
    </w:p>
    <w:p>
      <w:pPr>
        <w:spacing w:after="0" w:line="202" w:lineRule="exact"/>
        <w:rPr>
          <w:sz w:val="20"/>
          <w:szCs w:val="20"/>
          <w:color w:val="auto"/>
        </w:rPr>
      </w:pPr>
    </w:p>
    <w:p>
      <w:pPr>
        <w:jc w:val="both"/>
        <w:ind w:firstLine="395"/>
        <w:spacing w:after="0" w:line="266" w:lineRule="auto"/>
        <w:rPr>
          <w:sz w:val="20"/>
          <w:szCs w:val="20"/>
          <w:color w:val="auto"/>
        </w:rPr>
      </w:pPr>
      <w:r>
        <w:rPr>
          <w:rFonts w:ascii="Arial" w:cs="Arial" w:eastAsia="Arial" w:hAnsi="Arial"/>
          <w:sz w:val="17"/>
          <w:szCs w:val="17"/>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contractual provisions, confidentiality procedures, patents,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trade secret laws or other means including those set forth above,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financial condition and cash flows.</w:t>
      </w:r>
    </w:p>
    <w:p>
      <w:pPr>
        <w:spacing w:after="0" w:line="189"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5"/>
          <w:szCs w:val="15"/>
          <w:color w:val="auto"/>
        </w:rPr>
        <w:t>In addition, competitors or others may allege that our systems, processes, marketing, data usage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 infringement arising from materials that we have provided to the clients in connection with our services and solutions. We may not be successful in defending against such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revenues, incur significant license, royalty or technology development expenses, or pay</w:t>
      </w:r>
    </w:p>
    <w:p>
      <w:pPr>
        <w:spacing w:after="0" w:line="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significant monetary damages or legal fees and costs. Any such claim for intellectual property infringement may have a material adverse effect on our business, results of operations, financial condition and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earn a substantial portion of our revenues from a limited number of clients.</w:t>
      </w:r>
    </w:p>
    <w:p>
      <w:pPr>
        <w:spacing w:after="0" w:line="243"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7"/>
          <w:szCs w:val="17"/>
          <w:color w:val="auto"/>
        </w:rPr>
        <w:t>We have earned and believe that we will continue to earn in the near future or foreseeable a substantial portion of our total revenues from a limited number of large clients. Any change in demand from any of our large clients, whether resulting from our services and solutions lagging behind current technology and industry developments, or political and economic developments, or otherwise, could have a material adverse effect on our business, results of operations, financial condition and cash flows. Moreover, the loss of a major customer could also impact our reputation in the market, making it more difficult to attract and retain customers more generally.</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inability to manage our rapid infrastructure and personnel growth across jurisdictions and changes to our operating model effectively could have a material adverse effect on our business, results of operations, financial condition and cash flows.</w:t>
      </w:r>
    </w:p>
    <w:p>
      <w:pPr>
        <w:spacing w:after="0" w:line="177" w:lineRule="exact"/>
        <w:rPr>
          <w:sz w:val="20"/>
          <w:szCs w:val="20"/>
          <w:color w:val="auto"/>
        </w:rPr>
      </w:pPr>
    </w:p>
    <w:p>
      <w:pPr>
        <w:jc w:val="both"/>
        <w:ind w:firstLine="395"/>
        <w:spacing w:after="0" w:line="254" w:lineRule="auto"/>
        <w:rPr>
          <w:sz w:val="20"/>
          <w:szCs w:val="20"/>
          <w:color w:val="auto"/>
        </w:rPr>
      </w:pPr>
      <w:r>
        <w:rPr>
          <w:rFonts w:ascii="Arial" w:cs="Arial" w:eastAsia="Arial" w:hAnsi="Arial"/>
          <w:sz w:val="16"/>
          <w:szCs w:val="16"/>
          <w:color w:val="auto"/>
        </w:rPr>
        <w:t>We have operations centers across India, the United States, the Philippines, Colombia, the United Kingdom, the Republic of Ireland, South Africa, Bulgaria, Romania, and the Czech Republic. Further, we have acquired multiple regional offices in the United States as part of our acquisitions. Our headcount has increased significantly over the past several years. We expect to develop and improve our internal systems in the locations where we operate in order to address the anticipated continued growth of our business. We are also continuing to look for operations centers at locations outside of our current operating geographies. We have also recently made changes to our operating model driven by delivery of a significant portion of our services from a hybrid and remote working models leading to potential contraction of our operation centers. We believe that expanding our geographic base of operations and our new hybrid and remote working models will provide higher value to our clients by decreasing the risks of operating from a single location or country (including potential shortages of skilled employees, increases in wage costs during strong economic growth and currency fluctuations), while also giving our clients access to a wider talent pool and establishing a base in countries that may be competitive in the future. Changes in our operating model, such as the foregoing, or other changes to our infrastructure facilities or how we are organized, as the needs and size of our business change, limit our ability to forecast the need to hire additional skilled employees as and when they are required to meet the ongoing needs of our clients, and we may not be able to develop and improve our internal systems. We may not be able to maintain our culture and effectively communicate our core values, policies and procedures, strategies and goals, particularly given our world-wide operations, rate of new hires, and significant percentage of our employees who have the option to work remotely. We also need to manage cultural differences among our employee populations and varying legal and regulatory regimes across jurisdictions, and that may create a risk for employment claims.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engage in strategic acquisitions or transactions, which could have a material adverse effect on our business, results of operations, financial condition and cash flows, including the impact from the impairment of goodwill and other intangible assets, if any.</w:t>
      </w:r>
    </w:p>
    <w:p>
      <w:pPr>
        <w:spacing w:after="0" w:line="190" w:lineRule="exact"/>
        <w:rPr>
          <w:sz w:val="20"/>
          <w:szCs w:val="20"/>
          <w:color w:val="auto"/>
        </w:rPr>
      </w:pPr>
    </w:p>
    <w:p>
      <w:pPr>
        <w:jc w:val="both"/>
        <w:ind w:firstLine="395"/>
        <w:spacing w:after="0" w:line="266" w:lineRule="auto"/>
        <w:rPr>
          <w:sz w:val="20"/>
          <w:szCs w:val="20"/>
          <w:color w:val="auto"/>
        </w:rPr>
      </w:pPr>
      <w:r>
        <w:rPr>
          <w:rFonts w:ascii="Arial" w:cs="Arial" w:eastAsia="Arial" w:hAnsi="Arial"/>
          <w:sz w:val="17"/>
          <w:szCs w:val="17"/>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There can be no assurance that we will successfully identify suitable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201"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7"/>
          <w:szCs w:val="17"/>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204" w:lineRule="exact"/>
        <w:rPr>
          <w:sz w:val="20"/>
          <w:szCs w:val="20"/>
          <w:color w:val="auto"/>
        </w:rPr>
      </w:pPr>
    </w:p>
    <w:p>
      <w:pPr>
        <w:jc w:val="both"/>
        <w:ind w:firstLine="395"/>
        <w:spacing w:after="0" w:line="283" w:lineRule="auto"/>
        <w:rPr>
          <w:sz w:val="20"/>
          <w:szCs w:val="20"/>
          <w:color w:val="auto"/>
        </w:rPr>
      </w:pPr>
      <w:r>
        <w:rPr>
          <w:rFonts w:ascii="Arial" w:cs="Arial" w:eastAsia="Arial" w:hAnsi="Arial"/>
          <w:sz w:val="16"/>
          <w:szCs w:val="16"/>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189" w:lineRule="exact"/>
        <w:rPr>
          <w:sz w:val="20"/>
          <w:szCs w:val="20"/>
          <w:color w:val="auto"/>
        </w:rPr>
      </w:pPr>
    </w:p>
    <w:p>
      <w:pPr>
        <w:jc w:val="both"/>
        <w:ind w:firstLine="395"/>
        <w:spacing w:after="0" w:line="307" w:lineRule="auto"/>
        <w:rPr>
          <w:sz w:val="20"/>
          <w:szCs w:val="20"/>
          <w:color w:val="auto"/>
        </w:rPr>
      </w:pPr>
      <w:r>
        <w:rPr>
          <w:rFonts w:ascii="Arial" w:cs="Arial" w:eastAsia="Arial" w:hAnsi="Arial"/>
          <w:sz w:val="15"/>
          <w:szCs w:val="15"/>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175"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7"/>
          <w:szCs w:val="17"/>
          <w:color w:val="auto"/>
        </w:rPr>
        <w:t>In the event that the carrying amount of goodwill and other intangible assets are impaired, as determined by impairment testing that we conduct on at least an annual basis, any such impairment would be charged to earnings in the period of impairment. Because this involves use of critical accounting estimates, we cannot assure you that future impairment of goodwill and other intangible assets will not have a material adverse effect on our business, financial condition or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adhere to the regulations or accreditation or licensing standards that govern our business could have an adverse impact on our operations.</w:t>
      </w:r>
    </w:p>
    <w:p>
      <w:pPr>
        <w:spacing w:after="0" w:line="253" w:lineRule="exact"/>
        <w:rPr>
          <w:sz w:val="20"/>
          <w:szCs w:val="20"/>
          <w:color w:val="auto"/>
        </w:rPr>
      </w:pPr>
    </w:p>
    <w:p>
      <w:pPr>
        <w:jc w:val="both"/>
        <w:ind w:firstLine="387"/>
        <w:spacing w:after="0" w:line="272" w:lineRule="auto"/>
        <w:rPr>
          <w:sz w:val="20"/>
          <w:szCs w:val="20"/>
          <w:color w:val="auto"/>
        </w:rPr>
      </w:pPr>
      <w:r>
        <w:rPr>
          <w:rFonts w:ascii="Arial" w:cs="Arial" w:eastAsia="Arial" w:hAnsi="Arial"/>
          <w:sz w:val="15"/>
          <w:szCs w:val="15"/>
          <w:color w:val="auto"/>
        </w:rPr>
        <w:t>Our clients’ business operations are often subject to regulation and accreditation and licensing standards, and our clients may require that we perform our services in a manner that will enable them to comply with applicable regulations or accreditations or licensing standards. Our clients are located around the world, and the laws and regulations that apply include, among others, United States federal laws such as the Gramm-Leach-Bliley Act and the Health Insurance Portability and Accountability Act, the Health Information Technology for Economic and Clinical Health Act, state laws on third party administration services, utilization review services, telemarketing services or state laws on debt collection in the United States and the Financial Services Act in the United Kingdom as well as similar consumer protection laws in other countries in which our clients’ customers are based. Failure to perform our services in a manner that complies with any such requirements could result in breaches of contracts with our clients. In addition, we are required under various laws to obtain and maintain accreditations, permits and/or licenses for the conduct of our business in all jurisdictions in which we have operations and, in some cases, we are additionally required to maintain accreditations, permits and/or licenses where our clients receive our services, including the United States and Europe. If we do not maintain our accreditations, licenses or other qualifications to provide our services or if we do not adapt to changes in legislation or regulation, we may have to cease operations in the relevant jurisdictions and may not be able to provide services to existing clients or be able to attract new clients. In addition, we may be required to expend significant resources in order to comply with laws and regulations in the jurisdictions mentioned above. Any failure to abide by regulations relating either to our business or our clients’ businesses may also, in some limited circumstances, result in civil fines and criminal penalties for us. Any such ceasing of operations or civil or criminal actions may have a material adverse effect on our business, results of operations, financial condition and cash flows.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face competition from U.S.-based and non-U.S.-based BPM and IT companies and from our clients, who may build shared services centers to perform digital operations and solutions and analytics services themselves, either in-house or other arrangements.</w:t>
      </w:r>
    </w:p>
    <w:p>
      <w:pPr>
        <w:spacing w:after="0" w:line="190"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7"/>
          <w:szCs w:val="17"/>
          <w:color w:val="auto"/>
        </w:rPr>
        <w:t>The market for digital operations and solutions and analytics services is highly competitive, and we expect competition to intensify and increase from a number of sources. We believe that the principal competitive factors in our markets are breadth and depth of process expertise, knowledge of industries served, service quality, compliance rigor, global delivery capabilities, price and sales and client management capabilities. We also face competition from non-U.S.-based business process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management and IT companies (including those in the United Kingdom and India) and U.S.-based outsourcing and IT companies. Further, a client may choose to use its own internal resources rather than engage an outside firm to perform the types of services we provide. In addition, the trend toward offshore outsourcing, international expansion by foreign and domestic competitors and continuing technological changes, such as cloud computing, will result in new and different competition for our services.</w:t>
      </w:r>
    </w:p>
    <w:p>
      <w:pPr>
        <w:spacing w:after="0" w:line="204" w:lineRule="exact"/>
        <w:rPr>
          <w:sz w:val="20"/>
          <w:szCs w:val="20"/>
          <w:color w:val="auto"/>
        </w:rPr>
      </w:pPr>
    </w:p>
    <w:p>
      <w:pPr>
        <w:jc w:val="both"/>
        <w:ind w:firstLine="395"/>
        <w:spacing w:after="0" w:line="275" w:lineRule="auto"/>
        <w:rPr>
          <w:sz w:val="20"/>
          <w:szCs w:val="20"/>
          <w:color w:val="auto"/>
        </w:rPr>
      </w:pPr>
      <w:r>
        <w:rPr>
          <w:rFonts w:ascii="Arial" w:cs="Arial" w:eastAsia="Arial" w:hAnsi="Arial"/>
          <w:sz w:val="16"/>
          <w:szCs w:val="16"/>
          <w:color w:val="auto"/>
        </w:rPr>
        <w:t>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relationships or mergers or acquisitions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harm our business, results of operations, financial condition and cash flows.</w:t>
      </w:r>
    </w:p>
    <w:p>
      <w:pPr>
        <w:spacing w:after="0" w:line="196"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We expect competition to intensify in the future as more companies enter our markets. Increased competition may result in lower prices and volumes, and lower profitability. We may not be able to supply clients with services that they deem superior and at competitive prices and we may lose business to our competitors. Any inability to compete effectively would adversely affect our business, results of operations, financial condition and cash flows.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are vulnerable to natural disasters, technical disruptions, pandemics and societally created events that could severely disrupt the normal operations of our business and if our risk management, business continuity and disaster recovery plans are not effective, it may adversely affect our business, results of operations, financial condition and cash flows.</w:t>
      </w:r>
    </w:p>
    <w:p>
      <w:pPr>
        <w:spacing w:after="0" w:line="201" w:lineRule="exact"/>
        <w:rPr>
          <w:sz w:val="20"/>
          <w:szCs w:val="20"/>
          <w:color w:val="auto"/>
        </w:rPr>
      </w:pPr>
    </w:p>
    <w:p>
      <w:pPr>
        <w:jc w:val="both"/>
        <w:ind w:firstLine="387"/>
        <w:spacing w:after="0" w:line="249" w:lineRule="auto"/>
        <w:rPr>
          <w:sz w:val="20"/>
          <w:szCs w:val="20"/>
          <w:color w:val="auto"/>
        </w:rPr>
      </w:pPr>
      <w:r>
        <w:rPr>
          <w:rFonts w:ascii="Arial" w:cs="Arial" w:eastAsia="Arial" w:hAnsi="Arial"/>
          <w:sz w:val="17"/>
          <w:szCs w:val="17"/>
          <w:color w:val="auto"/>
        </w:rPr>
        <w:t>Our operations centers and our data and voice communications, particularly in India and the Philippines, may be damaged or disrupted as a result of natural disasters such as earthquakes, floods, volcano eruptions, heavy rains, epidemics or pandemics, such as COVID-19, tsunamis and cyclones, technical disruptions such as electricity or infrastructure breakdowns, including damage to telecommunications cables, computer glitches and electronic viruses or man-made events such as political unrest, terrorist attacks, other acts of violence or war, protests, riots and labor unrest. Such events may lead to the disruption of information systems and telecommunication services for sustained periods. They also may make it difficult or impossible for employees to reach our business locations and for us to deliver our solutions and services.</w:t>
      </w:r>
    </w:p>
    <w:p>
      <w:pPr>
        <w:spacing w:after="0" w:line="201" w:lineRule="exact"/>
        <w:rPr>
          <w:sz w:val="20"/>
          <w:szCs w:val="20"/>
          <w:color w:val="auto"/>
        </w:rPr>
      </w:pPr>
    </w:p>
    <w:p>
      <w:pPr>
        <w:jc w:val="both"/>
        <w:ind w:firstLine="387"/>
        <w:spacing w:after="0" w:line="267" w:lineRule="auto"/>
        <w:rPr>
          <w:sz w:val="20"/>
          <w:szCs w:val="20"/>
          <w:color w:val="auto"/>
        </w:rPr>
      </w:pPr>
      <w:r>
        <w:rPr>
          <w:rFonts w:ascii="Arial" w:cs="Arial" w:eastAsia="Arial" w:hAnsi="Arial"/>
          <w:sz w:val="16"/>
          <w:szCs w:val="16"/>
          <w:color w:val="auto"/>
        </w:rPr>
        <w:t>In particular, a local or global outbreak of a pandemic, such as the COVID-19 pandemic, may have widespread and unpredictable impacts on global societies, economies, financial markets and business practices. COVID-19 has adversely affected and may, and any such other pandemic may, in the future materially adversely affect us, our clients, employees, contractors, suppliers and business partners, all of may be prevented from conducting business activities as usual, including due to the many and varying health and safety measures in response to such pandemic, including travel restrictions, quarantines, curfews, shelter in place and safer-at-home orders. Measures taken by governmental authorities have and may in the future disrupt the continuity of our provision of services to our clients and adversely impacted our business, results of operations and financial condition.</w:t>
      </w:r>
    </w:p>
    <w:p>
      <w:pPr>
        <w:spacing w:after="0" w:line="190" w:lineRule="exact"/>
        <w:rPr>
          <w:sz w:val="20"/>
          <w:szCs w:val="20"/>
          <w:color w:val="auto"/>
        </w:rPr>
      </w:pPr>
    </w:p>
    <w:p>
      <w:pPr>
        <w:jc w:val="both"/>
        <w:ind w:firstLine="387"/>
        <w:spacing w:after="0" w:line="272" w:lineRule="auto"/>
        <w:rPr>
          <w:sz w:val="20"/>
          <w:szCs w:val="20"/>
          <w:color w:val="auto"/>
        </w:rPr>
      </w:pPr>
      <w:r>
        <w:rPr>
          <w:rFonts w:ascii="Arial" w:cs="Arial" w:eastAsia="Arial" w:hAnsi="Arial"/>
          <w:sz w:val="16"/>
          <w:szCs w:val="16"/>
          <w:color w:val="auto"/>
        </w:rPr>
        <w:t>Moreover, it is difficult to predict the ultimate impact of COVID-19 on our business, operations and financial results, which continues to remain unknown and will depend on numerous evolving factors that we may not be able to accurately predict, including: the duration, scope and severity of the pandemic, emergence of new variants and ongoing availability of treatments and vaccines; the effect on our clients and client demand for our services and our solutions; and our ability to sell and provide our services and solutions, including as a result of travel restrictions and people working remotely.</w:t>
      </w:r>
    </w:p>
    <w:p>
      <w:pPr>
        <w:spacing w:after="0" w:line="184"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6"/>
          <w:szCs w:val="16"/>
          <w:color w:val="auto"/>
        </w:rPr>
        <w:t>Our risk management, business continuity and disaster recovery plans may not be effective at preventing or mitigating the effects of such disruptions, particularly in the case of a catastrophic events.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We may also be liable to our clients for disruption in service resulting from such damage or destruction. While we currently have commercial liability insurance, our insurance coverage may not be sufficient.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financial condition and cash flows.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International Nature of Our Business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the transfer pricing arrangements we have for controlled intercompany transactions among our subsidiaries are determined to be inappropriate, our tax liability may increase.</w:t>
      </w:r>
    </w:p>
    <w:p>
      <w:pPr>
        <w:spacing w:after="0" w:line="190"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7"/>
          <w:szCs w:val="17"/>
          <w:color w:val="auto"/>
        </w:rPr>
        <w:t>The transfer pricing regulations in the countries we operate in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our transfer pricing. If our transfer pricing is challenged by the authorities, they could assess additional tax, interest and penalties, thereby impacting our profitability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condition could be negatively affected if governments in the countries we operate in introduces new unfavorable tax legislation.</w:t>
      </w:r>
    </w:p>
    <w:p>
      <w:pPr>
        <w:spacing w:after="0" w:line="254" w:lineRule="exact"/>
        <w:rPr>
          <w:sz w:val="20"/>
          <w:szCs w:val="20"/>
          <w:color w:val="auto"/>
        </w:rPr>
      </w:pPr>
    </w:p>
    <w:p>
      <w:pPr>
        <w:jc w:val="both"/>
        <w:ind w:firstLine="395"/>
        <w:spacing w:after="0" w:line="331" w:lineRule="auto"/>
        <w:rPr>
          <w:sz w:val="20"/>
          <w:szCs w:val="20"/>
          <w:color w:val="auto"/>
        </w:rPr>
      </w:pPr>
      <w:r>
        <w:rPr>
          <w:rFonts w:ascii="Arial" w:cs="Arial" w:eastAsia="Arial" w:hAnsi="Arial"/>
          <w:sz w:val="15"/>
          <w:szCs w:val="15"/>
          <w:color w:val="auto"/>
        </w:rPr>
        <w:t>We are subject to taxes in the countries we operate in. Our future tax liabilities could be adversely affected by any new unfavorable tax legislative changes in the countries we operate in. We continuously monitor such changes to assess and quantify the potential impacts on our consolidated financial statements.</w:t>
      </w:r>
    </w:p>
    <w:p>
      <w:pPr>
        <w:spacing w:after="0" w:line="15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7"/>
          <w:szCs w:val="17"/>
          <w:color w:val="auto"/>
        </w:rPr>
        <w:t>We currently benefit from corporate tax holidays in our qualified Philippines Economic Zone Authority operations centers in the Philippines. Our ability to utilize these tax holidays could be adversely affected by any new unfavorable tax legislative changes. We continuously monitor such changes to assess and quantify the potential impacts on our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related to repatriating our earnings from outside of the United States.</w:t>
      </w:r>
    </w:p>
    <w:p>
      <w:pPr>
        <w:spacing w:after="0" w:line="243" w:lineRule="exact"/>
        <w:rPr>
          <w:sz w:val="20"/>
          <w:szCs w:val="20"/>
          <w:color w:val="auto"/>
        </w:rPr>
      </w:pPr>
    </w:p>
    <w:p>
      <w:pPr>
        <w:jc w:val="both"/>
        <w:ind w:firstLine="395"/>
        <w:spacing w:after="0" w:line="258" w:lineRule="auto"/>
        <w:rPr>
          <w:sz w:val="20"/>
          <w:szCs w:val="20"/>
          <w:color w:val="auto"/>
        </w:rPr>
      </w:pPr>
      <w:r>
        <w:rPr>
          <w:rFonts w:ascii="Arial" w:cs="Arial" w:eastAsia="Arial" w:hAnsi="Arial"/>
          <w:sz w:val="17"/>
          <w:szCs w:val="17"/>
          <w:color w:val="auto"/>
        </w:rPr>
        <w:t>We earn a significant amount of our earnings outside of the United States. Not all of the undistributed earnings may be available for repatriation due to foreign legal restrictions that require minimum reserves to be maintained in those countries, which would limit our ability to use these earnings across our global operations in the United States or other geographies, where needed. We periodically evaluate opportunities to repatriate funds held by our foreign subsidiaries to fund our operations, and as and when we decide to repatriate such earnings, we may have to accrue further taxes associated with such earnings in accordance with local tax laws, rules and regulations in the relevant jurisdictions. All of these risks and uncertainties could have a material adverse effect on our business, results of operations, financial condition and cash flows.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Currency exchange rate fluctuations in the various currencies in which we do business, especially the Indian rupee, the Philippine peso and the U.K pound sterling versus the U.S. dollar, could have a material adverse effect on our results of operations.</w:t>
      </w:r>
    </w:p>
    <w:p>
      <w:pPr>
        <w:spacing w:after="0" w:line="190" w:lineRule="exact"/>
        <w:rPr>
          <w:sz w:val="20"/>
          <w:szCs w:val="20"/>
          <w:color w:val="auto"/>
        </w:rPr>
      </w:pPr>
    </w:p>
    <w:p>
      <w:pPr>
        <w:jc w:val="both"/>
        <w:ind w:firstLine="395"/>
        <w:spacing w:after="0" w:line="295" w:lineRule="auto"/>
        <w:rPr>
          <w:sz w:val="20"/>
          <w:szCs w:val="20"/>
          <w:color w:val="auto"/>
        </w:rPr>
      </w:pPr>
      <w:r>
        <w:rPr>
          <w:rFonts w:ascii="Arial" w:cs="Arial" w:eastAsia="Arial" w:hAnsi="Arial"/>
          <w:sz w:val="15"/>
          <w:szCs w:val="15"/>
          <w:color w:val="auto"/>
        </w:rPr>
        <w:t>We report our operating results in U.S. dollars, a portion of our revenues and expenses are denominated in currencies other than the U.S. dollar. Fluctuations in foreign currency exchange rates can have a number of adverse effects on us. Because our consolidated financial statements are presented in U.S. dollars, we must translate revenues, expenses and income, as well as assets and liabilities, into U.S. dollars at exchange rates in effect during or at the end of each reporting period. The exchange rates among the Indian rupee, the Philippine peso, the U.K pound sterling and other currencies in which we incur costs or earn revenues and the U.S. dollar have changed substantially in recent years and may fluctuate substantially in the future. See Part II, Item 7A, “Quantitative and Qualitative Disclosures About Market Risk.” Additionally, because a majority of our employees are based in India and the Philippines and paid in Indian rupee or Philippine peso, while our revenues are primarily reported in U.S. dollars and U.K. pound sterling, our employee costs as a percentage of revenues may increase or decrease significantly if the exchange rates among the Indian rupee, the Philippine peso, the U.K pound sterling and the U.S. dollar fluctuate significantly.</w:t>
      </w:r>
    </w:p>
    <w:p>
      <w:pPr>
        <w:spacing w:after="0" w:line="186"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7"/>
          <w:szCs w:val="17"/>
          <w:color w:val="auto"/>
        </w:rPr>
        <w:t>In addition, Russia-Ukraine military conflict coupled with chronic inflation pressures, high interest rates and the lingering consequences of COVID-19 has led the International Monetary Fund to downgrade its outlook for the world economy for 2023. This has led to and may continue to lead to uncertainty over global economic conditions and unpredictable fluctuations in foreign currency exchange rates, and in particular, has impacted and may continue to impact the Indian rupee, the Philippine peso, the U.K pound sterling and other currencies in which we incur expenses.</w:t>
      </w:r>
    </w:p>
    <w:p>
      <w:pPr>
        <w:spacing w:after="0" w:line="191" w:lineRule="exact"/>
        <w:rPr>
          <w:sz w:val="20"/>
          <w:szCs w:val="20"/>
          <w:color w:val="auto"/>
        </w:rPr>
      </w:pPr>
    </w:p>
    <w:p>
      <w:pPr>
        <w:jc w:val="both"/>
        <w:ind w:firstLine="387"/>
        <w:spacing w:after="0" w:line="242" w:lineRule="auto"/>
        <w:rPr>
          <w:sz w:val="20"/>
          <w:szCs w:val="20"/>
          <w:color w:val="auto"/>
        </w:rPr>
      </w:pPr>
      <w:r>
        <w:rPr>
          <w:rFonts w:ascii="Arial" w:cs="Arial" w:eastAsia="Arial" w:hAnsi="Arial"/>
          <w:sz w:val="17"/>
          <w:szCs w:val="17"/>
          <w:color w:val="auto"/>
        </w:rPr>
        <w:t>Although we take steps to hedge a substantial portion of our Indian rupee/U.S. dollar, U.K pound sterling/U.S. dollar and Philippine peso/U.S. dollar foreign currency exposures, there is no assurance that our hedging strategy will be successful or that the hedging markets will have sufficient liquidity or depth to allow us to implement our hedging strategy in a cost-effective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manner. Any failure by our hedging counterparties to meet their contractual obligations could materially and adversely affect our profitability.</w:t>
      </w:r>
    </w:p>
    <w:p>
      <w:pPr>
        <w:spacing w:after="0" w:line="243" w:lineRule="exact"/>
        <w:rPr>
          <w:sz w:val="20"/>
          <w:szCs w:val="20"/>
          <w:color w:val="auto"/>
        </w:rPr>
      </w:pPr>
    </w:p>
    <w:p>
      <w:pPr>
        <w:jc w:val="both"/>
        <w:spacing w:after="0" w:line="349" w:lineRule="auto"/>
        <w:rPr>
          <w:sz w:val="20"/>
          <w:szCs w:val="20"/>
          <w:color w:val="auto"/>
        </w:rPr>
      </w:pPr>
      <w:r>
        <w:rPr>
          <w:rFonts w:ascii="Arial" w:cs="Arial" w:eastAsia="Arial" w:hAnsi="Arial"/>
          <w:sz w:val="15"/>
          <w:szCs w:val="15"/>
          <w:b w:val="1"/>
          <w:bCs w:val="1"/>
          <w:i w:val="1"/>
          <w:iCs w:val="1"/>
          <w:color w:val="auto"/>
        </w:rPr>
        <w:t>Restrictions on visas and work permits may affect our ability to compete for and provide services to clients in the United States and other jurisdictions, which could make it more difficult to staff engagements and could increase our costs, which could have an adverse effect on our net income.</w:t>
      </w:r>
    </w:p>
    <w:p>
      <w:pPr>
        <w:spacing w:after="0" w:line="143"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7"/>
          <w:szCs w:val="17"/>
          <w:color w:val="auto"/>
        </w:rPr>
        <w:t>Immigration and work permit laws and regulations in the countries in which we have customers are subject to legislative and administrative changes as well as changes in the application of standards and enforcement.</w:t>
      </w:r>
    </w:p>
    <w:p>
      <w:pPr>
        <w:spacing w:after="0" w:line="190"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5"/>
          <w:szCs w:val="15"/>
          <w:color w:val="auto"/>
        </w:rPr>
        <w:t>The ability of some of our executives and employees based in India and other foreign locations to work with and meet clients in the United States and other jurisdictions depends on their ability to obtain the necessary visas and work permits. In recent years, immigration authorities, in the United States as well as other jurisdictions in which our clients are based, have increased the level of scrutiny in granting such visas and work permits.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visas or work permits for our employees. The ability to move our employees around the world as necessary to meet client demands is important to our business. If we are unable to efficiently deploy talent because of increased regulation of immigration or work visas, including limitations placed on the number of visas granted, limitations on the type of work performed or location in which the work can be performed, and new or higher minimum salary requirements, it could be more difficult to staff our employees on client engagements and could increase our costs and have an adverse effect on our net income and cash flows.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Investors may have difficulty effecting service of process or enforcing judgments obtained in the United States against our subsidiaries in India or our executive officers.</w:t>
      </w:r>
    </w:p>
    <w:p>
      <w:pPr>
        <w:spacing w:after="0" w:line="190" w:lineRule="exact"/>
        <w:rPr>
          <w:sz w:val="20"/>
          <w:szCs w:val="20"/>
          <w:color w:val="auto"/>
        </w:rPr>
      </w:pPr>
    </w:p>
    <w:p>
      <w:pPr>
        <w:jc w:val="both"/>
        <w:ind w:firstLine="395"/>
        <w:spacing w:after="0" w:line="283" w:lineRule="auto"/>
        <w:rPr>
          <w:sz w:val="20"/>
          <w:szCs w:val="20"/>
          <w:color w:val="auto"/>
        </w:rPr>
      </w:pPr>
      <w:r>
        <w:rPr>
          <w:rFonts w:ascii="Arial" w:cs="Arial" w:eastAsia="Arial" w:hAnsi="Arial"/>
          <w:sz w:val="16"/>
          <w:szCs w:val="16"/>
          <w:color w:val="auto"/>
        </w:rPr>
        <w:t>Our primary operating subsidiaries are organized outside the United States and some of our executive officers may reside outside of the United States. A substantial portion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189" w:lineRule="exact"/>
        <w:rPr>
          <w:sz w:val="20"/>
          <w:szCs w:val="20"/>
          <w:color w:val="auto"/>
        </w:rPr>
      </w:pPr>
    </w:p>
    <w:p>
      <w:pPr>
        <w:jc w:val="both"/>
        <w:ind w:firstLine="395"/>
        <w:spacing w:after="0" w:line="257" w:lineRule="auto"/>
        <w:rPr>
          <w:sz w:val="20"/>
          <w:szCs w:val="20"/>
          <w:color w:val="auto"/>
        </w:rPr>
      </w:pPr>
      <w:r>
        <w:rPr>
          <w:rFonts w:ascii="Arial" w:cs="Arial" w:eastAsia="Arial" w:hAnsi="Arial"/>
          <w:sz w:val="17"/>
          <w:szCs w:val="17"/>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98" w:lineRule="exact"/>
        <w:rPr>
          <w:sz w:val="20"/>
          <w:szCs w:val="20"/>
          <w:color w:val="auto"/>
        </w:rPr>
      </w:pPr>
    </w:p>
    <w:p>
      <w:pPr>
        <w:jc w:val="both"/>
        <w:ind w:firstLine="387"/>
        <w:spacing w:after="0" w:line="244" w:lineRule="auto"/>
        <w:rPr>
          <w:sz w:val="20"/>
          <w:szCs w:val="20"/>
          <w:color w:val="auto"/>
        </w:rPr>
      </w:pPr>
      <w:r>
        <w:rPr>
          <w:rFonts w:ascii="Arial" w:cs="Arial" w:eastAsia="Arial" w:hAnsi="Arial"/>
          <w:sz w:val="17"/>
          <w:szCs w:val="17"/>
          <w:color w:val="auto"/>
        </w:rPr>
        <w:t>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service our debt or obtain additional financing on competitive terms.</w:t>
      </w:r>
    </w:p>
    <w:p>
      <w:pPr>
        <w:spacing w:after="0" w:line="243"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We are party to a credit agreement for our bank debt facility that contains covenants, among other things, requiring maintenance of certain financial ratios (being, an interest coverage ratio and a total net leverage ratio) and restricting our ability to incur additional indebtedness, create liens, make certain investments and acquisitions, pay dividends, repurchase common shares and make other restricted payments or undertake certain fundamental changes (including, consolidations, liquidations or disposal of certain assets or subsidiaries). If we breach any of these covenants and do not cure such breach within the applicable cure periods or obtain a waiver from the lenders, the outstanding indebtedness (and any other indebtedness with cross-default provisions) could be declared immediately due and payable and such acceleration could adversely affect our liquidity and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financial condition. The credit agreement provides for a $400 million revolving credit facility including a letter of credit sub-facility and is guaranteed by certain subsidiaries. Our revolving credit facility has a maturity date no later than April 18, 2027 and is voluntarily payable from time to time without premium or penalty. See Part II, Item 7, “Management’s Discussion and Analysis of Financial Condition and Results of Operations” under “Liquidity and Capital Resources-Financing Arrangements (Debt Facility and Notes).”</w:t>
      </w:r>
    </w:p>
    <w:p>
      <w:pPr>
        <w:spacing w:after="0" w:line="204"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Our cash flow from operations provides the primary source of funds for our debt service payments. Given the uncertainty over global economic conditions and regulatory, competitive or other factors outside of our control, including but not limited to the Russia-Ukraine military conflict and COVID-19, there can be no assurance that business activity will be maintained at our expected level in order to generate the anticipated cash flows from operations. If our cash flow from operations declines, we may not be able to service or refinance our current debt or obtain financing on favorable terms to us or at all, which could adversely affect our business and financial condition. A substantial portion of our floating rate indebtedness is exposed to interest rate fluctuations as only a portion is hedged through interest rate swaps. Accordingly, any adverse change in interest rates due to market conditions or otherwise could increase our cost of funding substantially.</w:t>
      </w:r>
    </w:p>
    <w:p>
      <w:pPr>
        <w:spacing w:after="0" w:line="198"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We may in the future require additional financing to fund one or more acquisitions and may not be able to obtain such additional financing on competitive terms or at all, which could restrict our ability to complete such transactions.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continues to be volatile.</w:t>
      </w:r>
    </w:p>
    <w:p>
      <w:pPr>
        <w:spacing w:after="0" w:line="230"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5"/>
          <w:szCs w:val="15"/>
          <w:color w:val="auto"/>
        </w:rPr>
        <w:t>Our stock has at times experienced substantial price volatility as a result of, among other reasons, variations between our actual and anticipated financial results, announcements by us and our competitors, terrorist attacks, natural disasters, epidemics or pandemics, or other such events impacting countries where we or our clients have operations, loss of one or more significant clients, announcements of technological developments,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Where the global stock markets have experienced, and may continue to experience, significant decline from COVID-19 and inflation, could result in a material adverse effect on our stock price. Furthermore, we believe our stock price should reflect future growth and profitability expectations and, if we fail to meet these expectations, this may have a materially adverse effect on the trading price of our common stock.</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190" w:lineRule="exact"/>
        <w:rPr>
          <w:sz w:val="20"/>
          <w:szCs w:val="20"/>
          <w:color w:val="auto"/>
        </w:rPr>
      </w:pPr>
    </w:p>
    <w:p>
      <w:pPr>
        <w:jc w:val="both"/>
        <w:ind w:firstLine="395"/>
        <w:spacing w:after="0" w:line="273" w:lineRule="auto"/>
        <w:rPr>
          <w:sz w:val="20"/>
          <w:szCs w:val="20"/>
          <w:color w:val="auto"/>
        </w:rPr>
      </w:pPr>
      <w:r>
        <w:rPr>
          <w:rFonts w:ascii="Arial" w:cs="Arial" w:eastAsia="Arial" w:hAnsi="Arial"/>
          <w:sz w:val="16"/>
          <w:szCs w:val="16"/>
          <w:color w:val="auto"/>
        </w:rPr>
        <w:t>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provisions permitting the board of directors to fill vacancies created by its expansion, provisions permitting the removal of directors only for cause and with the vote of holders of two thirds of our common stock, provisions requiring the vote of holders of two thirds of our common stock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in the foreseeable future, and, because we are also a holding company, we may be unable to pay dividends.</w:t>
      </w:r>
    </w:p>
    <w:p>
      <w:pPr>
        <w:spacing w:after="0" w:line="241"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3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industry may not develop in ways that we currently anticipate due to negative public reaction in the United States and elsewhere to offshore outsourcing, anti-outsourcing legislation or otherwise.</w:t>
      </w:r>
    </w:p>
    <w:p>
      <w:pPr>
        <w:spacing w:after="0" w:line="190" w:lineRule="exact"/>
        <w:rPr>
          <w:sz w:val="20"/>
          <w:szCs w:val="20"/>
          <w:color w:val="auto"/>
        </w:rPr>
      </w:pPr>
    </w:p>
    <w:p>
      <w:pPr>
        <w:jc w:val="both"/>
        <w:ind w:firstLine="395"/>
        <w:spacing w:after="0" w:line="304" w:lineRule="auto"/>
        <w:rPr>
          <w:sz w:val="20"/>
          <w:szCs w:val="20"/>
          <w:color w:val="auto"/>
        </w:rPr>
      </w:pPr>
      <w:r>
        <w:rPr>
          <w:rFonts w:ascii="Arial" w:cs="Arial" w:eastAsia="Arial" w:hAnsi="Arial"/>
          <w:sz w:val="15"/>
          <w:szCs w:val="15"/>
          <w:color w:val="auto"/>
        </w:rPr>
        <w:t>Offshore outsourcing is a politically sensitive topic in the United States and elsewhere, and many organizations and public figures have publicly expressed concern about a perceived association between offshore outsourcing providers and the loss of jobs in the United States, where the majority of our clients are located, and elsewhere. Current or prospective clients may elect to perform such services themselves or may be discouraged from transferring these services to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offshore providers to avoid any negative perception that may be associated with using an offshore provider. Measures aimed at limiting or restricting outsourcing</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by U.S. companies have been put forward by the U.S. Congress and in state legislatures to address these concerns. If any such measure is enacted, our ability to do business with U.S. clients through our non-U.S. affiliates could be negatively impacted.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results of operations could be adversely affected by economic and political conditions globally and the effects of these conditions on our clients’ businesses and levels of business activity.</w:t>
      </w:r>
    </w:p>
    <w:p>
      <w:pPr>
        <w:spacing w:after="0" w:line="190"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Global economic and political conditions affect our clients’ businesses and the markets they serve, which are increasingly becoming more interdependent. The domestic and international capital and credit markets have in the past, and may in the future, experience volatility and disruption and uncertainty from geopolitical tensions, inflation, economic tensions, changes in legislation in the various jurisdictions in which we and our clients operate, changes in global trade policies, or global health emergencies or pandemics, such as COVID-19, which may affect our clients, us directly, or our client industries, and could result in changing demand patterns. Our business largely depends on continued demand for our services. Weakness in the global labor market could also adversely affect the demand for our services and impact our ability to recruit, train and retain qualified employees, resulting in a significant negative impact on our business and results of operations.</w:t>
      </w:r>
    </w:p>
    <w:p>
      <w:pPr>
        <w:spacing w:after="0" w:line="21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Market disruptions may limit our ability to access financing or increase our cost of financing to meet liquidity needs, and affect the ability of our clients to use credit to purchase our services or to make timely payments to us.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business could be negatively affected if we incur financial penalties or legal liability, including with respect to our contractual obligations, in connection with providing our solutions and services.</w:t>
      </w:r>
    </w:p>
    <w:p>
      <w:pPr>
        <w:spacing w:after="0" w:line="177"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w:t>
      </w:r>
    </w:p>
    <w:p>
      <w:pPr>
        <w:spacing w:after="0" w:line="214" w:lineRule="exact"/>
        <w:rPr>
          <w:sz w:val="20"/>
          <w:szCs w:val="20"/>
          <w:color w:val="auto"/>
        </w:rPr>
      </w:pPr>
    </w:p>
    <w:p>
      <w:pPr>
        <w:jc w:val="both"/>
        <w:ind w:firstLine="387"/>
        <w:spacing w:after="0" w:line="274" w:lineRule="auto"/>
        <w:rPr>
          <w:sz w:val="20"/>
          <w:szCs w:val="20"/>
          <w:color w:val="auto"/>
        </w:rPr>
      </w:pPr>
      <w:r>
        <w:rPr>
          <w:rFonts w:ascii="Arial" w:cs="Arial" w:eastAsia="Arial" w:hAnsi="Arial"/>
          <w:sz w:val="16"/>
          <w:szCs w:val="16"/>
          <w:color w:val="auto"/>
        </w:rPr>
        <w:t>If we fail to meet our contractual obligations or otherwise breach obligations to our clients or vendors, we could be subject to legal liability. We may enter into non-standard agreements because we perceive an important economic opportunity by doing so or because our personnel did not adequately adhere to our guidelines. In addition, with respect to our client contracts, the contracting practices of our competitors may cause contract terms and conditions that are unfavorable to us to become standard in the marketplace. If we cannot or do not perform our obligations with clients or vendors, we could face legal liability and our contracts might not always protect us adequately through limitations on the scope and/or amount of our potential liability, or such protections may not be enforceable. If we cannot, or do not, meet our contractual obligations to provide solutions and services to clients, and if our exposure is not adequately limited through the enforceable terms of our agreements, we might face significant legal liability and our business could be adversely affected. Similarly, if we cannot, or do not, meet our contractual obligations with vendors, such as licensors, the vendors may have the right to terminate the contract, in which case we may not be able to provide client solutions and services dependent on the products or services provided to us by such contracts.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2"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Our financial statements have been prepared in accordance with U.S. generally accepted accounting principles (U.S. GAAP). The application of U.S. GAAP requires us to make estimates and assumptions about certain items and future events that affect our reported financial condition, and our accompanying disclosure. Our most critical accounting estimates are described in Part II, Item 7, “Management’s Discussion and Analysis of Financial Condition and Results of Operations” under “Critical Accounting Policies and Estimates.” We base our estimates on historical experience, contractual commitments and on various other assumptions that we believe to be reasonable under the circumstances and at the time they are made. These estimates and assumptions involve the use of judgment and are subject to significant uncertainties, some of which are beyond our control. If our estimates, or the assumptions underlying such estimates, are not correct, actual results may differ materially from our estimates, and we may need to, among other things, adjust revenues or accrue additional charges that could adversely affect our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credit risk and fluctuations in the market values of our investment and derivatives portfolios.</w:t>
      </w:r>
    </w:p>
    <w:p>
      <w:pPr>
        <w:spacing w:after="0" w:line="243"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7"/>
          <w:szCs w:val="17"/>
          <w:color w:val="auto"/>
        </w:rPr>
        <w:t>Any deterioration of the credit and capital markets in the United States, Europe, Asia or other regions of the world could result in volatility of our investment earnings and impairments to our investment portfolio, which could negatively impact our financial condition and reported income. Changes in economic conditions could adversely affect the ability of counterparties, including counterparties to our foreign exchange forward contracts, to meet their obligations to us, which could materially affect our positions and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fully insured for all losses we may incur.</w:t>
      </w:r>
    </w:p>
    <w:p>
      <w:pPr>
        <w:spacing w:after="0" w:line="243"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5"/>
          <w:szCs w:val="15"/>
          <w:color w:val="auto"/>
        </w:rPr>
        <w:t>We could be sued directly for claims that could be significant, such as claims related to breaches of privacy or network security, infringement of intellectual property rights, violation of wage and hour laws, or systemic discrimination, and our liability under our contracts may not fully limit or insulate us from those liabilities. Although we have general liability insurance coverage, including coverage for errors or omissions, cyber security incidents,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U.S., and our indemnification obligations to our clients based on employment law. The successful assertion of one or more large claims against us that are excluded from our insurance coverage or exceed available insurance coverage, or changes in our insurance policies (including premium increases, the imposition of large deductible or co-insurance requirements, or our insurers’ disclaimer of coverage as to future claims), could have a material adverse effect on our business, results of operations, financial condition and cash flows.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New and changing laws, corporate governance and public disclosure requirements add uncertainty to our compliance policies and increase our costs of compliance.</w:t>
      </w:r>
    </w:p>
    <w:p>
      <w:pPr>
        <w:spacing w:after="0" w:line="190" w:lineRule="exact"/>
        <w:rPr>
          <w:sz w:val="20"/>
          <w:szCs w:val="20"/>
          <w:color w:val="auto"/>
        </w:rPr>
      </w:pPr>
    </w:p>
    <w:p>
      <w:pPr>
        <w:jc w:val="both"/>
        <w:ind w:firstLine="387"/>
        <w:spacing w:after="0" w:line="299" w:lineRule="auto"/>
        <w:rPr>
          <w:sz w:val="20"/>
          <w:szCs w:val="20"/>
          <w:color w:val="auto"/>
        </w:rPr>
      </w:pPr>
      <w:r>
        <w:rPr>
          <w:rFonts w:ascii="Arial" w:cs="Arial" w:eastAsia="Arial" w:hAnsi="Arial"/>
          <w:sz w:val="15"/>
          <w:szCs w:val="15"/>
          <w:color w:val="auto"/>
        </w:rPr>
        <w:t>Changing laws, regulations and standards relating to accounting, corporate governance and public disclosure, including the Sarbanes-Oxley Act of 2002, the Dodd-Frank Wall Street Reform and Consumer Protection Act (“Dodd Frank”), other SEC regulations, rules and regulations of the Consumer Financial Protection Bureau, Public Company Accounting Oversight Board, and the NASDAQ Global Select Market, and generally accepted accounting principles issued by Financial Accounting Standard Board can create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180" w:lineRule="exact"/>
        <w:rPr>
          <w:sz w:val="20"/>
          <w:szCs w:val="20"/>
          <w:color w:val="auto"/>
        </w:rPr>
      </w:pPr>
    </w:p>
    <w:p>
      <w:pPr>
        <w:jc w:val="both"/>
        <w:ind w:firstLine="395"/>
        <w:spacing w:after="0" w:line="297" w:lineRule="auto"/>
        <w:rPr>
          <w:sz w:val="20"/>
          <w:szCs w:val="20"/>
          <w:color w:val="auto"/>
        </w:rPr>
      </w:pPr>
      <w:r>
        <w:rPr>
          <w:rFonts w:ascii="Arial" w:cs="Arial" w:eastAsia="Arial" w:hAnsi="Arial"/>
          <w:sz w:val="15"/>
          <w:szCs w:val="15"/>
          <w:color w:val="auto"/>
        </w:rPr>
        <w:t>Effective internal controls are necessary for us to provide reliable and accurate financial statements and to effectively prevent fraud. We devote significant financial and managerial resources and time to comply with the internal control over financial reporting requirements of the Sarbanes Oxley Act of 2002 and continue to enhance our controls. Internal control over financial reporting has inherent limitations, including human error, sample-based testing, the possibility that controls could be circumvented or become inadequate because of changed conditions, and fraud. Because of these inherent limitations, internal control over financial reporting might not prevent or detect all misstatements or fraud. While we do not anticipate any material weaknesses, we cannot be certain that we will be able to prevent future significant deficiencies or material weaknesses. Inadequate internal controls could result in adverse consequences to us, including, but not limited to, a loss of investor confidence in the reliability of our financial statements, which could cause the market price of our stock to decline.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2"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 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global operations expose us to numerous and sometimes conflicting legal and regulatory requirements, and violations of these regulations could harm our business.</w:t>
      </w:r>
    </w:p>
    <w:p>
      <w:pPr>
        <w:spacing w:after="0" w:line="190" w:lineRule="exact"/>
        <w:rPr>
          <w:sz w:val="20"/>
          <w:szCs w:val="20"/>
          <w:color w:val="auto"/>
        </w:rPr>
      </w:pPr>
    </w:p>
    <w:p>
      <w:pPr>
        <w:jc w:val="both"/>
        <w:ind w:firstLine="395"/>
        <w:spacing w:after="0" w:line="273" w:lineRule="auto"/>
        <w:rPr>
          <w:sz w:val="20"/>
          <w:szCs w:val="20"/>
          <w:color w:val="auto"/>
        </w:rPr>
      </w:pPr>
      <w:r>
        <w:rPr>
          <w:rFonts w:ascii="Arial" w:cs="Arial" w:eastAsia="Arial" w:hAnsi="Arial"/>
          <w:sz w:val="16"/>
          <w:szCs w:val="16"/>
          <w:color w:val="auto"/>
        </w:rPr>
        <w:t>We provide services to clients throughout the world, therefore we are subject to numerous, and sometimes conflicting, legal rules on matters as diverse as import/export controls, content requirements, trade restrictions, tariffs, taxation, sanctions, government affairs, internal and disclosure control obligations, securities regulation, including anti-competition, anti-money-laundering, data privacy and protection, government compliance, wage-and-hour standards, employment and labor relations and human rights. The global nature of our operations increases the difficulty of compliance. Compliance with diverse legal requirements is costly, time-consuming and requires significant resources. Violations of any of these laws or regulations in the conduct of our business could result in fines, criminal sanctions against us or our officers, prohibitions on doing 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financial condition and cash flows.</w:t>
      </w:r>
    </w:p>
    <w:p>
      <w:pPr>
        <w:spacing w:after="0" w:line="202"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7"/>
          <w:szCs w:val="17"/>
          <w:color w:val="auto"/>
        </w:rPr>
        <w:t>In addition, it may be difficult to enforce our intellectual property rights both within and outside of the United States. India is a member of the Berne Convention, an international intellectual property treaty, and has agreed to recognize protections on intellectual property rights conferred under the laws of other foreign countries, including the laws of the United States. There can be no assurance, however, that the laws, rules, regulations and treaties in effect in the United States, India and the other jurisdictions in which we operate and the contractual and other protective measures we take, are adequate to protect us from misappropriation or unauthorized use of our intellectual property, or that such laws will not change.</w:t>
      </w:r>
    </w:p>
    <w:p>
      <w:pPr>
        <w:spacing w:after="0" w:line="196"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6"/>
          <w:szCs w:val="16"/>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 to international business standards and could violate these anti-corruption laws or regulations. Although we have policies and procedures in place that are designed to promote legal and regulatory compliance, including with respect to the FCPA,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environmental, social and governance commitments and disclosures may expose us to reputational risks and legal liability.</w:t>
      </w:r>
    </w:p>
    <w:p>
      <w:pPr>
        <w:spacing w:after="0" w:line="230" w:lineRule="exact"/>
        <w:rPr>
          <w:sz w:val="20"/>
          <w:szCs w:val="20"/>
          <w:color w:val="auto"/>
        </w:rPr>
      </w:pPr>
    </w:p>
    <w:p>
      <w:pPr>
        <w:jc w:val="both"/>
        <w:ind w:firstLine="464"/>
        <w:spacing w:after="0" w:line="284" w:lineRule="auto"/>
        <w:rPr>
          <w:sz w:val="20"/>
          <w:szCs w:val="20"/>
          <w:color w:val="auto"/>
        </w:rPr>
      </w:pPr>
      <w:r>
        <w:rPr>
          <w:rFonts w:ascii="Arial" w:cs="Arial" w:eastAsia="Arial" w:hAnsi="Arial"/>
          <w:sz w:val="15"/>
          <w:szCs w:val="15"/>
          <w:color w:val="auto"/>
        </w:rPr>
        <w:t>Our brand and reputation are also associated with our public commitments to various corporate environmental, social and governance (“ESG”) initiatives, including our goals relating to sustainability, inclusion and diversity. Our disclosures on these matters and any failure or perceived failure to achieve or accurately report on our commitments, could harm our reputation. In addition, positions we take or do not take on social issues may be unpopular with some of our employees, our clients or potential clients, governments or advocacy groups, which may impact our ability to attract or retain employees or the demand for our services. We also may choose not to conduct business with potential clients or discontinue or not expand business with existing clients due to these positions.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39" w:lineRule="exact"/>
        <w:rPr>
          <w:sz w:val="20"/>
          <w:szCs w:val="20"/>
          <w:color w:val="auto"/>
        </w:rPr>
      </w:pPr>
    </w:p>
    <w:p>
      <w:pPr>
        <w:jc w:val="both"/>
        <w:ind w:firstLine="464"/>
        <w:spacing w:after="0" w:line="239" w:lineRule="auto"/>
        <w:rPr>
          <w:sz w:val="20"/>
          <w:szCs w:val="20"/>
          <w:color w:val="auto"/>
        </w:rPr>
      </w:pPr>
      <w:r>
        <w:rPr>
          <w:rFonts w:ascii="Arial" w:cs="Arial" w:eastAsia="Arial" w:hAnsi="Arial"/>
          <w:sz w:val="17"/>
          <w:szCs w:val="17"/>
          <w:color w:val="auto"/>
        </w:rPr>
        <w:t>Governmental bodies, investors, clients and businesses are increasingly focused on ESG issues, which has resulted and may in the future continue to result in the enactment of new laws and regulations, reporting requirements and changing buying practices. Increasing focus on ESG matters has resulted in, and is expected to continue to result in, the adoption of legal and regulatory requirements designed to mitigate the effects of climate change on the environment, human rights and supply chain-related disclosures. If new laws or regulations are more stringent than current legal or regulatory requirements, we may experience increased compliance burdens and costs to meet such obligations. In addition, our selection of voluntary disclosure frameworks and standards, and the interpretation or application of those frameworks and standards, may change from time to time or may not meet the expectations of investors or other stakeholders. Our ability to achieve our ESG commitments, including our goals relating to sustainability, inclusion and diversity, is subject to numerous risks, many of which are outside of our control.</w:t>
      </w:r>
    </w:p>
    <w:p>
      <w:pPr>
        <w:spacing w:after="0" w:line="209"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6"/>
          <w:szCs w:val="16"/>
          <w:color w:val="auto"/>
        </w:rPr>
        <w:t>In addition, standards for tracking and reporting on ESG matters have not been harmonized and continue to evolve. Methodologies for reporting ESG data may be updated and previously reported ESG data may be adjusted to reflect improvement in availability and quality of third-party data, changing assumptions, changes in the nature and scope of our operations and other changes in circumstances. Our processes and controls for reporting ESG matters across our operations and supply chain are evolving along with multiple disparate standards for identifying, measuring, and reporting ESG metrics, including ESG-related disclosures that may be required by the SEC and other regulators, and such standards may change over time, which could result in significant revisions to our current goals, reported progress in achieving such goals, or ability to achieve such goals in the future.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159"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59" w:lineRule="exact"/>
        <w:rPr>
          <w:sz w:val="20"/>
          <w:szCs w:val="20"/>
          <w:color w:val="auto"/>
        </w:rPr>
      </w:pPr>
    </w:p>
    <w:p>
      <w:pPr>
        <w:jc w:val="both"/>
        <w:ind w:firstLine="425"/>
        <w:spacing w:after="0" w:line="244" w:lineRule="auto"/>
        <w:rPr>
          <w:sz w:val="20"/>
          <w:szCs w:val="20"/>
          <w:color w:val="auto"/>
        </w:rPr>
      </w:pPr>
      <w:r>
        <w:rPr>
          <w:rFonts w:ascii="Arial" w:cs="Arial" w:eastAsia="Arial" w:hAnsi="Arial"/>
          <w:sz w:val="17"/>
          <w:szCs w:val="17"/>
          <w:color w:val="auto"/>
        </w:rPr>
        <w:t>Our corporate headquarters are located in New York, New York. We have multiple operations centers spread across India, the Philippines, the United Kingdom, the Republic of Ireland, Colombia, Bulgaria, the Czech Republic, Romania and South Africa with an aggregate area of approximately 1,857,000 square feet and a current installed capacity of approximately 28,300 workstations, including workstations for training and our employees in enabling functions. We also have multiple operations centers and regional offices in the United States. We continue to optimize our existing network of operations centers to service our client, drive efficiencies and adapting the hybrid and remote working models.</w:t>
      </w:r>
    </w:p>
    <w:p>
      <w:pPr>
        <w:spacing w:after="0" w:line="141"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Our corporate headquarters and all of our operations centers are leased under long-term leases with varying expiration dates, except for an operations center in Pune, India with an area of 86,361 sq. ft. and containing approximately 1,670 agent workstations, which we own. Substantially all of our owned and leased property is used to service all of our reporting segments. We believe that our current facilities are adequate to support our existing operations. We also believe that we will be able to obtain suitable additional facilities on commercially reasonable terms on an “as needed basis.”</w:t>
      </w:r>
    </w:p>
    <w:p>
      <w:pPr>
        <w:spacing w:after="0" w:line="33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0"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 Commitments and Contingencies to our consolidated financial statements contained herein for details regarding our tax proceedings.</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294"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common stock trades on the Nasdaq Global Select Market under the symbol “EXLS.”</w:t>
      </w:r>
    </w:p>
    <w:p>
      <w:pPr>
        <w:spacing w:after="0" w:line="165"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As of February 21, 2023, there were 11 holders of record of our outstanding common stock. A substantially greater number of holders of our common stock are “street name” or beneficial holders, whose shares of record are held by banks, brokers, and other financial institutions.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do not anticipate paying any cash dividends in the foreseeable future.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59" w:lineRule="exact"/>
        <w:rPr>
          <w:sz w:val="20"/>
          <w:szCs w:val="20"/>
          <w:color w:val="auto"/>
        </w:rPr>
      </w:pPr>
    </w:p>
    <w:p>
      <w:pPr>
        <w:jc w:val="both"/>
        <w:ind w:firstLine="425"/>
        <w:spacing w:after="0" w:line="264" w:lineRule="auto"/>
        <w:rPr>
          <w:sz w:val="20"/>
          <w:szCs w:val="20"/>
          <w:color w:val="auto"/>
        </w:rPr>
      </w:pPr>
      <w:r>
        <w:rPr>
          <w:rFonts w:ascii="Arial" w:cs="Arial" w:eastAsia="Arial" w:hAnsi="Arial"/>
          <w:sz w:val="17"/>
          <w:szCs w:val="17"/>
          <w:color w:val="auto"/>
        </w:rPr>
        <w:t>On October 5, 2021, our board of directors authorized a $300 million common stock repurchase program beginning January 1, 2022 (the “2022 Repurchase Program”).</w:t>
      </w:r>
    </w:p>
    <w:p>
      <w:pPr>
        <w:spacing w:after="0" w:line="176" w:lineRule="exact"/>
        <w:rPr>
          <w:sz w:val="20"/>
          <w:szCs w:val="20"/>
          <w:color w:val="auto"/>
        </w:rPr>
      </w:pPr>
    </w:p>
    <w:p>
      <w:pPr>
        <w:jc w:val="both"/>
        <w:ind w:firstLine="425"/>
        <w:spacing w:after="0" w:line="250" w:lineRule="auto"/>
        <w:rPr>
          <w:sz w:val="20"/>
          <w:szCs w:val="20"/>
          <w:color w:val="auto"/>
        </w:rPr>
      </w:pPr>
      <w:r>
        <w:rPr>
          <w:rFonts w:ascii="Arial" w:cs="Arial" w:eastAsia="Arial" w:hAnsi="Arial"/>
          <w:sz w:val="17"/>
          <w:szCs w:val="17"/>
          <w:color w:val="auto"/>
        </w:rPr>
        <w:t>Under the 2022 Repurchase Program, shares may be purchased by us from time to time from the open market and through private transactions, or otherwise, as determined by our management as market conditions warrant. We have structured open market purchases under the 2022 Repurchase Program to comply with Rule 10b-18 under the Exchange Act. Repurchases may be discontinued at any time by management.</w:t>
      </w:r>
    </w:p>
    <w:p>
      <w:pPr>
        <w:spacing w:after="0" w:line="137"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Repurchased shares under the 2022 Repurchase Program are recorded as treasury shares and are held until our board of directors designates that these shares be retired or used for other purposes.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regarding the purchase of equity securities under the 2022 Repurchase Program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w:t>
      </w:r>
    </w:p>
    <w:p>
      <w:pPr>
        <w:sectPr>
          <w:pgSz w:w="11900" w:h="16838" w:orient="portrait"/>
          <w:cols w:equalWidth="0" w:num="1">
            <w:col w:w="11240"/>
          </w:cols>
          <w:pgMar w:left="320" w:top="3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Period</w:t>
      </w:r>
    </w:p>
    <w:p>
      <w:pPr>
        <w:spacing w:after="0" w:line="2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October 1, 2022 through October 31, 2022</w:t>
      </w:r>
      <w:r>
        <w:rPr>
          <w:rFonts w:ascii="Arial" w:cs="Arial" w:eastAsia="Arial" w:hAnsi="Arial"/>
          <w:sz w:val="19"/>
          <w:szCs w:val="19"/>
          <w:color w:val="auto"/>
          <w:vertAlign w:val="superscript"/>
        </w:rPr>
        <w:t>(1)</w:t>
      </w:r>
    </w:p>
    <w:p>
      <w:pPr>
        <w:spacing w:after="0" w:line="30" w:lineRule="exact"/>
        <w:rPr>
          <w:sz w:val="20"/>
          <w:szCs w:val="20"/>
          <w:color w:val="auto"/>
        </w:rPr>
      </w:pPr>
    </w:p>
    <w:p>
      <w:pPr>
        <w:ind w:left="300" w:right="160"/>
        <w:spacing w:after="0" w:line="227" w:lineRule="auto"/>
        <w:rPr>
          <w:sz w:val="20"/>
          <w:szCs w:val="20"/>
          <w:color w:val="auto"/>
        </w:rPr>
      </w:pPr>
      <w:r>
        <w:rPr>
          <w:rFonts w:ascii="Arial" w:cs="Arial" w:eastAsia="Arial" w:hAnsi="Arial"/>
          <w:sz w:val="17"/>
          <w:szCs w:val="17"/>
          <w:color w:val="auto"/>
        </w:rPr>
        <w:t>November 1, 2022 through November 30, 2022</w:t>
      </w:r>
    </w:p>
    <w:p>
      <w:pPr>
        <w:spacing w:after="0" w:line="16" w:lineRule="exact"/>
        <w:rPr>
          <w:sz w:val="20"/>
          <w:szCs w:val="20"/>
          <w:color w:val="auto"/>
        </w:rPr>
      </w:pPr>
    </w:p>
    <w:p>
      <w:pPr>
        <w:ind w:left="300" w:right="200"/>
        <w:spacing w:after="0" w:line="242" w:lineRule="auto"/>
        <w:rPr>
          <w:sz w:val="20"/>
          <w:szCs w:val="20"/>
          <w:color w:val="auto"/>
        </w:rPr>
      </w:pPr>
      <w:r>
        <w:rPr>
          <w:rFonts w:ascii="Arial" w:cs="Arial" w:eastAsia="Arial" w:hAnsi="Arial"/>
          <w:sz w:val="17"/>
          <w:szCs w:val="17"/>
          <w:color w:val="auto"/>
        </w:rPr>
        <w:t xml:space="preserve">December 1, 2022 through December 31, 2022 </w:t>
      </w:r>
      <w:r>
        <w:rPr>
          <w:rFonts w:ascii="Arial" w:cs="Arial" w:eastAsia="Arial" w:hAnsi="Arial"/>
          <w:sz w:val="22"/>
          <w:szCs w:val="22"/>
          <w:color w:val="auto"/>
          <w:vertAlign w:val="superscript"/>
        </w:rPr>
        <w:t>(1)</w:t>
      </w:r>
    </w:p>
    <w:p>
      <w:pPr>
        <w:ind w:left="3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Total Number of Shares</w:t>
            </w:r>
          </w:p>
        </w:tc>
        <w:tc>
          <w:tcPr>
            <w:tcW w:w="100" w:type="dxa"/>
            <w:vAlign w:val="bottom"/>
          </w:tcPr>
          <w:p>
            <w:pPr>
              <w:spacing w:after="0"/>
              <w:rPr>
                <w:sz w:val="16"/>
                <w:szCs w:val="16"/>
                <w:color w:val="auto"/>
              </w:rPr>
            </w:pPr>
          </w:p>
        </w:tc>
        <w:tc>
          <w:tcPr>
            <w:tcW w:w="1780" w:type="dxa"/>
            <w:vAlign w:val="bottom"/>
          </w:tcPr>
          <w:p>
            <w:pPr>
              <w:jc w:val="center"/>
              <w:ind w:right="14"/>
              <w:spacing w:after="0"/>
              <w:rPr>
                <w:sz w:val="20"/>
                <w:szCs w:val="20"/>
                <w:color w:val="auto"/>
              </w:rPr>
            </w:pPr>
            <w:r>
              <w:rPr>
                <w:rFonts w:ascii="Arial" w:cs="Arial" w:eastAsia="Arial" w:hAnsi="Arial"/>
                <w:sz w:val="17"/>
                <w:szCs w:val="17"/>
                <w:b w:val="1"/>
                <w:bCs w:val="1"/>
                <w:color w:val="auto"/>
                <w:w w:val="94"/>
              </w:rPr>
              <w:t>Approximate Dollar</w:t>
            </w: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80"/>
              <w:spacing w:after="0" w:line="175" w:lineRule="exact"/>
              <w:rPr>
                <w:sz w:val="20"/>
                <w:szCs w:val="20"/>
                <w:color w:val="auto"/>
              </w:rPr>
            </w:pPr>
            <w:r>
              <w:rPr>
                <w:rFonts w:ascii="Arial" w:cs="Arial" w:eastAsia="Arial" w:hAnsi="Arial"/>
                <w:sz w:val="17"/>
                <w:szCs w:val="17"/>
                <w:b w:val="1"/>
                <w:bCs w:val="1"/>
                <w:color w:val="auto"/>
                <w:w w:val="89"/>
              </w:rPr>
              <w:t>Purchased as Part of</w:t>
            </w:r>
          </w:p>
        </w:tc>
        <w:tc>
          <w:tcPr>
            <w:tcW w:w="100" w:type="dxa"/>
            <w:vAlign w:val="bottom"/>
          </w:tcPr>
          <w:p>
            <w:pPr>
              <w:spacing w:after="0"/>
              <w:rPr>
                <w:sz w:val="15"/>
                <w:szCs w:val="15"/>
                <w:color w:val="auto"/>
              </w:rPr>
            </w:pPr>
          </w:p>
        </w:tc>
        <w:tc>
          <w:tcPr>
            <w:tcW w:w="1780" w:type="dxa"/>
            <w:vAlign w:val="bottom"/>
          </w:tcPr>
          <w:p>
            <w:pPr>
              <w:jc w:val="center"/>
              <w:ind w:right="14"/>
              <w:spacing w:after="0" w:line="175" w:lineRule="exact"/>
              <w:rPr>
                <w:sz w:val="20"/>
                <w:szCs w:val="20"/>
                <w:color w:val="auto"/>
              </w:rPr>
            </w:pPr>
            <w:r>
              <w:rPr>
                <w:rFonts w:ascii="Arial" w:cs="Arial" w:eastAsia="Arial" w:hAnsi="Arial"/>
                <w:sz w:val="17"/>
                <w:szCs w:val="17"/>
                <w:b w:val="1"/>
                <w:bCs w:val="1"/>
                <w:color w:val="auto"/>
                <w:w w:val="90"/>
              </w:rPr>
              <w:t>Value of Shares That</w:t>
            </w:r>
          </w:p>
        </w:tc>
        <w:tc>
          <w:tcPr>
            <w:tcW w:w="0" w:type="dxa"/>
            <w:vAlign w:val="bottom"/>
          </w:tcPr>
          <w:p>
            <w:pPr>
              <w:spacing w:after="0"/>
              <w:rPr>
                <w:sz w:val="1"/>
                <w:szCs w:val="1"/>
                <w:color w:val="auto"/>
              </w:rPr>
            </w:pPr>
          </w:p>
        </w:tc>
      </w:tr>
      <w:tr>
        <w:trPr>
          <w:trHeight w:val="173"/>
        </w:trPr>
        <w:tc>
          <w:tcPr>
            <w:tcW w:w="156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Total Number of</w:t>
            </w:r>
          </w:p>
        </w:tc>
        <w:tc>
          <w:tcPr>
            <w:tcW w:w="220" w:type="dxa"/>
            <w:vAlign w:val="bottom"/>
          </w:tcPr>
          <w:p>
            <w:pPr>
              <w:spacing w:after="0"/>
              <w:rPr>
                <w:sz w:val="15"/>
                <w:szCs w:val="15"/>
                <w:color w:val="auto"/>
              </w:rPr>
            </w:pPr>
          </w:p>
        </w:tc>
        <w:tc>
          <w:tcPr>
            <w:tcW w:w="164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Average Price</w:t>
            </w:r>
          </w:p>
        </w:tc>
        <w:tc>
          <w:tcPr>
            <w:tcW w:w="2120" w:type="dxa"/>
            <w:vAlign w:val="bottom"/>
            <w:gridSpan w:val="2"/>
          </w:tcPr>
          <w:p>
            <w:pPr>
              <w:jc w:val="center"/>
              <w:ind w:right="100"/>
              <w:spacing w:after="0" w:line="173" w:lineRule="exact"/>
              <w:rPr>
                <w:sz w:val="20"/>
                <w:szCs w:val="20"/>
                <w:color w:val="auto"/>
              </w:rPr>
            </w:pPr>
            <w:r>
              <w:rPr>
                <w:rFonts w:ascii="Arial" w:cs="Arial" w:eastAsia="Arial" w:hAnsi="Arial"/>
                <w:sz w:val="17"/>
                <w:szCs w:val="17"/>
                <w:b w:val="1"/>
                <w:bCs w:val="1"/>
                <w:color w:val="auto"/>
                <w:w w:val="95"/>
              </w:rPr>
              <w:t>Publicly</w:t>
            </w:r>
          </w:p>
        </w:tc>
        <w:tc>
          <w:tcPr>
            <w:tcW w:w="100" w:type="dxa"/>
            <w:vAlign w:val="bottom"/>
          </w:tcPr>
          <w:p>
            <w:pPr>
              <w:spacing w:after="0"/>
              <w:rPr>
                <w:sz w:val="15"/>
                <w:szCs w:val="15"/>
                <w:color w:val="auto"/>
              </w:rPr>
            </w:pPr>
          </w:p>
        </w:tc>
        <w:tc>
          <w:tcPr>
            <w:tcW w:w="1780" w:type="dxa"/>
            <w:vAlign w:val="bottom"/>
          </w:tcPr>
          <w:p>
            <w:pPr>
              <w:jc w:val="center"/>
              <w:ind w:right="14"/>
              <w:spacing w:after="0" w:line="173" w:lineRule="exact"/>
              <w:rPr>
                <w:sz w:val="20"/>
                <w:szCs w:val="20"/>
                <w:color w:val="auto"/>
              </w:rPr>
            </w:pPr>
            <w:r>
              <w:rPr>
                <w:rFonts w:ascii="Arial" w:cs="Arial" w:eastAsia="Arial" w:hAnsi="Arial"/>
                <w:sz w:val="17"/>
                <w:szCs w:val="17"/>
                <w:b w:val="1"/>
                <w:bCs w:val="1"/>
                <w:color w:val="auto"/>
                <w:w w:val="92"/>
              </w:rPr>
              <w:t>May Yet Be Purchased</w:t>
            </w:r>
          </w:p>
        </w:tc>
        <w:tc>
          <w:tcPr>
            <w:tcW w:w="0" w:type="dxa"/>
            <w:vAlign w:val="bottom"/>
          </w:tcPr>
          <w:p>
            <w:pPr>
              <w:spacing w:after="0"/>
              <w:rPr>
                <w:sz w:val="1"/>
                <w:szCs w:val="1"/>
                <w:color w:val="auto"/>
              </w:rPr>
            </w:pPr>
          </w:p>
        </w:tc>
      </w:tr>
      <w:tr>
        <w:trPr>
          <w:trHeight w:val="168"/>
        </w:trPr>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12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90"/>
              </w:rPr>
              <w:t>Announced Plans or</w:t>
            </w:r>
          </w:p>
        </w:tc>
        <w:tc>
          <w:tcPr>
            <w:tcW w:w="100" w:type="dxa"/>
            <w:vAlign w:val="bottom"/>
          </w:tcPr>
          <w:p>
            <w:pPr>
              <w:spacing w:after="0"/>
              <w:rPr>
                <w:sz w:val="14"/>
                <w:szCs w:val="14"/>
                <w:color w:val="auto"/>
              </w:rPr>
            </w:pPr>
          </w:p>
        </w:tc>
        <w:tc>
          <w:tcPr>
            <w:tcW w:w="178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92"/>
              </w:rPr>
              <w:t>Under the Plans or</w:t>
            </w:r>
          </w:p>
        </w:tc>
        <w:tc>
          <w:tcPr>
            <w:tcW w:w="0" w:type="dxa"/>
            <w:vAlign w:val="bottom"/>
          </w:tcPr>
          <w:p>
            <w:pPr>
              <w:spacing w:after="0"/>
              <w:rPr>
                <w:sz w:val="1"/>
                <w:szCs w:val="1"/>
                <w:color w:val="auto"/>
              </w:rPr>
            </w:pPr>
          </w:p>
        </w:tc>
      </w:tr>
      <w:tr>
        <w:trPr>
          <w:trHeight w:val="228"/>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Shares Purchased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Paid per share</w:t>
            </w: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Programs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0"/>
              </w:rPr>
              <w:t>Programs</w:t>
            </w:r>
          </w:p>
        </w:tc>
        <w:tc>
          <w:tcPr>
            <w:tcW w:w="0" w:type="dxa"/>
            <w:vAlign w:val="bottom"/>
          </w:tcPr>
          <w:p>
            <w:pPr>
              <w:spacing w:after="0"/>
              <w:rPr>
                <w:sz w:val="1"/>
                <w:szCs w:val="1"/>
                <w:color w:val="auto"/>
              </w:rPr>
            </w:pPr>
          </w:p>
        </w:tc>
      </w:tr>
      <w:tr>
        <w:trPr>
          <w:trHeight w:val="215"/>
        </w:trPr>
        <w:tc>
          <w:tcPr>
            <w:tcW w:w="1460" w:type="dxa"/>
            <w:vAlign w:val="bottom"/>
          </w:tcPr>
          <w:p>
            <w:pPr>
              <w:jc w:val="right"/>
              <w:spacing w:after="0"/>
              <w:rPr>
                <w:sz w:val="20"/>
                <w:szCs w:val="20"/>
                <w:color w:val="auto"/>
              </w:rPr>
            </w:pPr>
            <w:r>
              <w:rPr>
                <w:rFonts w:ascii="Arial" w:cs="Arial" w:eastAsia="Arial" w:hAnsi="Arial"/>
                <w:sz w:val="17"/>
                <w:szCs w:val="17"/>
                <w:color w:val="auto"/>
              </w:rPr>
              <w:t>4,863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164.16</w:t>
            </w:r>
          </w:p>
        </w:tc>
        <w:tc>
          <w:tcPr>
            <w:tcW w:w="100" w:type="dxa"/>
            <w:vAlign w:val="bottom"/>
          </w:tcPr>
          <w:p>
            <w:pPr>
              <w:spacing w:after="0"/>
              <w:rPr>
                <w:sz w:val="18"/>
                <w:szCs w:val="18"/>
                <w:color w:val="auto"/>
              </w:rPr>
            </w:pPr>
          </w:p>
        </w:tc>
        <w:tc>
          <w:tcPr>
            <w:tcW w:w="2120" w:type="dxa"/>
            <w:vAlign w:val="bottom"/>
            <w:gridSpan w:val="2"/>
          </w:tcPr>
          <w:p>
            <w:pPr>
              <w:ind w:left="17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231,479,093</w:t>
            </w:r>
          </w:p>
        </w:tc>
        <w:tc>
          <w:tcPr>
            <w:tcW w:w="0" w:type="dxa"/>
            <w:vAlign w:val="bottom"/>
          </w:tcPr>
          <w:p>
            <w:pPr>
              <w:spacing w:after="0"/>
              <w:rPr>
                <w:sz w:val="1"/>
                <w:szCs w:val="1"/>
                <w:color w:val="auto"/>
              </w:rPr>
            </w:pPr>
          </w:p>
        </w:tc>
      </w:tr>
      <w:tr>
        <w:trPr>
          <w:trHeight w:val="400"/>
        </w:trPr>
        <w:tc>
          <w:tcPr>
            <w:tcW w:w="1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120" w:type="dxa"/>
            <w:vAlign w:val="bottom"/>
            <w:gridSpan w:val="2"/>
          </w:tcPr>
          <w:p>
            <w:pPr>
              <w:ind w:left="17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231,479,093</w:t>
            </w:r>
          </w:p>
        </w:tc>
        <w:tc>
          <w:tcPr>
            <w:tcW w:w="0" w:type="dxa"/>
            <w:vAlign w:val="bottom"/>
          </w:tcPr>
          <w:p>
            <w:pPr>
              <w:spacing w:after="0"/>
              <w:rPr>
                <w:sz w:val="1"/>
                <w:szCs w:val="1"/>
                <w:color w:val="auto"/>
              </w:rPr>
            </w:pPr>
          </w:p>
        </w:tc>
      </w:tr>
      <w:tr>
        <w:trPr>
          <w:trHeight w:val="40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179.69</w:t>
            </w:r>
          </w:p>
        </w:tc>
        <w:tc>
          <w:tcPr>
            <w:tcW w:w="100" w:type="dxa"/>
            <w:vAlign w:val="bottom"/>
          </w:tcPr>
          <w:p>
            <w:pPr>
              <w:spacing w:after="0"/>
              <w:rPr>
                <w:sz w:val="24"/>
                <w:szCs w:val="24"/>
                <w:color w:val="auto"/>
              </w:rPr>
            </w:pPr>
          </w:p>
        </w:tc>
        <w:tc>
          <w:tcPr>
            <w:tcW w:w="2020" w:type="dxa"/>
            <w:vAlign w:val="bottom"/>
            <w:tcBorders>
              <w:bottom w:val="single" w:sz="8" w:color="auto"/>
            </w:tcBorders>
          </w:tcPr>
          <w:p>
            <w:pPr>
              <w:ind w:left="17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231,479,093</w:t>
            </w:r>
          </w:p>
        </w:tc>
        <w:tc>
          <w:tcPr>
            <w:tcW w:w="0" w:type="dxa"/>
            <w:vAlign w:val="bottom"/>
          </w:tcPr>
          <w:p>
            <w:pPr>
              <w:spacing w:after="0"/>
              <w:rPr>
                <w:sz w:val="1"/>
                <w:szCs w:val="1"/>
                <w:color w:val="auto"/>
              </w:rPr>
            </w:pPr>
          </w:p>
        </w:tc>
      </w:tr>
      <w:tr>
        <w:trPr>
          <w:trHeight w:val="212"/>
        </w:trPr>
        <w:tc>
          <w:tcPr>
            <w:tcW w:w="1460" w:type="dxa"/>
            <w:vAlign w:val="bottom"/>
          </w:tcPr>
          <w:p>
            <w:pPr>
              <w:jc w:val="right"/>
              <w:spacing w:after="0"/>
              <w:rPr>
                <w:sz w:val="20"/>
                <w:szCs w:val="20"/>
                <w:color w:val="auto"/>
              </w:rPr>
            </w:pPr>
            <w:r>
              <w:rPr>
                <w:rFonts w:ascii="Arial" w:cs="Arial" w:eastAsia="Arial" w:hAnsi="Arial"/>
                <w:sz w:val="17"/>
                <w:szCs w:val="17"/>
                <w:color w:val="auto"/>
              </w:rPr>
              <w:t>5,597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166.20</w:t>
            </w:r>
          </w:p>
        </w:tc>
        <w:tc>
          <w:tcPr>
            <w:tcW w:w="100" w:type="dxa"/>
            <w:vAlign w:val="bottom"/>
          </w:tcPr>
          <w:p>
            <w:pPr>
              <w:spacing w:after="0"/>
              <w:rPr>
                <w:sz w:val="18"/>
                <w:szCs w:val="18"/>
                <w:color w:val="auto"/>
              </w:rPr>
            </w:pPr>
          </w:p>
        </w:tc>
        <w:tc>
          <w:tcPr>
            <w:tcW w:w="2120" w:type="dxa"/>
            <w:vAlign w:val="bottom"/>
            <w:gridSpan w:val="2"/>
          </w:tcPr>
          <w:p>
            <w:pPr>
              <w:ind w:left="17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-834390</wp:posOffset>
            </wp:positionV>
            <wp:extent cx="6777990" cy="147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7990" cy="147320"/>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-433070</wp:posOffset>
            </wp:positionV>
            <wp:extent cx="6777990" cy="2540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7990" cy="254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180"/>
            <w:col w:w="7700"/>
          </w:cols>
          <w:pgMar w:left="320" w:top="353" w:right="339" w:bottom="1440" w:gutter="0" w:footer="0" w:header="0"/>
          <w:type w:val="continuous"/>
        </w:sectPr>
      </w:pPr>
    </w:p>
    <w:p>
      <w:pPr>
        <w:spacing w:after="0" w:line="37" w:lineRule="exact"/>
        <w:rPr>
          <w:sz w:val="20"/>
          <w:szCs w:val="20"/>
          <w:color w:val="auto"/>
        </w:rPr>
      </w:pPr>
    </w:p>
    <w:p>
      <w:pPr>
        <w:ind w:left="320"/>
        <w:spacing w:after="0" w:line="340" w:lineRule="auto"/>
        <w:rPr>
          <w:sz w:val="20"/>
          <w:szCs w:val="20"/>
          <w:color w:val="auto"/>
        </w:rPr>
      </w:pPr>
      <w:r>
        <w:rPr>
          <w:rFonts w:ascii="Arial" w:cs="Arial" w:eastAsia="Arial" w:hAnsi="Arial"/>
          <w:sz w:val="13"/>
          <w:szCs w:val="13"/>
          <w:i w:val="1"/>
          <w:iCs w:val="1"/>
          <w:color w:val="auto"/>
        </w:rPr>
        <w:t>(1</w:t>
      </w:r>
      <w:r>
        <w:rPr>
          <w:rFonts w:ascii="Arial" w:cs="Arial" w:eastAsia="Arial" w:hAnsi="Arial"/>
          <w:sz w:val="14"/>
          <w:szCs w:val="14"/>
          <w:i w:val="1"/>
          <w:iCs w:val="1"/>
          <w:color w:val="auto"/>
        </w:rPr>
        <w:t>) All of the 5,597 shares of our common stock acquired at the price of $166.20 were in connection with the satisfaction of tax withholding obligations on vested restricted</w:t>
      </w:r>
      <w:r>
        <w:rPr>
          <w:rFonts w:ascii="Arial" w:cs="Arial" w:eastAsia="Arial" w:hAnsi="Arial"/>
          <w:sz w:val="13"/>
          <w:szCs w:val="13"/>
          <w:i w:val="1"/>
          <w:iCs w:val="1"/>
          <w:color w:val="auto"/>
        </w:rPr>
        <w:t xml:space="preserve"> </w:t>
      </w:r>
      <w:r>
        <w:rPr>
          <w:rFonts w:ascii="Arial" w:cs="Arial" w:eastAsia="Arial" w:hAnsi="Arial"/>
          <w:sz w:val="14"/>
          <w:szCs w:val="14"/>
          <w:i w:val="1"/>
          <w:iCs w:val="1"/>
          <w:color w:val="auto"/>
        </w:rPr>
        <w:t>stock. Price paid per share for the restricted stock was the closing price of common stock on the trading day prior to the vesting date of the restricted stock units.</w:t>
      </w:r>
    </w:p>
    <w:p>
      <w:pPr>
        <w:spacing w:after="0" w:line="68"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During the year ended December 31, 2022, we purchased 503,858 shares of our common stock under the 2022 Repurchase Program, for an aggregate purchase consideration of $68.5 million including commissions, representing an average purchase price per share of $135.99.</w:t>
      </w:r>
    </w:p>
    <w:p>
      <w:pPr>
        <w:spacing w:after="0" w:line="113" w:lineRule="exact"/>
        <w:rPr>
          <w:sz w:val="20"/>
          <w:szCs w:val="20"/>
          <w:color w:val="auto"/>
        </w:rPr>
      </w:pPr>
    </w:p>
    <w:p>
      <w:pPr>
        <w:jc w:val="both"/>
        <w:ind w:firstLine="425"/>
        <w:spacing w:after="0" w:line="290" w:lineRule="auto"/>
        <w:rPr>
          <w:sz w:val="20"/>
          <w:szCs w:val="20"/>
          <w:color w:val="auto"/>
        </w:rPr>
      </w:pPr>
      <w:r>
        <w:rPr>
          <w:rFonts w:ascii="Arial" w:cs="Arial" w:eastAsia="Arial" w:hAnsi="Arial"/>
          <w:sz w:val="16"/>
          <w:szCs w:val="16"/>
          <w:color w:val="auto"/>
        </w:rPr>
        <w:t>During the year ended December 31, 2022, we purchased 32,816 shares from employees in connection with withholding tax payments related to the vesting of restricted stock units for an aggregate purchase consideration of $4.1 million. The weighted average purchase price of $125.58 was the closing price of our shares of our common stock on the Nasdaq Global Select Market on the trading day prior to the vesting date of the shares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72" w:lineRule="exact"/>
        <w:rPr>
          <w:sz w:val="20"/>
          <w:szCs w:val="20"/>
          <w:color w:val="auto"/>
        </w:rPr>
      </w:pPr>
    </w:p>
    <w:p>
      <w:pPr>
        <w:ind w:firstLine="425"/>
        <w:spacing w:after="0" w:line="349" w:lineRule="auto"/>
        <w:rPr>
          <w:sz w:val="20"/>
          <w:szCs w:val="20"/>
          <w:color w:val="auto"/>
        </w:rPr>
      </w:pPr>
      <w:r>
        <w:rPr>
          <w:rFonts w:ascii="Arial" w:cs="Arial" w:eastAsia="Arial" w:hAnsi="Arial"/>
          <w:sz w:val="15"/>
          <w:szCs w:val="15"/>
          <w:color w:val="auto"/>
        </w:rPr>
        <w:t>The following table provides information as of December 31, 2022 with respect to the shares of our common stock that may be issued under our existing equity compensation plans. For a description of our equity compensation plans, see Note 23 - Stock Based Compensation to our consolidated financial statements.</w:t>
      </w:r>
    </w:p>
    <w:p>
      <w:pPr>
        <w:sectPr>
          <w:pgSz w:w="11900" w:h="16838" w:orient="portrait"/>
          <w:cols w:equalWidth="0" w:num="1">
            <w:col w:w="11240"/>
          </w:cols>
          <w:pgMar w:left="320" w:top="3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42" w:lineRule="exact"/>
        <w:rPr>
          <w:sz w:val="20"/>
          <w:szCs w:val="20"/>
          <w:color w:val="auto"/>
        </w:rPr>
      </w:pPr>
    </w:p>
    <w:p>
      <w:pPr>
        <w:ind w:left="20" w:right="260"/>
        <w:spacing w:after="0" w:line="236" w:lineRule="auto"/>
        <w:rPr>
          <w:sz w:val="20"/>
          <w:szCs w:val="20"/>
          <w:color w:val="auto"/>
        </w:rPr>
      </w:pPr>
      <w:r>
        <w:rPr>
          <w:rFonts w:ascii="Arial" w:cs="Arial" w:eastAsia="Arial" w:hAnsi="Arial"/>
          <w:sz w:val="17"/>
          <w:szCs w:val="17"/>
          <w:color w:val="auto"/>
        </w:rPr>
        <w:t>Equity compensation plans approved by security holders</w:t>
      </w:r>
    </w:p>
    <w:p>
      <w:pPr>
        <w:spacing w:after="0" w:line="15" w:lineRule="exact"/>
        <w:rPr>
          <w:sz w:val="20"/>
          <w:szCs w:val="20"/>
          <w:color w:val="auto"/>
        </w:rPr>
      </w:pPr>
    </w:p>
    <w:p>
      <w:pPr>
        <w:ind w:left="20"/>
        <w:spacing w:after="0" w:line="236" w:lineRule="auto"/>
        <w:rPr>
          <w:sz w:val="20"/>
          <w:szCs w:val="20"/>
          <w:color w:val="auto"/>
        </w:rPr>
      </w:pPr>
      <w:r>
        <w:rPr>
          <w:rFonts w:ascii="Arial" w:cs="Arial" w:eastAsia="Arial" w:hAnsi="Arial"/>
          <w:sz w:val="17"/>
          <w:szCs w:val="17"/>
          <w:color w:val="auto"/>
        </w:rPr>
        <w:t>Equity compensation plans not approved by security holders</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Number of Securities</w:t>
            </w:r>
          </w:p>
        </w:tc>
        <w:tc>
          <w:tcPr>
            <w:tcW w:w="140" w:type="dxa"/>
            <w:vAlign w:val="bottom"/>
          </w:tcPr>
          <w:p>
            <w:pPr>
              <w:spacing w:after="0"/>
              <w:rPr>
                <w:sz w:val="16"/>
                <w:szCs w:val="16"/>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Weighted</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 Securities</w:t>
            </w:r>
          </w:p>
        </w:tc>
      </w:tr>
      <w:tr>
        <w:trPr>
          <w:trHeight w:val="175"/>
        </w:trPr>
        <w:tc>
          <w:tcPr>
            <w:tcW w:w="2220" w:type="dxa"/>
            <w:vAlign w:val="bottom"/>
            <w:gridSpan w:val="2"/>
          </w:tcPr>
          <w:p>
            <w:pPr>
              <w:jc w:val="center"/>
              <w:ind w:right="100"/>
              <w:spacing w:after="0" w:line="175" w:lineRule="exact"/>
              <w:rPr>
                <w:sz w:val="20"/>
                <w:szCs w:val="20"/>
                <w:color w:val="auto"/>
              </w:rPr>
            </w:pPr>
            <w:r>
              <w:rPr>
                <w:rFonts w:ascii="Arial" w:cs="Arial" w:eastAsia="Arial" w:hAnsi="Arial"/>
                <w:sz w:val="17"/>
                <w:szCs w:val="17"/>
                <w:b w:val="1"/>
                <w:bCs w:val="1"/>
                <w:color w:val="auto"/>
                <w:w w:val="89"/>
              </w:rPr>
              <w:t>to be Issued Upon</w:t>
            </w:r>
          </w:p>
        </w:tc>
        <w:tc>
          <w:tcPr>
            <w:tcW w:w="140" w:type="dxa"/>
            <w:vAlign w:val="bottom"/>
          </w:tcPr>
          <w:p>
            <w:pPr>
              <w:spacing w:after="0"/>
              <w:rPr>
                <w:sz w:val="15"/>
                <w:szCs w:val="15"/>
                <w:color w:val="auto"/>
              </w:rPr>
            </w:pPr>
          </w:p>
        </w:tc>
        <w:tc>
          <w:tcPr>
            <w:tcW w:w="2040" w:type="dxa"/>
            <w:vAlign w:val="bottom"/>
            <w:gridSpan w:val="2"/>
          </w:tcPr>
          <w:p>
            <w:pPr>
              <w:jc w:val="center"/>
              <w:ind w:right="300"/>
              <w:spacing w:after="0" w:line="175" w:lineRule="exact"/>
              <w:rPr>
                <w:sz w:val="20"/>
                <w:szCs w:val="20"/>
                <w:color w:val="auto"/>
              </w:rPr>
            </w:pPr>
            <w:r>
              <w:rPr>
                <w:rFonts w:ascii="Arial" w:cs="Arial" w:eastAsia="Arial" w:hAnsi="Arial"/>
                <w:sz w:val="17"/>
                <w:szCs w:val="17"/>
                <w:b w:val="1"/>
                <w:bCs w:val="1"/>
                <w:color w:val="auto"/>
                <w:w w:val="88"/>
              </w:rPr>
              <w:t>Average Exercise</w:t>
            </w:r>
          </w:p>
        </w:tc>
        <w:tc>
          <w:tcPr>
            <w:tcW w:w="288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3"/>
              </w:rPr>
              <w:t>Remaining Available for Future</w:t>
            </w:r>
          </w:p>
        </w:tc>
      </w:tr>
      <w:tr>
        <w:trPr>
          <w:trHeight w:val="173"/>
        </w:trPr>
        <w:tc>
          <w:tcPr>
            <w:tcW w:w="2220" w:type="dxa"/>
            <w:vAlign w:val="bottom"/>
            <w:gridSpan w:val="2"/>
          </w:tcPr>
          <w:p>
            <w:pPr>
              <w:jc w:val="center"/>
              <w:ind w:right="100"/>
              <w:spacing w:after="0" w:line="173" w:lineRule="exact"/>
              <w:rPr>
                <w:sz w:val="20"/>
                <w:szCs w:val="20"/>
                <w:color w:val="auto"/>
              </w:rPr>
            </w:pPr>
            <w:r>
              <w:rPr>
                <w:rFonts w:ascii="Arial" w:cs="Arial" w:eastAsia="Arial" w:hAnsi="Arial"/>
                <w:sz w:val="17"/>
                <w:szCs w:val="17"/>
                <w:b w:val="1"/>
                <w:bCs w:val="1"/>
                <w:color w:val="auto"/>
                <w:w w:val="89"/>
              </w:rPr>
              <w:t>Exercise/Vesting of</w:t>
            </w:r>
          </w:p>
        </w:tc>
        <w:tc>
          <w:tcPr>
            <w:tcW w:w="140" w:type="dxa"/>
            <w:vAlign w:val="bottom"/>
          </w:tcPr>
          <w:p>
            <w:pPr>
              <w:spacing w:after="0"/>
              <w:rPr>
                <w:sz w:val="15"/>
                <w:szCs w:val="15"/>
                <w:color w:val="auto"/>
              </w:rPr>
            </w:pPr>
          </w:p>
        </w:tc>
        <w:tc>
          <w:tcPr>
            <w:tcW w:w="2040" w:type="dxa"/>
            <w:vAlign w:val="bottom"/>
            <w:gridSpan w:val="2"/>
          </w:tcPr>
          <w:p>
            <w:pPr>
              <w:jc w:val="center"/>
              <w:ind w:right="320"/>
              <w:spacing w:after="0" w:line="173" w:lineRule="exact"/>
              <w:rPr>
                <w:sz w:val="20"/>
                <w:szCs w:val="20"/>
                <w:color w:val="auto"/>
              </w:rPr>
            </w:pPr>
            <w:r>
              <w:rPr>
                <w:rFonts w:ascii="Arial" w:cs="Arial" w:eastAsia="Arial" w:hAnsi="Arial"/>
                <w:sz w:val="17"/>
                <w:szCs w:val="17"/>
                <w:b w:val="1"/>
                <w:bCs w:val="1"/>
                <w:color w:val="auto"/>
                <w:w w:val="89"/>
              </w:rPr>
              <w:t>Price of</w:t>
            </w:r>
          </w:p>
        </w:tc>
        <w:tc>
          <w:tcPr>
            <w:tcW w:w="2880" w:type="dxa"/>
            <w:vAlign w:val="bottom"/>
          </w:tcPr>
          <w:p>
            <w:pPr>
              <w:jc w:val="center"/>
              <w:spacing w:after="0" w:line="173" w:lineRule="exact"/>
              <w:rPr>
                <w:sz w:val="20"/>
                <w:szCs w:val="20"/>
                <w:color w:val="auto"/>
              </w:rPr>
            </w:pPr>
            <w:r>
              <w:rPr>
                <w:rFonts w:ascii="Arial" w:cs="Arial" w:eastAsia="Arial" w:hAnsi="Arial"/>
                <w:sz w:val="17"/>
                <w:szCs w:val="17"/>
                <w:b w:val="1"/>
                <w:bCs w:val="1"/>
                <w:color w:val="auto"/>
                <w:w w:val="91"/>
              </w:rPr>
              <w:t>Issuance Under Equity</w:t>
            </w:r>
          </w:p>
        </w:tc>
      </w:tr>
      <w:tr>
        <w:trPr>
          <w:trHeight w:val="168"/>
        </w:trPr>
        <w:tc>
          <w:tcPr>
            <w:tcW w:w="222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91"/>
              </w:rPr>
              <w:t>Outstanding</w:t>
            </w:r>
          </w:p>
        </w:tc>
        <w:tc>
          <w:tcPr>
            <w:tcW w:w="140" w:type="dxa"/>
            <w:vAlign w:val="bottom"/>
          </w:tcPr>
          <w:p>
            <w:pPr>
              <w:spacing w:after="0"/>
              <w:rPr>
                <w:sz w:val="14"/>
                <w:szCs w:val="14"/>
                <w:color w:val="auto"/>
              </w:rPr>
            </w:pPr>
          </w:p>
        </w:tc>
        <w:tc>
          <w:tcPr>
            <w:tcW w:w="2040" w:type="dxa"/>
            <w:vAlign w:val="bottom"/>
            <w:gridSpan w:val="2"/>
          </w:tcPr>
          <w:p>
            <w:pPr>
              <w:jc w:val="center"/>
              <w:ind w:right="320"/>
              <w:spacing w:after="0" w:line="167" w:lineRule="exact"/>
              <w:rPr>
                <w:sz w:val="20"/>
                <w:szCs w:val="20"/>
                <w:color w:val="auto"/>
              </w:rPr>
            </w:pPr>
            <w:r>
              <w:rPr>
                <w:rFonts w:ascii="Arial" w:cs="Arial" w:eastAsia="Arial" w:hAnsi="Arial"/>
                <w:sz w:val="17"/>
                <w:szCs w:val="17"/>
                <w:b w:val="1"/>
                <w:bCs w:val="1"/>
                <w:color w:val="auto"/>
                <w:w w:val="91"/>
              </w:rPr>
              <w:t>Outstanding</w:t>
            </w:r>
          </w:p>
        </w:tc>
        <w:tc>
          <w:tcPr>
            <w:tcW w:w="288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0"/>
              </w:rPr>
              <w:t>Compensation Plans (Excluding</w:t>
            </w:r>
          </w:p>
        </w:tc>
      </w:tr>
      <w:tr>
        <w:trPr>
          <w:trHeight w:val="175"/>
        </w:trPr>
        <w:tc>
          <w:tcPr>
            <w:tcW w:w="2220" w:type="dxa"/>
            <w:vAlign w:val="bottom"/>
            <w:gridSpan w:val="2"/>
          </w:tcPr>
          <w:p>
            <w:pPr>
              <w:jc w:val="center"/>
              <w:ind w:right="100"/>
              <w:spacing w:after="0" w:line="175" w:lineRule="exact"/>
              <w:rPr>
                <w:sz w:val="20"/>
                <w:szCs w:val="20"/>
                <w:color w:val="auto"/>
              </w:rPr>
            </w:pPr>
            <w:r>
              <w:rPr>
                <w:rFonts w:ascii="Arial" w:cs="Arial" w:eastAsia="Arial" w:hAnsi="Arial"/>
                <w:sz w:val="17"/>
                <w:szCs w:val="17"/>
                <w:b w:val="1"/>
                <w:bCs w:val="1"/>
                <w:color w:val="auto"/>
                <w:w w:val="92"/>
              </w:rPr>
              <w:t>Options, Warrants and</w:t>
            </w:r>
          </w:p>
        </w:tc>
        <w:tc>
          <w:tcPr>
            <w:tcW w:w="140" w:type="dxa"/>
            <w:vAlign w:val="bottom"/>
          </w:tcPr>
          <w:p>
            <w:pPr>
              <w:spacing w:after="0"/>
              <w:rPr>
                <w:sz w:val="15"/>
                <w:szCs w:val="15"/>
                <w:color w:val="auto"/>
              </w:rPr>
            </w:pPr>
          </w:p>
        </w:tc>
        <w:tc>
          <w:tcPr>
            <w:tcW w:w="2040" w:type="dxa"/>
            <w:vAlign w:val="bottom"/>
            <w:gridSpan w:val="2"/>
          </w:tcPr>
          <w:p>
            <w:pPr>
              <w:jc w:val="center"/>
              <w:ind w:right="300"/>
              <w:spacing w:after="0" w:line="175" w:lineRule="exact"/>
              <w:rPr>
                <w:sz w:val="20"/>
                <w:szCs w:val="20"/>
                <w:color w:val="auto"/>
              </w:rPr>
            </w:pPr>
            <w:r>
              <w:rPr>
                <w:rFonts w:ascii="Arial" w:cs="Arial" w:eastAsia="Arial" w:hAnsi="Arial"/>
                <w:sz w:val="17"/>
                <w:szCs w:val="17"/>
                <w:b w:val="1"/>
                <w:bCs w:val="1"/>
                <w:color w:val="auto"/>
                <w:w w:val="93"/>
              </w:rPr>
              <w:t>Options, Warrants and</w:t>
            </w:r>
          </w:p>
        </w:tc>
        <w:tc>
          <w:tcPr>
            <w:tcW w:w="288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88"/>
              </w:rPr>
              <w:t>Securities</w:t>
            </w:r>
          </w:p>
        </w:tc>
      </w:tr>
      <w:tr>
        <w:trPr>
          <w:trHeight w:val="224"/>
        </w:trPr>
        <w:tc>
          <w:tcPr>
            <w:tcW w:w="22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Rights*</w:t>
            </w:r>
          </w:p>
        </w:tc>
        <w:tc>
          <w:tcPr>
            <w:tcW w:w="140" w:type="dxa"/>
            <w:vAlign w:val="bottom"/>
          </w:tcPr>
          <w:p>
            <w:pPr>
              <w:spacing w:after="0"/>
              <w:rPr>
                <w:sz w:val="19"/>
                <w:szCs w:val="19"/>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Rights</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1"/>
              </w:rPr>
              <w:t>Reflected in Column 1)</w:t>
            </w:r>
          </w:p>
        </w:tc>
      </w:tr>
      <w:tr>
        <w:trPr>
          <w:trHeight w:val="379"/>
        </w:trPr>
        <w:tc>
          <w:tcPr>
            <w:tcW w:w="2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1,376,635</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27.62</w:t>
            </w:r>
          </w:p>
        </w:tc>
        <w:tc>
          <w:tcPr>
            <w:tcW w:w="160" w:type="dxa"/>
            <w:vAlign w:val="bottom"/>
          </w:tcPr>
          <w:p>
            <w:pPr>
              <w:spacing w:after="0"/>
              <w:rPr>
                <w:sz w:val="24"/>
                <w:szCs w:val="24"/>
                <w:color w:val="auto"/>
              </w:rPr>
            </w:pPr>
          </w:p>
        </w:tc>
        <w:tc>
          <w:tcPr>
            <w:tcW w:w="2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1,324,755</w:t>
            </w:r>
          </w:p>
        </w:tc>
      </w:tr>
      <w:tr>
        <w:trPr>
          <w:trHeight w:val="400"/>
        </w:trPr>
        <w:tc>
          <w:tcPr>
            <w:tcW w:w="2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1,376,635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27.62</w:t>
            </w:r>
          </w:p>
        </w:tc>
        <w:tc>
          <w:tcPr>
            <w:tcW w:w="160" w:type="dxa"/>
            <w:vAlign w:val="bottom"/>
          </w:tcPr>
          <w:p>
            <w:pPr>
              <w:spacing w:after="0"/>
              <w:rPr>
                <w:sz w:val="18"/>
                <w:szCs w:val="18"/>
                <w:color w:val="auto"/>
              </w:rPr>
            </w:pPr>
          </w:p>
        </w:tc>
        <w:tc>
          <w:tcPr>
            <w:tcW w:w="2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1,324,755</w:t>
            </w: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-687070</wp:posOffset>
            </wp:positionV>
            <wp:extent cx="7113905" cy="2540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3905" cy="25400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-179705</wp:posOffset>
            </wp:positionV>
            <wp:extent cx="7113905" cy="163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3905" cy="16383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3620" w:space="300"/>
            <w:col w:w="7320"/>
          </w:cols>
          <w:pgMar w:left="320" w:top="353" w:right="339" w:bottom="1440" w:gutter="0" w:footer="0" w:header="0"/>
          <w:type w:val="continuous"/>
        </w:sectPr>
      </w:pPr>
    </w:p>
    <w:p>
      <w:pPr>
        <w:ind w:left="380" w:hanging="377"/>
        <w:spacing w:after="0" w:line="283" w:lineRule="auto"/>
        <w:tabs>
          <w:tab w:leader="none" w:pos="38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This includes outstanding options and unvested Restricted Stock Units, which include Time-Based Restricted Stock Units and Performance-Based Restricted Stock Units. See Note 23 - Stock Based Compensation to our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71" w:lineRule="exact"/>
        <w:rPr>
          <w:sz w:val="20"/>
          <w:szCs w:val="20"/>
          <w:color w:val="auto"/>
        </w:rPr>
      </w:pPr>
    </w:p>
    <w:p>
      <w:pPr>
        <w:jc w:val="both"/>
        <w:ind w:firstLine="425"/>
        <w:spacing w:after="0" w:line="258" w:lineRule="auto"/>
        <w:rPr>
          <w:sz w:val="20"/>
          <w:szCs w:val="20"/>
          <w:color w:val="auto"/>
        </w:rPr>
      </w:pPr>
      <w:r>
        <w:rPr>
          <w:rFonts w:ascii="Arial" w:cs="Arial" w:eastAsia="Arial" w:hAnsi="Arial"/>
          <w:sz w:val="17"/>
          <w:szCs w:val="17"/>
          <w:color w:val="auto"/>
        </w:rPr>
        <w:t>The following graph compares the cumulative total stockholder return on our common stock with the cumulative total return of the Nasdaq 100 Index (capitalization weighted) and our peer group of companies for the period beginning December 31, 2017.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December 31, 2017 and that all dividends were reinvested. The stock performance shown on the graph below is not indicative of future price performance.</w:t>
      </w:r>
    </w:p>
    <w:p>
      <w:pPr>
        <w:spacing w:after="0" w:line="132"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5599430" cy="4051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99430" cy="405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[Reserved]</w:t>
      </w:r>
    </w:p>
    <w:p>
      <w:pPr>
        <w:sectPr>
          <w:pgSz w:w="11900" w:h="16838" w:orient="portrait"/>
          <w:cols w:equalWidth="0" w:num="1">
            <w:col w:w="11240"/>
          </w:cols>
          <w:pgMar w:left="320" w:top="3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1"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You should read the following discussion in connection with our consolidated financial statements and the related notes included elsewhere in this Annual Report on Form 10-K. Some of the statements in the following discussion are forward looking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71"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5"/>
          <w:szCs w:val="15"/>
          <w:color w:val="auto"/>
        </w:rPr>
        <w:t>This Annual Report on Form 10-K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110" w:lineRule="exact"/>
        <w:rPr>
          <w:sz w:val="20"/>
          <w:szCs w:val="20"/>
          <w:color w:val="auto"/>
        </w:rPr>
      </w:pPr>
    </w:p>
    <w:p>
      <w:pPr>
        <w:ind w:left="620" w:hanging="307"/>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maintain and grow client demand for our services and solutions, including anticipating and incorporating the latest technology into our offerings;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fluctuations in our earnings;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hire and retain enough sufficiently trained employees to support our operations or any changes in the senior management team;</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accurately estimate and/or manage the costs;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adjust our pricing terms or effectively manage our asset utilization levels to meet the changing demands of our clients and potential clients;</w:t>
      </w:r>
    </w:p>
    <w:p>
      <w:pPr>
        <w:spacing w:after="0" w:line="188"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cyber security incidents, data breaches, or other unauthorized disclosure of sensitive or confidential client and employee data;</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reliance on third parties to deliver services and infrastructure for client critical services;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to protect our intellectual property;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dependence on a limited number of clients in a limited number of industries and our ability to withstand the loss of a significant client;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grow our business or effectively manage growth and international operations;</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successfully consummate or integrate strategic acquisitions including the impact from the impairment of goodwill and other intangible assets, if any;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increasing competition in our industry;</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telecommunications or technology disruptions or breaches, natural or other disasters, medical epidemics or pandemics, such as COVID-19, or acts of violence or war;</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operational and information security failures arising as a result of remote work solutions adopted due to COVID-19;</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legal liability arising out of customer and third party contracts;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adverse outcome of our disputes with the tax authorities, in the geographies where we operate;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financial condition could be negatively affected if governments in the countries we operate in introduces new unfavorable tax legislation;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tax laws or decisions regarding repatriation of funds held abroad;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620" w:hanging="307"/>
        <w:spacing w:after="0" w:line="27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exposure to currency exchange rate fluctuations in the various currencies in which we do business including the potential effects of Russian-Ukraine conflict, rising inflation, high interest rates and economic recessionary trends on currency exchange rates;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immigration;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ability to service debt or obtain additional financing on favorable terms. Inception of interest rate swaps to hedge interest rate risk;</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negative public reaction in the U.S. or elsewhere to offshore outsourcing;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effects of political and economic conditions globally, particularly in the geographies where we operate;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make accurate estimates and assumptions in connection with the preparation of our consolidated financial statements;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credit risk fluctuations in the market values of our investment and derivatives portfolios;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meet our environmental, social and governance-related goals and targets;</w:t>
      </w:r>
    </w:p>
    <w:p>
      <w:pPr>
        <w:spacing w:after="0" w:line="165"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In particular, you should consider the numerous risks outlined in Part I, Item 1A, “Risk Factors” in this Annual Report on Form 10-K. These and other risks could cause actual results to differ materially from those implied by forward-looking statements in this Annual Report on Form 10-K.</w:t>
      </w:r>
    </w:p>
    <w:p>
      <w:pPr>
        <w:spacing w:after="0" w:line="113"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The forward-looking statements made by us in this Annual Report on Form 10-K, or elsewhere, speak only as of the date on which they were made. New risks and uncertainties may come up from time to time, and it is impossible for us to predict those events or how they may affect us. We have no obligation to update any forward-looking statements in this Annual Report on Form 10-K after the date of this Annual Report on Form 10-K, except as required by federal securities laws.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Executive Overview</w:t>
      </w:r>
    </w:p>
    <w:p>
      <w:pPr>
        <w:spacing w:after="0" w:line="171" w:lineRule="exact"/>
        <w:rPr>
          <w:sz w:val="20"/>
          <w:szCs w:val="20"/>
          <w:color w:val="auto"/>
        </w:rPr>
      </w:pPr>
    </w:p>
    <w:p>
      <w:pPr>
        <w:jc w:val="both"/>
        <w:ind w:firstLine="425"/>
        <w:spacing w:after="0" w:line="318" w:lineRule="auto"/>
        <w:rPr>
          <w:sz w:val="20"/>
          <w:szCs w:val="20"/>
          <w:color w:val="auto"/>
        </w:rPr>
      </w:pPr>
      <w:r>
        <w:rPr>
          <w:rFonts w:ascii="Arial" w:cs="Arial" w:eastAsia="Arial" w:hAnsi="Arial"/>
          <w:sz w:val="15"/>
          <w:szCs w:val="15"/>
          <w:color w:val="auto"/>
        </w:rPr>
        <w:t>We are a leading data analytics and digital operations and solutions company that partners with clients to improve business outcomes and unlock growth. By bringing together deep domain expertise with robust data, powerful analytics, cloud, AI and ML, we create agile, scalable solutions and execute complex operations for the world’s leading corporations in industries including insurance, healthcare, banking and financial services, media, and retail, among others.</w:t>
      </w:r>
    </w:p>
    <w:p>
      <w:pPr>
        <w:spacing w:after="0" w:line="8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We deliver data analytics and digital operations and solutions to our clients, driving enterprise-scale business transformation initiatives that leverage our deep expertise in advanced analytics, AI, ML and cloud. We manage and report financial information through our four strategic business units: Insurance, Healthcare, Analytics and Emerging Business, which reflects how management reviews financial information and makes operating decisions.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reportable segments are as follows:</w:t>
      </w:r>
    </w:p>
    <w:p>
      <w:pPr>
        <w:spacing w:after="0" w:line="165" w:lineRule="exact"/>
        <w:rPr>
          <w:sz w:val="20"/>
          <w:szCs w:val="20"/>
          <w:color w:val="auto"/>
        </w:rPr>
      </w:pPr>
    </w:p>
    <w:p>
      <w:pPr>
        <w:ind w:left="700" w:hanging="310"/>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Insurance,</w:t>
      </w:r>
    </w:p>
    <w:p>
      <w:pPr>
        <w:spacing w:after="0" w:line="165" w:lineRule="exact"/>
        <w:rPr>
          <w:rFonts w:ascii="Arial" w:cs="Arial" w:eastAsia="Arial" w:hAnsi="Arial"/>
          <w:sz w:val="17"/>
          <w:szCs w:val="17"/>
          <w:color w:val="auto"/>
        </w:rPr>
      </w:pPr>
    </w:p>
    <w:p>
      <w:pPr>
        <w:ind w:left="700" w:hanging="310"/>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Healthcare,</w:t>
      </w:r>
    </w:p>
    <w:p>
      <w:pPr>
        <w:spacing w:after="0" w:line="165" w:lineRule="exact"/>
        <w:rPr>
          <w:rFonts w:ascii="Arial" w:cs="Arial" w:eastAsia="Arial" w:hAnsi="Arial"/>
          <w:sz w:val="17"/>
          <w:szCs w:val="17"/>
          <w:color w:val="auto"/>
        </w:rPr>
      </w:pPr>
    </w:p>
    <w:p>
      <w:pPr>
        <w:ind w:left="700" w:hanging="310"/>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Analytics, and</w:t>
      </w:r>
    </w:p>
    <w:p>
      <w:pPr>
        <w:spacing w:after="0" w:line="165" w:lineRule="exact"/>
        <w:rPr>
          <w:rFonts w:ascii="Arial" w:cs="Arial" w:eastAsia="Arial" w:hAnsi="Arial"/>
          <w:sz w:val="17"/>
          <w:szCs w:val="17"/>
          <w:color w:val="auto"/>
        </w:rPr>
      </w:pPr>
    </w:p>
    <w:p>
      <w:pPr>
        <w:ind w:left="700" w:hanging="310"/>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Emerging Business</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Republic of Ireland, the Philippines, Bulgaria, Colombia, South Africa, Romania and the Czech Republic.</w:t>
      </w:r>
    </w:p>
    <w:p>
      <w:pPr>
        <w:spacing w:after="0" w:line="111"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6"/>
          <w:szCs w:val="16"/>
          <w:color w:val="auto"/>
        </w:rPr>
        <w:t>On June 10, 2022, we acquired certain assets of Inbound Media Group, LLC (“Inbound”), a digital marketing business focused primarily on lead generation in the insurance space. The acquisition expands our digital direct-to-consumer marketing services by adding proven performance marketing, lead generation and customer engagement capabilities to our suite of end-to-end marketing solutions, proprietary data sets and robust consumer analytics.</w:t>
      </w:r>
    </w:p>
    <w:p>
      <w:pPr>
        <w:spacing w:after="0" w:line="19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On December 16, 2021, we completed the acquisition of Clairvoyant, a global data, AI, ML, and cloud services firm that helps organizations in their business transformation by maximizing the value of data through actionable insights. It provides data engineering, analytics, AI, ML, product engineering, and cloud-based solutions. The acquisition strengthens our Analytics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capabilities by adding additional expertise in data engineering and cloud enablement, further supporting our clients in the insurance, healthcare, banking and financial services, and retail industries.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Impact of COVID-19 on Our Business</w:t>
      </w:r>
    </w:p>
    <w:p>
      <w:pPr>
        <w:spacing w:after="0" w:line="236" w:lineRule="exact"/>
        <w:rPr>
          <w:sz w:val="20"/>
          <w:szCs w:val="20"/>
          <w:color w:val="auto"/>
        </w:rPr>
      </w:pPr>
    </w:p>
    <w:p>
      <w:pPr>
        <w:jc w:val="both"/>
        <w:ind w:firstLine="378"/>
        <w:spacing w:after="0" w:line="246" w:lineRule="auto"/>
        <w:rPr>
          <w:sz w:val="20"/>
          <w:szCs w:val="20"/>
          <w:color w:val="auto"/>
        </w:rPr>
      </w:pPr>
      <w:r>
        <w:rPr>
          <w:rFonts w:ascii="Arial" w:cs="Arial" w:eastAsia="Arial" w:hAnsi="Arial"/>
          <w:sz w:val="17"/>
          <w:szCs w:val="17"/>
          <w:color w:val="auto"/>
        </w:rPr>
        <w:t>During 2022, we continued to recover from the COVID-19 pandemic. As the global economy continued to adapt to the impact of COVID-19, our clients are focused on receiving personalized customer experiences, optimizing costs and supporting resilient operating models. We remain committed to helping our clients adapt and thrive through the ongoing uncertainties caused by COVID-19 and, going forward, to the shifting business environment, which has led to increased demand for digital capabilities.</w:t>
      </w:r>
    </w:p>
    <w:p>
      <w:pPr>
        <w:spacing w:after="0" w:line="204" w:lineRule="exact"/>
        <w:rPr>
          <w:sz w:val="20"/>
          <w:szCs w:val="20"/>
          <w:color w:val="auto"/>
        </w:rPr>
      </w:pPr>
    </w:p>
    <w:p>
      <w:pPr>
        <w:jc w:val="both"/>
        <w:ind w:firstLine="378"/>
        <w:spacing w:after="0" w:line="261" w:lineRule="auto"/>
        <w:rPr>
          <w:sz w:val="20"/>
          <w:szCs w:val="20"/>
          <w:color w:val="auto"/>
        </w:rPr>
      </w:pPr>
      <w:r>
        <w:rPr>
          <w:rFonts w:ascii="Arial" w:cs="Arial" w:eastAsia="Arial" w:hAnsi="Arial"/>
          <w:sz w:val="16"/>
          <w:szCs w:val="16"/>
          <w:color w:val="auto"/>
        </w:rPr>
        <w:t>In 2022, we implemented a new work standard under which employees in many of our locations, where permitted by local laws and regulations, and where the role and client requirements permit, have the opportunity to choose between different work arrangements. Subject to local rules and regulations, these work arrangements include working in a hybrid arrangement or a fully remote arrangement, with occasional work from the office when warranted. We have begun to re-open our operation centers and offices globally with a focus on safety and consistency with applicable local regulations.</w:t>
      </w:r>
    </w:p>
    <w:p>
      <w:pPr>
        <w:spacing w:after="0" w:line="192"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7"/>
          <w:szCs w:val="17"/>
          <w:color w:val="auto"/>
        </w:rPr>
        <w:t>While many of the COVID-19 related restrictions have been lifted in the geographies in which we operate, there have been periodic resurgences of COVID-19 as a result of new strains and variants, which has led us to monitor our work model and / or implement additional safety procedures.</w:t>
      </w:r>
    </w:p>
    <w:p>
      <w:pPr>
        <w:spacing w:after="0" w:line="189" w:lineRule="exact"/>
        <w:rPr>
          <w:sz w:val="20"/>
          <w:szCs w:val="20"/>
          <w:color w:val="auto"/>
        </w:rPr>
      </w:pPr>
    </w:p>
    <w:p>
      <w:pPr>
        <w:jc w:val="both"/>
        <w:ind w:firstLine="378"/>
        <w:spacing w:after="0" w:line="250" w:lineRule="auto"/>
        <w:rPr>
          <w:sz w:val="20"/>
          <w:szCs w:val="20"/>
          <w:color w:val="auto"/>
        </w:rPr>
      </w:pPr>
      <w:r>
        <w:rPr>
          <w:rFonts w:ascii="Arial" w:cs="Arial" w:eastAsia="Arial" w:hAnsi="Arial"/>
          <w:sz w:val="17"/>
          <w:szCs w:val="17"/>
          <w:color w:val="auto"/>
        </w:rPr>
        <w:t>We believe our actions have been successful and that the pandemic has not significantly affected our business, results of operations, financial position and cash flow during 2022, however the impact of the pandemic for the period beyond 2022 will depend on many evolving and uncertain factors that are not within our control.</w:t>
      </w:r>
    </w:p>
    <w:p>
      <w:pPr>
        <w:spacing w:after="0" w:line="137" w:lineRule="exact"/>
        <w:rPr>
          <w:sz w:val="20"/>
          <w:szCs w:val="20"/>
          <w:color w:val="auto"/>
        </w:rPr>
      </w:pPr>
    </w:p>
    <w:p>
      <w:pPr>
        <w:ind w:right="4340" w:firstLine="387"/>
        <w:spacing w:after="0" w:line="443" w:lineRule="auto"/>
        <w:rPr>
          <w:sz w:val="20"/>
          <w:szCs w:val="20"/>
          <w:color w:val="auto"/>
        </w:rPr>
      </w:pPr>
      <w:r>
        <w:rPr>
          <w:rFonts w:ascii="Arial" w:cs="Arial" w:eastAsia="Arial" w:hAnsi="Arial"/>
          <w:sz w:val="17"/>
          <w:szCs w:val="17"/>
          <w:color w:val="auto"/>
        </w:rPr>
        <w:t xml:space="preserve">For additional information and risks related to COVID-19, see Part I, Item 1A, “Risk Factors.” </w:t>
      </w:r>
      <w:r>
        <w:rPr>
          <w:rFonts w:ascii="Arial" w:cs="Arial" w:eastAsia="Arial" w:hAnsi="Arial"/>
          <w:sz w:val="17"/>
          <w:szCs w:val="17"/>
          <w:b w:val="1"/>
          <w:bCs w:val="1"/>
          <w:color w:val="auto"/>
        </w:rPr>
        <w:t>Revenues</w:t>
      </w:r>
    </w:p>
    <w:p>
      <w:pPr>
        <w:jc w:val="both"/>
        <w:ind w:firstLine="387"/>
        <w:spacing w:after="0" w:line="279" w:lineRule="auto"/>
        <w:rPr>
          <w:sz w:val="20"/>
          <w:szCs w:val="20"/>
          <w:color w:val="auto"/>
        </w:rPr>
      </w:pPr>
      <w:r>
        <w:rPr>
          <w:rFonts w:ascii="Arial" w:cs="Arial" w:eastAsia="Arial" w:hAnsi="Arial"/>
          <w:sz w:val="17"/>
          <w:szCs w:val="17"/>
          <w:color w:val="auto"/>
        </w:rPr>
        <w:t>For the year ended December 31, 2022, we generated revenues of $1,412.0 million compared to revenues of $1,122.3 million for the year ended December 31, 2021, an increase of $289.7 million, or 25.8%.</w:t>
      </w:r>
    </w:p>
    <w:p>
      <w:pPr>
        <w:spacing w:after="0" w:line="11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We serve clients mainly in the United States and the United Kingdom, with these two regions generating 85.9% and 9.5%, respectively, of our total revenues for the year ended December 31, 2022 and 85.9% and 9.4%, respectively, of our revenues for the year ended December 31, 2021.</w:t>
      </w:r>
    </w:p>
    <w:p>
      <w:pPr>
        <w:spacing w:after="0" w:line="11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For the years ended December 31, 2022 and 2021, our total revenues from our top ten clients accounted for 34.9% and 38.1%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17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spacing w:after="0" w:line="124"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5"/>
          <w:szCs w:val="15"/>
          <w:i w:val="1"/>
          <w:iCs w:val="1"/>
          <w:color w:val="auto"/>
        </w:rPr>
        <w:t xml:space="preserve">Digital Operations and Solutions: </w:t>
      </w:r>
      <w:r>
        <w:rPr>
          <w:rFonts w:ascii="Arial" w:cs="Arial" w:eastAsia="Arial" w:hAnsi="Arial"/>
          <w:sz w:val="15"/>
          <w:szCs w:val="15"/>
          <w:color w:val="auto"/>
        </w:rPr>
        <w:t>We provide our clients with a range of digital operations and solutions from our Insurance, Healthcare and Emerging</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strategic business units, which are focused on solving complex industry challenges such as the insurance claims life cycle, financial transactions processing and provider and member experiences. This typically involves the use of agile delivery models to implement digital technologies and interventions like hyper-automation, customer experience transformation, advanced automation, robotics, enterprise architecture, end-to-end business function management and transformations. We either administer and manage these functions on an ongoing basis via longer-term arrangements or project work.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387"/>
        <w:spacing w:after="0" w:line="277" w:lineRule="auto"/>
        <w:rPr>
          <w:sz w:val="20"/>
          <w:szCs w:val="20"/>
          <w:color w:val="auto"/>
        </w:rPr>
      </w:pPr>
      <w:r>
        <w:rPr>
          <w:rFonts w:ascii="Arial" w:cs="Arial" w:eastAsia="Arial" w:hAnsi="Arial"/>
          <w:sz w:val="16"/>
          <w:szCs w:val="16"/>
          <w:color w:val="auto"/>
        </w:rPr>
        <w:t>We provide our services under contracts with our clients, which typically have terms of three or more years, with some being contracts with no end dates. These contracts provide us with a relatively predictable revenue base for a substantial portion of our digital operations and solutions business. However, our clients can typically terminate these contracts with or without cause and with short notice periods.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18" w:lineRule="exact"/>
        <w:rPr>
          <w:sz w:val="20"/>
          <w:szCs w:val="20"/>
          <w:color w:val="auto"/>
        </w:rPr>
      </w:pPr>
    </w:p>
    <w:p>
      <w:pPr>
        <w:jc w:val="both"/>
        <w:ind w:firstLine="387"/>
        <w:spacing w:after="0" w:line="247" w:lineRule="auto"/>
        <w:rPr>
          <w:sz w:val="20"/>
          <w:szCs w:val="20"/>
          <w:color w:val="auto"/>
        </w:rPr>
      </w:pPr>
      <w:r>
        <w:rPr>
          <w:rFonts w:ascii="Arial" w:cs="Arial" w:eastAsia="Arial" w:hAnsi="Arial"/>
          <w:sz w:val="17"/>
          <w:szCs w:val="17"/>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26" w:lineRule="exact"/>
        <w:rPr>
          <w:sz w:val="20"/>
          <w:szCs w:val="20"/>
          <w:color w:val="auto"/>
        </w:rPr>
      </w:pPr>
    </w:p>
    <w:p>
      <w:pPr>
        <w:jc w:val="both"/>
        <w:ind w:firstLine="387"/>
        <w:spacing w:after="0" w:line="277" w:lineRule="auto"/>
        <w:rPr>
          <w:sz w:val="20"/>
          <w:szCs w:val="20"/>
          <w:color w:val="auto"/>
        </w:rPr>
      </w:pPr>
      <w:r>
        <w:rPr>
          <w:rFonts w:ascii="Arial" w:cs="Arial" w:eastAsia="Arial" w:hAnsi="Arial"/>
          <w:sz w:val="16"/>
          <w:szCs w:val="16"/>
          <w:color w:val="auto"/>
        </w:rPr>
        <w:t>We have also observed that prospective larger clients are entering into multi-vendor relationships with regard to their digital operations and solutions needs to seek more favorable contract terms and diversification of the risk of concentration on a few vendors.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05"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aim to drive better business outcomes for our clients by unlocking deep insights from data and creating data-led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all parts of our clients’ business. We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Analytics teams deliver predictive and prescriptive analytics in the areas of customer acquisition and life cycle management, risk underwriting and pricing, operational effectiveness, credit and operational risk monitoring and governance, regulatory reporting and data management. We enhance, modernize and enrich structured and unstructured data and use a spectrum of advanced analytical tools and techniques, including our in-house AI and ML capabilities and proprietary solutions to create insights, improve decision making for our clients and address a range of complex industry-wide priorities. Our acquisition of Clairvoyant in December 2021 strengthens our data analytics capabilities with additional expertise in data and product engineering, cloud enablement and managed services, further supporting our clients in the insurance, healthcare, banking and financial services and retail industries. We actively cross-sell and, where appropriate, integrate our analytics services with other digital operations and solutions as part of a comprehensive offering for our clients. Our projects-based analytics services are cyclical and can be significantly affected by variations in business cycles. In addition, our projects-based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135"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We anticipate that revenues from our analytics services will grow as we expand our service offerings and client base, both organically and through acquisitions.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cost of revenues primarily consists of:</w:t>
      </w:r>
    </w:p>
    <w:p>
      <w:pPr>
        <w:spacing w:after="0" w:line="165" w:lineRule="exact"/>
        <w:rPr>
          <w:sz w:val="20"/>
          <w:szCs w:val="20"/>
          <w:color w:val="auto"/>
        </w:rPr>
      </w:pPr>
    </w:p>
    <w:p>
      <w:pPr>
        <w:ind w:left="620" w:hanging="307"/>
        <w:spacing w:after="0" w:line="312" w:lineRule="auto"/>
        <w:tabs>
          <w:tab w:leader="none" w:pos="6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employee costs, which include salary, bonus and other compensation expenses; retirement benefits, recruitment and training costs; employee health and life insurance; transport; rewards and recognition for certain employees; and non-cash stock compensation expense; and</w:t>
      </w:r>
    </w:p>
    <w:p>
      <w:pPr>
        <w:spacing w:after="0" w:line="88"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costs relating to our facilities and communications network, which include telecommunication and IT costs; facilities and customer management support; operational expenses for our operations centers; rent expenses;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Outsourced/subcontractors and professional services costs;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travel and other billable costs to our clients;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costs relating to our direct mail operations and other digital operations and solutions.</w:t>
      </w:r>
    </w:p>
    <w:p>
      <w:pPr>
        <w:spacing w:after="0" w:line="165"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5"/>
          <w:szCs w:val="15"/>
          <w:color w:val="auto"/>
        </w:rPr>
        <w:t>The most significant components of our cost of revenues are salaries and benefits (including stock-based compensation), retirement benefits, recruitment, training, transport, meals, rewards and recognition and employee health and life insurance. Salary levels,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non-cash amortization of stock-based compensation expense related to the grant of our equity awards to employees directly involved in providing services to our clients.</w:t>
      </w:r>
    </w:p>
    <w:p>
      <w:pPr>
        <w:spacing w:after="0" w:line="110"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6"/>
          <w:szCs w:val="16"/>
          <w:color w:val="auto"/>
        </w:rPr>
        <w:t>We expect our cost of revenues to continue to increase as we continue to add professionals in our operations centers globally to service additional business and as wages continue to increase globally. In particular, we expect recruitment and training costs to continue to increase as we hire additional staff to service new clients and train existing staff to provide them with evolving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We also expect that we will continue to incur additional costs to monitor and improve operational efficiency of our hybrid and remote working models, invest in information technology solutions, including adaption to evolving modes of seeking such solutions through cloud-based hosting arrangements and security measures to safeguard against information security risks and costs to protect the health and safety of our employees as they gradually return to the office. See Part I, Item 1A, “Risk Factors” under “Risks Related to Our Business-Employee wage increases may prevent us from sustaining our competitive advantage and may reduce our profit margin.” However, a significant portion of our client contracts include inflation-based adjustments to our billing rates year over year which partially offset such increase in cost of revenues.</w:t>
      </w:r>
    </w:p>
    <w:p>
      <w:pPr>
        <w:spacing w:after="0" w:line="122"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generally experience a higher cost of revenues as a percentage of revenues during the initial 12 to 18 months in a long-term digital operations and solutions contract due to upfront investments in infrastructure, resource hiring and training during migration. The cost of revenues as a percentage of revenues improves as we scale up, achieve operational efficiencies and complete the migration.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 ("SG&amp;A")</w:t>
      </w:r>
    </w:p>
    <w:p>
      <w:pPr>
        <w:spacing w:after="0" w:line="165" w:lineRule="exact"/>
        <w:rPr>
          <w:sz w:val="20"/>
          <w:szCs w:val="20"/>
          <w:color w:val="auto"/>
        </w:rPr>
      </w:pPr>
    </w:p>
    <w:p>
      <w:pPr>
        <w:jc w:val="both"/>
        <w:ind w:firstLine="387"/>
        <w:spacing w:after="0" w:line="297" w:lineRule="auto"/>
        <w:rPr>
          <w:sz w:val="20"/>
          <w:szCs w:val="20"/>
          <w:color w:val="auto"/>
        </w:rPr>
      </w:pPr>
      <w:r>
        <w:rPr>
          <w:rFonts w:ascii="Arial" w:cs="Arial" w:eastAsia="Arial" w:hAnsi="Arial"/>
          <w:sz w:val="15"/>
          <w:szCs w:val="15"/>
          <w:color w:val="auto"/>
        </w:rPr>
        <w:t>Our General and Administrative expenses (“G&amp;A”) comprise of expenses relating to salaries and benefits (including stock-based compensation), retirement benefits as well as costs related to recruitment, training and retention of senior management and other support personnel in enabling functions, telecommunications, utilities, travel and other miscellaneous administrative costs. G&amp;A expenses also include acquisition-related costs, legal and professional fees (which represent the costs of third party legal, tax, accounting, immigration and other advisors), cost of technology solutions sought through evolving modes of cloud-based hosting arrangements, investment in product development, digital technology, advanced automation and robotics, cloud, AI and MI, bad debt allowance and stock-based compensation expenses related to grant of our equity awards to members of our board of directors. We expect our G&amp;A costs to increase as we continue to strengthen our support and enabling functions and invest in leadership development, performance management and training programs.</w:t>
      </w:r>
    </w:p>
    <w:p>
      <w:pPr>
        <w:spacing w:after="0" w:line="104"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Selling and marketing expenses primarily consist of salaries and benefits (including stock-based compensation), retirement benefits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 Expense</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Depreciation and amortization pertains to depreciation of our property and equipment, including network equipment, cabling, computers, office furniture and equipment, motor vehicles and leasehold improvements and amortization of intangible assets acquired in business combinations. As part of our ongoing evaluation of our business needs, we continually optimize our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operations centers and expect depreciation to decrease on assets related to operations centers, such as office furniture and equipment and leasehold improvements. As our business continues to expand we expect additional investments in digital technologies and equipment, including laptops, desktop computers, servers and other infrastructure, and increased reliance on hybrid and remote working models, we expect increases in depreciation on assets-related to such investments. The property and equipment that are evaluated as being used differently than as originally intended are assessed for revision of their useful life, thereby revising their future depreciation to reflect the actual use of such property and equipment over the remaining shortened life. We expect amortization of intangible assets to increase further as we pursue strategic relationships and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Exchange gain, net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report our financial results in U.S. dollars.</w:t>
      </w:r>
    </w:p>
    <w:p>
      <w:pPr>
        <w:spacing w:after="0" w:line="165"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However, a significant portion of our total revenues are earned in the U.K. pound sterling (8.6% for each of the years ended December 31, 2022 and 2021), while a significant portion of our expenses are incurred and paid in the Indian rupee, the Philippine peso and the U.K. pound sterling, representing 29.1%, 8.2% and 3.0%, respectively, of our total expenses in the year ended December 31, 2022, compared to 29.4%, 9.5% and 3.4%, respectively, of our total expenses in the year ended December 31, 2021. The exchange rates among the Indian rupee, the Philippine peso, the U.K. pound sterling and the U.S. dollar have changed substantially in recent years and may fluctuate substantially in the future as well. The results of our operations could be substantially impacted as the Indian rupee, the Philippine peso and the U.K. pound sterling appreciate or depreciate against the U.S. dollar. See Note 2 - Summary of Significant Accounting Policies and Note 17 - Derivatives and Hedge Accounting to our consolidated financial statements and Part II, Item 7A, “Quantitative and Qualitative Disclosures About Market Risk-Components of Market Risk-Foreign Currency Risk.”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7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Interest expense primarily consist of interest on our borrowings under our revolving credit facility and convertible senior notes, finance leases and notional interest implicit in the purchase of property and equipment.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Income/(Loss), net</w:t>
      </w:r>
    </w:p>
    <w:p>
      <w:pPr>
        <w:spacing w:after="0" w:line="171"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Other income/(loss), net primarily consists of gain/(loss) on sale, mark to market, dividend income and interest income on our short-term and long-term investments, cash equivalents, as applicable. Other income/(loss), net also consists of changes in fair value of contingent consideration related to business combinations, interest on refunds received from income tax authorities in India on completion of tax assessments, profit or loss on disposal of long-lived assets and components of net periodic benefit cost such as interest cost, expected return on plan assets and amortization of actuarial gain or loss.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71"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We are subject to taxes in the countries we operate in. Our future tax liabilities could be adversely affected by any new unfavorable tax legislative and other changes in such countries. We continuously monitor such changes to assess and quantify the potential impacts on our consolidated financial statements.</w:t>
      </w:r>
    </w:p>
    <w:p>
      <w:pPr>
        <w:spacing w:after="0" w:line="89"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periodically evaluate opportunities to distribute cash among our group entities to fund our operations in the United States and other geographies, and as and when we decide to distribute, we may have to accrue additional taxes in accordance with local tax laws, rules and regulations in the relevant foreign jurisdictions. These distributions do not constitute a change in our permanent reinvestment assertion.</w:t>
      </w:r>
    </w:p>
    <w:p>
      <w:pPr>
        <w:spacing w:after="0" w:line="111" w:lineRule="exact"/>
        <w:rPr>
          <w:sz w:val="20"/>
          <w:szCs w:val="20"/>
          <w:color w:val="auto"/>
        </w:rPr>
      </w:pPr>
    </w:p>
    <w:p>
      <w:pPr>
        <w:jc w:val="both"/>
        <w:ind w:firstLine="387"/>
        <w:spacing w:after="0" w:line="242" w:lineRule="auto"/>
        <w:rPr>
          <w:sz w:val="20"/>
          <w:szCs w:val="20"/>
          <w:color w:val="auto"/>
        </w:rPr>
      </w:pPr>
      <w:r>
        <w:rPr>
          <w:rFonts w:ascii="Arial" w:cs="Arial" w:eastAsia="Arial" w:hAnsi="Arial"/>
          <w:sz w:val="17"/>
          <w:szCs w:val="17"/>
          <w:color w:val="auto"/>
        </w:rPr>
        <w:t>We currently benefit from corporate tax holidays in our qualified Philippines Economic Zone Authority operations centers in the Philippines. Our ability to utilize these tax holidays could be adversely affected by any new unfavorable tax legislative changes. We continuously monitor such changes to assess and quantify any potential impacts on our consolidated financial statements.</w:t>
      </w:r>
    </w:p>
    <w:p>
      <w:pPr>
        <w:spacing w:after="0" w:line="13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on the basis of an assessment of whether it is more likely than not that a deferred tax asset will be realized.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discussion and analysis of our financial condition and results of operations are based upon the financial statements included in this Annual Report on Form 10-K, which have been prepared in accordance with U.S. generally accepted accounting principles (“U.S. GAAP”). A summary of our significant accounting policies is included in Note 2 - Summary of Significant Accounting Policies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We consider the policies discussed below to be critical to an understanding of our consolidated financial statements, as their application places the most significant demands on management’s judgment regarding matters that are inherently uncertain at the time an estimate is made.</w:t>
      </w:r>
    </w:p>
    <w:p>
      <w:pPr>
        <w:spacing w:after="0" w:line="11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These policies include revenue recognition, allowance for expected credit losses, business combinations, goodwill, other intangible assets and long-lived assets, stock-based compensation, employee benefits, derivative financial instruments and hedging, leases and income taxes.</w:t>
      </w:r>
    </w:p>
    <w:p>
      <w:pPr>
        <w:spacing w:after="0" w:line="113" w:lineRule="exact"/>
        <w:rPr>
          <w:sz w:val="20"/>
          <w:szCs w:val="20"/>
          <w:color w:val="auto"/>
        </w:rPr>
      </w:pPr>
    </w:p>
    <w:p>
      <w:pPr>
        <w:jc w:val="both"/>
        <w:ind w:firstLine="387"/>
        <w:spacing w:after="0" w:line="299" w:lineRule="auto"/>
        <w:rPr>
          <w:sz w:val="20"/>
          <w:szCs w:val="20"/>
          <w:color w:val="auto"/>
        </w:rPr>
      </w:pPr>
      <w:r>
        <w:rPr>
          <w:rFonts w:ascii="Arial" w:cs="Arial" w:eastAsia="Arial" w:hAnsi="Arial"/>
          <w:sz w:val="15"/>
          <w:szCs w:val="15"/>
          <w:color w:val="auto"/>
        </w:rPr>
        <w:t>The significant estimates and assumptions that affect the financial statements include, but are not limited to, estimates of the fair value of the derivative financial instruments, stock-based awards, identifiable intangible assets and contingent consideration, assumptions related to credit risk of customers,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assets and obligations related to employee benefit plans, determination of incremental borrowing for measuring lease liabilities, deferred tax assets and liabilities, deferred tax valuation allowances, income-tax contingencies, purchase price allocation, revenue projections and discount rate applied within the discounted cash flow model.</w:t>
      </w:r>
    </w:p>
    <w:p>
      <w:pPr>
        <w:spacing w:after="0" w:line="10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These accounting policies, estimates and the associated risks are set out below. Future events may not develop exactly as forecasted and estimates routinely require adjustment.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Revenue is recognized when services are provided to our clients, in an amount that reflects the consideration which we expect to be entitled to in exchange for the services provided. We recognize revenue when we satisfy a performance obligation by providing services to a customer.</w:t>
      </w:r>
    </w:p>
    <w:p>
      <w:pPr>
        <w:spacing w:after="0" w:line="11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Revenue is measured based on consideration specified in a contract with a customer and excludes value added tax, business tax, any applicable discounts and amounts collected on behalf of third parties. Reimbursements of out-of-pocket expenses are included as a part of revenue.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judgments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Arrangements with Multiple Performance Obligations</w:t>
      </w:r>
    </w:p>
    <w:p>
      <w:pPr>
        <w:spacing w:after="0" w:line="165"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We sometimes enter into contracts with our clients which include promises to transfer multiple products and services to the client. Determining whether products and services are considered as distinct performance obligations that should be accounted for separately rather than as one performance obligation may require significant judgment. The transaction price is allocated to performance obligations on relative standalone selling price basis.</w:t>
      </w:r>
    </w:p>
    <w:p>
      <w:pPr>
        <w:spacing w:after="0" w:line="10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Judgment is also required to determine the standalone selling price for each distinct performance obligation. In instances where the standalone selling price is not directly observable, it is determined using information that may include market conditions and other observable inputs.</w:t>
      </w:r>
    </w:p>
    <w:p>
      <w:pPr>
        <w:spacing w:after="0" w:line="11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contracts with our clients may be modified to add, remove or change existing performance obligations, which requires judgment to evaluate and determine whether such performance obligations are to be accounted for on a prospective basis as a separate contract or as a termination of an existing contract and creation of a new contract.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Consideration</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Variability in the transaction price arises primarily due to service level agreements and volume discounts.</w:t>
      </w:r>
    </w:p>
    <w:p>
      <w:pPr>
        <w:spacing w:after="0" w:line="165"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We consider our experience with similar transactions and expectations regarding the contract in estimating the amount of variable consideration that should be recognized during a period.</w:t>
      </w:r>
    </w:p>
    <w:p>
      <w:pPr>
        <w:spacing w:after="0" w:line="11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We believe that the expected value method is most appropriate for determining the variable consideration since we have a large number of contracts with similar nature of transactions/services.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Type of Contracts Requiring Judgment</w:t>
      </w:r>
    </w:p>
    <w:p>
      <w:pPr>
        <w:spacing w:after="0" w:line="165" w:lineRule="exact"/>
        <w:rPr>
          <w:sz w:val="20"/>
          <w:szCs w:val="20"/>
          <w:color w:val="auto"/>
        </w:rPr>
      </w:pPr>
    </w:p>
    <w:p>
      <w:pPr>
        <w:jc w:val="both"/>
        <w:ind w:left="620" w:hanging="230"/>
        <w:spacing w:after="0" w:line="262" w:lineRule="auto"/>
        <w:tabs>
          <w:tab w:leader="none" w:pos="61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Revenues for our fixed-price contracts are recognized using costs incurred to date relative to total estimated costs at completion to measure progress toward satisfying our performance obligations. Incurred cost represents work performed, which corresponds with, and thereby reasonably reflects transfer of control to the client. The use of this method requires significant judgment to estimate the cost required to complete the contracted scope of work, including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left="620"/>
        <w:spacing w:after="0" w:line="318" w:lineRule="auto"/>
        <w:rPr>
          <w:sz w:val="20"/>
          <w:szCs w:val="20"/>
          <w:color w:val="auto"/>
        </w:rPr>
      </w:pPr>
      <w:r>
        <w:rPr>
          <w:rFonts w:ascii="Arial" w:cs="Arial" w:eastAsia="Arial" w:hAnsi="Arial"/>
          <w:sz w:val="15"/>
          <w:szCs w:val="15"/>
          <w:color w:val="auto"/>
        </w:rPr>
        <w:t>assumptions and estimates relative to the length of time to complete the project and the nature and complexity of the work to be performed and resources engaged. We regularly monitor these estimates throughout the execution of the project and record changes in the period in which a change in an estimate is determined. If a change in an estimate results in a projected loss on a project, such loss is recognized in the period in which it is first identified.</w:t>
      </w:r>
    </w:p>
    <w:p>
      <w:pPr>
        <w:spacing w:after="0" w:line="88" w:lineRule="exact"/>
        <w:rPr>
          <w:sz w:val="20"/>
          <w:szCs w:val="20"/>
          <w:color w:val="auto"/>
        </w:rPr>
      </w:pPr>
    </w:p>
    <w:p>
      <w:pPr>
        <w:jc w:val="both"/>
        <w:ind w:left="620" w:hanging="230"/>
        <w:spacing w:after="0" w:line="258"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Revenues from reimbursement optimization services having contingent fee arrangements are recognized by us at the point in time when a performance obligation is satisfied, which is when we identify an overpayment claim. In such contracts, our consideration is contingent upon the actual collections made by our clients and net of any subsequent retraction claims. Based on guidance on “variable consideration” in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Topic 606”), we use our historical experience and projections to determine the expected recoveries from our clients and recognize revenue based upon such expected recoveries. Any adjustment required due to change in estimates are recorded in the period in which such change is identified.</w:t>
      </w:r>
    </w:p>
    <w:p>
      <w:pPr>
        <w:spacing w:after="0" w:line="132"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For additional information, see Note 4 - Revenues, net to our consolidated financial statements under Part II, Item 8, “Financial Statements and Supplementary Data.”</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Unbilled Receivables</w:t>
      </w:r>
    </w:p>
    <w:p>
      <w:pPr>
        <w:spacing w:after="0" w:line="166" w:lineRule="exact"/>
        <w:rPr>
          <w:sz w:val="20"/>
          <w:szCs w:val="20"/>
          <w:color w:val="auto"/>
        </w:rPr>
      </w:pPr>
    </w:p>
    <w:p>
      <w:pPr>
        <w:jc w:val="both"/>
        <w:ind w:firstLine="387"/>
        <w:spacing w:after="0" w:line="277" w:lineRule="auto"/>
        <w:rPr>
          <w:sz w:val="20"/>
          <w:szCs w:val="20"/>
          <w:color w:val="auto"/>
        </w:rPr>
      </w:pPr>
      <w:r>
        <w:rPr>
          <w:rFonts w:ascii="Arial" w:cs="Arial" w:eastAsia="Arial" w:hAnsi="Arial"/>
          <w:sz w:val="16"/>
          <w:szCs w:val="16"/>
          <w:color w:val="auto"/>
        </w:rPr>
        <w:t>Unbilled receivables represent revenues recognized for services rendered between the last billing date and the balance sheet date. Unbilled receivables also include revenues recognized from reimbursement optimization services where we identify an overpayment claim. In such contracts, our consideration is contingent upon and collectable only when the actual collections are made by our clients. Based on guidance on “variable consideration” in ASC Topic 606, we use our historical experience and projections to determine the expected recoveries from our clients and recognize revenue and receivables based upon such expected recoveries. Accordingly, the amounts for which services have been performed and for which invoices have not been issued to customers on the balance sheet date, (i.e. unbilled receivables) are presented under accounts receivable, net.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 and contract fulfillment costs</w:t>
      </w:r>
    </w:p>
    <w:p>
      <w:pPr>
        <w:spacing w:after="0" w:line="165"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color w:val="auto"/>
        </w:rPr>
        <w:t>We have contract liabilities (deferred revenue) consisting of advance billings and billing in excess of revenues recognized. Deferred revenue also includes the amount for which services have been rendered but other conditions of revenue recognition are not met, for example where we do not have an enforceable contract.</w:t>
      </w:r>
    </w:p>
    <w:p>
      <w:pPr>
        <w:spacing w:after="0" w:line="6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Further, we also defer revenues attributable to certain process transition activities, with respect to our clients where such activities do not represent separate performance obligations. Revenues related to such transition activities are classified under “Deferred revenue” and “Other non-current liabilities” in our consolidated balance sheets and are recognized ratably over the period during which the related services are performed.</w:t>
      </w:r>
    </w:p>
    <w:p>
      <w:pPr>
        <w:spacing w:after="0" w:line="12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Costs related to such transition activities are contract fulfillment costs, and thereby classified under “Other current assets” and “Other assets” in the consolidated balance sheets, and are recognized over the expected duration of the relationship with customers, under “Cost of revenues” in our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Acquisition Costs</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Direct and incremental costs incurred for acquiring contracts, such as sales commissions are contract acquisition costs and thereby classified under “Other current assets” and “Other assets” in our consolidated balance sheets. Such costs are amortized over the expected duration of the relationship with customers and recorded under Selling and marketing expenses in our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Upfront Payment Made to Customers</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Upfront payments in nature of deal signing discount or deal signing bonuses made to customers are contract assets and classified under “Other current assets” and “Other assets” in our consolidated balance sheets. Such costs are amortized over the expected period of benefit and are recorded as an adjustment to transaction price and reduced from revenues.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Expected Credit Losses</w:t>
      </w:r>
    </w:p>
    <w:p>
      <w:pPr>
        <w:spacing w:after="0" w:line="165"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We record accounts receivable net of allowances for expected credit losses. Allowances for credit losses are established through the evaluation of aging of accounts receivables, prior collection experience, current market conditions, forecasts about future economic conditions, clients’ financial condition and the amount of accounts receivable in dispute to estimate the collectability of these accounts receivable. Accounts receivable balances are written-off against the allowance for expected credit losses after all means of collection have been exhausted and the potential for recovery is considered remote.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65" w:lineRule="exact"/>
        <w:rPr>
          <w:sz w:val="20"/>
          <w:szCs w:val="20"/>
          <w:color w:val="auto"/>
        </w:rPr>
      </w:pPr>
    </w:p>
    <w:p>
      <w:pPr>
        <w:jc w:val="both"/>
        <w:ind w:firstLine="387"/>
        <w:spacing w:after="0" w:line="299" w:lineRule="auto"/>
        <w:rPr>
          <w:sz w:val="20"/>
          <w:szCs w:val="20"/>
          <w:color w:val="auto"/>
        </w:rPr>
      </w:pPr>
      <w:r>
        <w:rPr>
          <w:rFonts w:ascii="Arial" w:cs="Arial" w:eastAsia="Arial" w:hAnsi="Arial"/>
          <w:sz w:val="15"/>
          <w:szCs w:val="15"/>
          <w:color w:val="auto"/>
        </w:rPr>
        <w:t xml:space="preserve">We account for all business combinations using the acquisition method of accounting as prescribed by ASC Topic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The guidance requires the use of significant estimates and assumptions in determining the fair value of identifiable assets acquired and liabilities assumed, including intangible assets and contingent consideration, and allocation of purchase price over such assets and liabilities on the acquisition date. The significant estimates and assumptions include, but are not limited to, the timing and amount of future revenue and cash flows based on, among other things, discount rate reflecting the risk inherent in future cash flows, customer attrition rates and the long-term growth rate applied within the discounted cash flow model. This requires a high degree of our judgment and the need to involve fair value specialists to evaluate the reasonableness of our valuation methodology and the selection of inputs to the valuation.</w:t>
      </w:r>
    </w:p>
    <w:p>
      <w:pPr>
        <w:spacing w:after="0" w:line="90"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In addition, assets acquired and liabilities assumed including uncertain tax positions and tax-related valuation allowances in connection with business combinations are initially estimated as of the acquisition date. We subsequently re-evaluate the assets acquired and liabilities assumed, including additional assets and liabilities identified subsequent to acquisition date, with any adjustments to our preliminary estimates being recorded to goodwill within the measurement period (up to one year from the acquisition date).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Other Intangible Assets and Long-lived Assets</w:t>
      </w:r>
    </w:p>
    <w:p>
      <w:pPr>
        <w:spacing w:after="0" w:line="165"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Goodwill represents the cost of the acquired businesses in excess of the fair value of identifiable tangible and intangible net assets purchased in a business combination. Goodwill is not amortized but is tested for impairment at least on an annual basis, relying on a number of factors including operating results, business plans and estimated future cash flows of the reporting units to which it is assigned. We undertake studies to determine the fair values of assets and liabilities acquired and allocate purchase consideration to assets and liabilities, including property and equipment, goodwill and other identifiable intangibles. We examine the carrying value of the goodwill annually in the fourth quarter, or more frequently, as circumstances warrant, to determine whether there are any impairment losses. We test for goodwill impairment at the reporting unit level.</w:t>
      </w:r>
    </w:p>
    <w:p>
      <w:pPr>
        <w:spacing w:after="0" w:line="132"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6"/>
          <w:szCs w:val="16"/>
          <w:color w:val="auto"/>
        </w:rPr>
        <w:t>The goodwill quantitative impairment test involves a comparison of the fair value of a reporting unit with its carrying amount. We estimate the fair value of a reporting unit using a combination of the income approach, using discounted cash flow analysis (“DCF model”) and the market approach, using market multiples for reporting units whereby the fair value is not substantially in excess of carrying value. 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each business. Actual results may differ from those assumed in our forecasts. The discount rate is based on judgment of the specific risk inherent in the future cash flows of the respective reporting units. The variables within the discount rate, many of which are outside of our control, provide us best estimate of all assumptions applied within the DCF model. Under the market approach, we estimate fair value based on market multiples of revenues and earnings derived from comparable publicly-traded companies with characteristics similar to the reporting unit and comparable market transactions. The market approach is used to corroborate the results of the income approach. The estimates used to calculate the fair value of a reporting unit change from year to year based on operating results, market conditions and other factors. Changes in these estimates and assumptions could materially affect the determination of fair value for each reporting unit.</w:t>
      </w:r>
    </w:p>
    <w:p>
      <w:pPr>
        <w:spacing w:after="0" w:line="122"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Determining fair value requires the use of estimates and exercise of significant judgment, including assumptions about appropriate discount rates, perpetual growth rates, amount and timing of expected future cash flows, market multiples of revenues and earnings and comparable market transactions. These estimates and judgements may not be within our control and accordingly it is reasonably possible that the estimates and judgments described above could change in future periods. There can be no assurance that operations will achieve the future cash flows reflected in the projections. If the carrying amount of the reporting unit exceeds its fair value, an impairment loss shall be recognized, in an amount equal to that excess, limited to the total amount of goodwill allocated to that reporting unit.</w:t>
      </w:r>
    </w:p>
    <w:p>
      <w:pPr>
        <w:spacing w:after="0" w:line="132"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discounted expected future cash flows is less than the carrying amount of such asset. The estimate of 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 See Note 2 - Summary of Significant Accounting Policies - Business Combinations, Goodwill and Other Intangible Assets to our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5"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 xml:space="preserve">Under the fair value recognition provisions of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cost is measured at the grant date based on the fair value of the award and is amortized on a straight-line basis over the requisite service periods of the awards, which is generally the vesting period.</w:t>
      </w:r>
    </w:p>
    <w:p>
      <w:pPr>
        <w:spacing w:after="0" w:line="89"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Determining the fair value of stock-based awards at the grant date requires significant judgment, including estimating the expected term over which the stock awards will be outstanding before they are exercised and the expected volatility of our stock.</w:t>
      </w:r>
    </w:p>
    <w:p>
      <w:pPr>
        <w:spacing w:after="0" w:line="11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6"/>
          <w:szCs w:val="16"/>
          <w:color w:val="auto"/>
        </w:rPr>
        <w:t>We also grant performance-based restricted stock units (“PRSUs”) to executive officers and other specified employees. Generally, we grant PRSUs cliff vest based on an aggregated revenue target (“PUs”) for a three-year period, while grants based on market conditions (“MUs”) are contingent on meeting or exceeding the total shareholder return relative to a group of peer companies specified under the 2018 Plan, and are measured over a three-year performance period. The award recipient may earn up to 200% of the PRSUs granted based on the actual achievement of both targets. However, the features of our equity incentive compensation program are subject to change by the Compensation and Talent Management Committee of our board of directors.</w:t>
      </w:r>
    </w:p>
    <w:p>
      <w:pPr>
        <w:spacing w:after="0" w:line="11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6"/>
          <w:szCs w:val="16"/>
          <w:color w:val="auto"/>
        </w:rPr>
        <w:t>The fair value of each PU is determined based on the market price of one share of our common stock on the day prior to the date of grant. The grant date fair value for the MUs is determined using a Monte Carlo simulation model. The Monte Carlo simulation model simulates a range of possible future stock prices and estimates the probabilities of the potential payouts. The Monte Carlo simulation model also involves the use of additional key assumptions, including dividend yield and risk-free interest rate. We periodically assess the reasonableness of our assumptions and update our estimates as required. If actual results differ significantly from our estimates, stock-based compensation expense and our results of operations could be materially affected.</w:t>
      </w:r>
    </w:p>
    <w:p>
      <w:pPr>
        <w:spacing w:after="0" w:line="11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Stock-based compensation expense associated with our 2022 Employee Stock Purchase Plan is measured at fair-value using a Black-Scholes option-pricing model at commencement of each offering period and recognized over that offering period.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165"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In the normal course of business, we use derivative instruments to mitigate the exposure from risk of foreign currency and interest rate fluctuations. We enter into foreign currency forward contracts to hedge cash flow risks from forecasted transactions denominated in certain foreign currencies, and interest rate swaps to hedge cash flow risks from our revolving credit facility having variable interest rate obligations. These contracts adhere to our treasury operations’ objectives and policies to qualify as cash flow hedges, and are with counterparties that are highly rated financial institutions.</w:t>
      </w:r>
    </w:p>
    <w:p>
      <w:pPr>
        <w:spacing w:after="0" w:line="99" w:lineRule="exact"/>
        <w:rPr>
          <w:sz w:val="20"/>
          <w:szCs w:val="20"/>
          <w:color w:val="auto"/>
        </w:rPr>
      </w:pPr>
    </w:p>
    <w:p>
      <w:pPr>
        <w:jc w:val="both"/>
        <w:ind w:firstLine="387"/>
        <w:spacing w:after="0" w:line="242" w:lineRule="auto"/>
        <w:rPr>
          <w:sz w:val="20"/>
          <w:szCs w:val="20"/>
          <w:color w:val="auto"/>
        </w:rPr>
      </w:pPr>
      <w:r>
        <w:rPr>
          <w:rFonts w:ascii="Arial" w:cs="Arial" w:eastAsia="Arial" w:hAnsi="Arial"/>
          <w:sz w:val="17"/>
          <w:szCs w:val="17"/>
          <w:color w:val="auto"/>
        </w:rPr>
        <w:t>Changes in the fair value of these cash flow hedges are recorded as a component of accumulated other comprehensive income/(loss) (“AOCI”), net of tax. The resultant foreign exchange gain/(loss) upon settlement of cash flow hedges of a forecast transaction are recorded in the consolidated statements of income along with the underlying hedged item in the same line in our consolidated statements of income as a part of “Cost of revenues,” “General and administrative expenses,” “Selling and marketing expenses,” and “Depreciation and amortization expense,” as applicable. The accumulated changes in the fair value of interest rate swaps recognized in AOCI are reclassified to our consolidated statements of income and are presented as a part of “Interest expense” over the term of the contract.</w:t>
      </w:r>
    </w:p>
    <w:p>
      <w:pPr>
        <w:spacing w:after="0" w:line="14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evaluate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AOCI are reclassified to earnings.</w:t>
      </w:r>
    </w:p>
    <w:p>
      <w:pPr>
        <w:spacing w:after="0" w:line="12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also use derivative instruments consisting of foreign currency forward contracts to hedge intercompany balances and other monetary assets or liabilities denominated in currencies other than the functional currency, against the risk of foreign currency fluctuations associated with remeasurement of such assets and liabilities to functional currency. These derivatives do not qualify as fair value hedges. Changes in the fair value of these derivatives are recognized in our consolidated statements of income and are included in foreign exchange gain, net.</w:t>
      </w:r>
    </w:p>
    <w:p>
      <w:pPr>
        <w:spacing w:after="0" w:line="126"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We also use foreign currency forward contracts designated as net investment hedges to hedge the foreign currency risks related to our investment in foreign subsidiaries. Fair value changes on these forward contracts and gains and losses on settlement of such forward contracts are recognized in AOCI as part of the foreign currency translation adjustments and are reclassified to consolidated statements of income when a foreign operation is disposed or partially disposed.</w:t>
      </w:r>
    </w:p>
    <w:p>
      <w:pPr>
        <w:spacing w:after="0" w:line="88"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All of the assets and liabilities related to our forward contracts are subject to master netting arrangements with each individual counterparty. These master netting arrangements generally provide for net settlement of all outstanding contracts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with the counterparty in the case of an event of default or a termination event. We present all of the assets and liabilities related to these contracts on a gross basis, with no offsets, in our consolidated statements of financial position. There is no financial collateral (including cash collateral) provided or received by us related to these contracts.</w:t>
      </w:r>
    </w:p>
    <w:p>
      <w:pPr>
        <w:spacing w:after="0" w:line="12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determine the fair value of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6"/>
          <w:szCs w:val="16"/>
          <w:color w:val="auto"/>
        </w:rPr>
        <w:t>We account for income tax using the asset and liability method.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We release (reclassify) the tax effects from AOCI to the consolidated statements of income at the time of settlement of cash flows hedges and amortization of deferred actuarial gain/(loss) on retirement benefits.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122"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We also evaluate potential exposures related to tax contingencies or claims made by the tax authorities in various jurisdictions in order to determine whether a reserve may be required. A reserve is recorded if we believe that a loss is probable and if the amount of such loss can be reasonably estimated. Such reserves are based on estimates and, consequently, are subject to changing facts and circumstances, including the progress of ongoing audits, changes in case law and the passage of new legislation. We have established adequate reserves to cover any potential tax contingencies or claims.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adopted an accounting policy to treat Global Intangible Low-Taxed Income as a period cost.</w:t>
      </w:r>
    </w:p>
    <w:p>
      <w:pPr>
        <w:spacing w:after="0" w:line="16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 xml:space="preserve">Financial Accounting Standards Board Interpretation No.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requires companies to recognize, measure, present and disclose uncertain tax positions. 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is more likely than not to be realized upon settlement. We have established adequate reserves to cover all uncertain tax positions.</w:t>
      </w:r>
    </w:p>
    <w:p>
      <w:pPr>
        <w:spacing w:after="0" w:line="13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We base our decision to continue to indefinitely reinvest earnings from our foreign subsidiaries on our estimate of the working capital required to support operations in these geographies. In addition, we periodically review our capital initiatives to support and expand our global operations, as well as whether there exists an economically viable rate of return on our investments in these geographies, as compared to those made in the United States.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Benefits</w:t>
      </w:r>
    </w:p>
    <w:p>
      <w:pPr>
        <w:spacing w:after="0" w:line="165"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6"/>
          <w:szCs w:val="16"/>
          <w:color w:val="auto"/>
        </w:rPr>
        <w:t>We record contributions to defined contribution plans in our consolidated statements of income in the period in which services are rendered by the covered employees. Current service costs for defined benefit plans are recognized in the period to which they relate. The liability in respect of defined benefit plans is calculated annually by using the projected unit credit method and various actuarial assumptions including discount rates, mortality, expected return on assets, expected increase in the compensation rates and attrition rates. We evaluate these critical assumptions at least annually. If actual results differ significantly from our estimates, current service costs for defined benefit plans and our results of operations could be materially impacted.</w:t>
      </w:r>
    </w:p>
    <w:p>
      <w:pPr>
        <w:spacing w:after="0" w:line="117"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include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included in “Other income/(loss), net.” See Note 20 - Employee Benefit Plans to our consolidated financial statements for details.</w:t>
      </w:r>
    </w:p>
    <w:p>
      <w:pPr>
        <w:spacing w:after="0" w:line="117"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We recognize the liabilities for compensated absences dependent on whether the obligation is attributable to employee services already rendered, relates to rights that vest or accumulate and payment is probable and estimable.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65" w:lineRule="exact"/>
        <w:rPr>
          <w:sz w:val="20"/>
          <w:szCs w:val="20"/>
          <w:color w:val="auto"/>
        </w:rPr>
      </w:pPr>
    </w:p>
    <w:p>
      <w:pPr>
        <w:jc w:val="both"/>
        <w:ind w:firstLine="387"/>
        <w:spacing w:after="0" w:line="295" w:lineRule="auto"/>
        <w:rPr>
          <w:sz w:val="20"/>
          <w:szCs w:val="20"/>
          <w:color w:val="auto"/>
        </w:rPr>
      </w:pPr>
      <w:r>
        <w:rPr>
          <w:rFonts w:ascii="Arial" w:cs="Arial" w:eastAsia="Arial" w:hAnsi="Arial"/>
          <w:sz w:val="15"/>
          <w:szCs w:val="15"/>
          <w:color w:val="auto"/>
        </w:rPr>
        <w:t>We account for a lease at the inception of the contract. Our assessment is based on whether: (1) the contract involves the use of a distinct identified asset, (2) we obtain the right to substantially all the economic benefits from the use of the asset throughout the term of the contract, and (3) we have the right to direct the use of the asset. A lease is classified as a finance lease if any one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or (4) the present value of the lease payments equals or exceeds substantially all of the fair value of the asset. Operating leases are recorded in “Operating lease right-of-use assets,” “Current portion of operating lease liabilities” and “Operating lease liabilities, less current portion” in our consolidated balance sheets. Finance leases are recorded in “Property and equipment, net,” and the current and non-current portion of finance lease liabilities are presented within “Accrued expenses and other current liabilities” and “Other non-current liabilities,” respectively in our consolidated balance sheets.</w:t>
      </w:r>
    </w:p>
    <w:p>
      <w:pPr>
        <w:spacing w:after="0" w:line="96"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5"/>
          <w:szCs w:val="15"/>
          <w:color w:val="auto"/>
        </w:rPr>
        <w:t>ROU assets represent our right to use an underlying asset during the lease term and lease liabilities represent our obligation to make lease payments arising from the lease arrangement. Lease liabilities are recognized at commencement date based on the present value of lease payments over the lease term. Operating lease ROU assets are recognized at commencement date in an amount equal to lease liability, adjusted for any lease prepayments, initial direct costs and lease incentives. For leases in which the rate implicit in the lease is not readily determinable, we use our incremental borrowing rate at commencement date by adjusting the benchmark reference rates, applicable to the respective geographies where the leases were entered, with appropriate financing spreads and lease specific adjustments for the effects of collateral. We determine the incremental borrowing rate by adjusting the benchmark reference rates with appropriate financing spreads applicable to the respective geographies where we entered into leases and lease specific adjustments for the effects of collateral.</w:t>
      </w:r>
    </w:p>
    <w:p>
      <w:pPr>
        <w:spacing w:after="0" w:line="10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Lease terms includes our assessment for the effects of options to extend or terminate the lease. We consider the extension option as part of our lease term for those lease arrangements where we are reasonably certain at commencement of the lease that we will exercise that option. Lease expense for operating lease arrangements is recognized on a straight-line basis over the lease term. We evaluate lease agreements to determine lease and non-lease components, which are accounted for separately.</w:t>
      </w:r>
    </w:p>
    <w:p>
      <w:pPr>
        <w:spacing w:after="0" w:line="12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Lease payments that depend on factors other than an index or rate are considered variable lease payments and are excluded from the operating lease assets and liabilities and are recognized as expense in the period in which the obligation is incurred. Lease payments include payments for common area maintenance, utilities such as electricity, heating and water, among others, and property taxes, and other similar payments paid to the landlord, which are treated as non-lease component.</w:t>
      </w:r>
    </w:p>
    <w:p>
      <w:pPr>
        <w:spacing w:after="0" w:line="126"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 xml:space="preserve">We account for lease-related concessions in accordance with guidance in ASC Topic 842, </w:t>
      </w:r>
      <w:r>
        <w:rPr>
          <w:rFonts w:ascii="Arial" w:cs="Arial" w:eastAsia="Arial" w:hAnsi="Arial"/>
          <w:sz w:val="17"/>
          <w:szCs w:val="17"/>
          <w:i w:val="1"/>
          <w:iCs w:val="1"/>
          <w:color w:val="auto"/>
        </w:rPr>
        <w:t>Leases</w:t>
      </w:r>
      <w:r>
        <w:rPr>
          <w:rFonts w:ascii="Arial" w:cs="Arial" w:eastAsia="Arial" w:hAnsi="Arial"/>
          <w:sz w:val="17"/>
          <w:szCs w:val="17"/>
          <w:color w:val="auto"/>
        </w:rPr>
        <w:t>, to determine, on a lease-by-lease basis, whether the concession provided by lessor should be accounted for as a lease modification.</w:t>
      </w:r>
    </w:p>
    <w:p>
      <w:pPr>
        <w:spacing w:after="0" w:line="113" w:lineRule="exact"/>
        <w:rPr>
          <w:sz w:val="20"/>
          <w:szCs w:val="20"/>
          <w:color w:val="auto"/>
        </w:rPr>
      </w:pPr>
    </w:p>
    <w:p>
      <w:pPr>
        <w:jc w:val="both"/>
        <w:ind w:firstLine="387"/>
        <w:spacing w:after="0" w:line="277" w:lineRule="auto"/>
        <w:rPr>
          <w:sz w:val="20"/>
          <w:szCs w:val="20"/>
          <w:color w:val="auto"/>
        </w:rPr>
      </w:pPr>
      <w:r>
        <w:rPr>
          <w:rFonts w:ascii="Arial" w:cs="Arial" w:eastAsia="Arial" w:hAnsi="Arial"/>
          <w:sz w:val="16"/>
          <w:szCs w:val="16"/>
          <w:color w:val="auto"/>
        </w:rPr>
        <w:t>We account for a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 The lease liability is remeasured to reflect changes to the remaining lease payments and discount rates and we recognize the amount of the remeasurement of the lease liability as an adjustment to the ROU assets. However, if the carrying amount of the ROU assets is reduced to zero as a result of modification, any remaining amount of the remeasurement is recognized as an expense in our consolidated statements of income.</w:t>
      </w:r>
    </w:p>
    <w:p>
      <w:pPr>
        <w:spacing w:after="0" w:line="105" w:lineRule="exact"/>
        <w:rPr>
          <w:sz w:val="20"/>
          <w:szCs w:val="20"/>
          <w:color w:val="auto"/>
        </w:rPr>
      </w:pPr>
    </w:p>
    <w:p>
      <w:pPr>
        <w:ind w:right="240" w:firstLine="387"/>
        <w:spacing w:after="0" w:line="443" w:lineRule="auto"/>
        <w:rPr>
          <w:sz w:val="20"/>
          <w:szCs w:val="20"/>
          <w:color w:val="auto"/>
        </w:rPr>
      </w:pPr>
      <w:r>
        <w:rPr>
          <w:rFonts w:ascii="Arial" w:cs="Arial" w:eastAsia="Arial" w:hAnsi="Arial"/>
          <w:sz w:val="17"/>
          <w:szCs w:val="17"/>
          <w:color w:val="auto"/>
        </w:rPr>
        <w:t xml:space="preserve">We review the ROU assets for impairment whenever events or changes in circumstances indicate that the related carrying amount may not be recoverable. </w:t>
      </w:r>
      <w:r>
        <w:rPr>
          <w:rFonts w:ascii="Arial" w:cs="Arial" w:eastAsia="Arial" w:hAnsi="Arial"/>
          <w:sz w:val="17"/>
          <w:szCs w:val="17"/>
          <w:b w:val="1"/>
          <w:bCs w:val="1"/>
          <w:i w:val="1"/>
          <w:iCs w:val="1"/>
          <w:color w:val="auto"/>
        </w:rPr>
        <w:t>Contingencies</w:t>
      </w:r>
    </w:p>
    <w:p>
      <w:pPr>
        <w:jc w:val="both"/>
        <w:ind w:firstLine="387"/>
        <w:spacing w:after="0" w:line="257" w:lineRule="auto"/>
        <w:rPr>
          <w:sz w:val="20"/>
          <w:szCs w:val="20"/>
          <w:color w:val="auto"/>
        </w:rPr>
      </w:pPr>
      <w:r>
        <w:rPr>
          <w:rFonts w:ascii="Arial" w:cs="Arial" w:eastAsia="Arial" w:hAnsi="Arial"/>
          <w:sz w:val="17"/>
          <w:szCs w:val="17"/>
          <w:color w:val="auto"/>
        </w:rPr>
        <w:t>Loss contingencies are recorded as liabilities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Significant judgment is required in the determination of probability and whether an exposure is reasonably estimable, both. Our judgments are subjective and based on the information available from the status of the legal or regulatory proceedings, the merits of our defenses and consultation with in-house and outside legal counsel. As additional information becomes available, we reassess any potential liability related to any pending litigation and may revise our estimates. Such revisions in estimates of any potential liabilities could have a material impact on our results of operations, financial position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jc w:val="both"/>
        <w:ind w:firstLine="309"/>
        <w:spacing w:after="0" w:line="250" w:lineRule="auto"/>
        <w:rPr>
          <w:sz w:val="20"/>
          <w:szCs w:val="20"/>
          <w:color w:val="auto"/>
        </w:rPr>
      </w:pPr>
      <w:r>
        <w:rPr>
          <w:rFonts w:ascii="Arial" w:cs="Arial" w:eastAsia="Arial" w:hAnsi="Arial"/>
          <w:sz w:val="17"/>
          <w:szCs w:val="17"/>
          <w:color w:val="auto"/>
        </w:rPr>
        <w:t>For a discussion of our results of operations for the year ended December 31, 2020, including a year-to-year comparison between 2021 and 2020, refer to Part II, Item 7, “Management's Discussion and Analysis of Financial Condition and Results of Operations” in our Annual Report on Form 10-K for the year ended December 31, 2021.</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results of operations:</w:t>
      </w:r>
    </w:p>
    <w:p>
      <w:pPr>
        <w:spacing w:after="0" w:line="194" w:lineRule="exact"/>
        <w:rPr>
          <w:sz w:val="20"/>
          <w:szCs w:val="20"/>
          <w:color w:val="auto"/>
        </w:rPr>
      </w:pPr>
    </w:p>
    <w:tbl>
      <w:tblPr>
        <w:tblLayout w:type="fixed"/>
        <w:tblInd w:w="420" w:type="dxa"/>
        <w:tblCellMar>
          <w:top w:w="0" w:type="dxa"/>
          <w:left w:w="0" w:type="dxa"/>
          <w:bottom w:w="0" w:type="dxa"/>
          <w:right w:w="0" w:type="dxa"/>
        </w:tblCellMar>
      </w:tblPr>
      <w:tr>
        <w:trPr>
          <w:trHeight w:val="178"/>
        </w:trPr>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
        </w:trPr>
        <w:tc>
          <w:tcPr>
            <w:tcW w:w="6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9"/>
        </w:trPr>
        <w:tc>
          <w:tcPr>
            <w:tcW w:w="6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6"/>
        </w:trPr>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(dollars in millions)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7"/>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1,412.0</w:t>
            </w:r>
          </w:p>
        </w:tc>
        <w:tc>
          <w:tcPr>
            <w:tcW w:w="4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958.4</w:t>
            </w:r>
          </w:p>
        </w:tc>
      </w:tr>
      <w:tr>
        <w:trPr>
          <w:trHeight w:val="219"/>
        </w:trPr>
        <w:tc>
          <w:tcPr>
            <w:tcW w:w="60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623.9</w:t>
            </w:r>
          </w:p>
        </w:tc>
      </w:tr>
      <w:tr>
        <w:trPr>
          <w:trHeight w:val="212"/>
        </w:trPr>
        <w:tc>
          <w:tcPr>
            <w:tcW w:w="602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b w:val="1"/>
                <w:bCs w:val="1"/>
                <w:color w:val="auto"/>
              </w:rPr>
              <w:t>Gross profit</w:t>
            </w:r>
            <w:r>
              <w:rPr>
                <w:rFonts w:ascii="Arial" w:cs="Arial" w:eastAsia="Arial" w:hAnsi="Arial"/>
                <w:sz w:val="22"/>
                <w:szCs w:val="22"/>
                <w:b w:val="1"/>
                <w:bCs w:val="1"/>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431.4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334.5</w:t>
            </w:r>
          </w:p>
        </w:tc>
      </w:tr>
      <w:tr>
        <w:trPr>
          <w:trHeight w:val="198"/>
        </w:trPr>
        <w:tc>
          <w:tcPr>
            <w:tcW w:w="60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6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r>
      <w:tr>
        <w:trPr>
          <w:trHeight w:val="218"/>
        </w:trPr>
        <w:tc>
          <w:tcPr>
            <w:tcW w:w="6020" w:type="dxa"/>
            <w:vAlign w:val="bottom"/>
          </w:tcPr>
          <w:p>
            <w:pPr>
              <w:ind w:left="340"/>
              <w:spacing w:after="0"/>
              <w:rPr>
                <w:sz w:val="20"/>
                <w:szCs w:val="20"/>
                <w:color w:val="auto"/>
              </w:rPr>
            </w:pPr>
            <w:r>
              <w:rPr>
                <w:rFonts w:ascii="Arial" w:cs="Arial" w:eastAsia="Arial" w:hAnsi="Arial"/>
                <w:sz w:val="17"/>
                <w:szCs w:val="17"/>
                <w:color w:val="auto"/>
              </w:rPr>
              <w:t>Selling and marketing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60.1</w:t>
            </w:r>
          </w:p>
        </w:tc>
      </w:tr>
      <w:tr>
        <w:trPr>
          <w:trHeight w:val="220"/>
        </w:trPr>
        <w:tc>
          <w:tcPr>
            <w:tcW w:w="6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w:t>
            </w:r>
          </w:p>
        </w:tc>
      </w:tr>
      <w:tr>
        <w:trPr>
          <w:trHeight w:val="211"/>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224.5</w:t>
            </w:r>
          </w:p>
        </w:tc>
      </w:t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110.0</w:t>
            </w:r>
          </w:p>
        </w:tc>
      </w:tr>
      <w:tr>
        <w:trPr>
          <w:trHeight w:val="218"/>
        </w:trPr>
        <w:tc>
          <w:tcPr>
            <w:tcW w:w="6020" w:type="dxa"/>
            <w:vAlign w:val="bottom"/>
          </w:tcPr>
          <w:p>
            <w:pPr>
              <w:ind w:left="20"/>
              <w:spacing w:after="0"/>
              <w:rPr>
                <w:sz w:val="20"/>
                <w:szCs w:val="20"/>
                <w:color w:val="auto"/>
              </w:rPr>
            </w:pPr>
            <w:r>
              <w:rPr>
                <w:rFonts w:ascii="Arial" w:cs="Arial" w:eastAsia="Arial" w:hAnsi="Arial"/>
                <w:sz w:val="17"/>
                <w:szCs w:val="17"/>
                <w:color w:val="auto"/>
              </w:rPr>
              <w:t>Foreign exchange gain,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20"/>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8"/>
        </w:trPr>
        <w:tc>
          <w:tcPr>
            <w:tcW w:w="602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20"/>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settlement of convertible notes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020" w:type="dxa"/>
            <w:vAlign w:val="bottom"/>
          </w:tcPr>
          <w:p>
            <w:pPr>
              <w:ind w:left="20"/>
              <w:spacing w:after="0"/>
              <w:rPr>
                <w:sz w:val="20"/>
                <w:szCs w:val="20"/>
                <w:color w:val="auto"/>
              </w:rPr>
            </w:pPr>
            <w:r>
              <w:rPr>
                <w:rFonts w:ascii="Arial" w:cs="Arial" w:eastAsia="Arial" w:hAnsi="Arial"/>
                <w:sz w:val="17"/>
                <w:szCs w:val="17"/>
                <w:b w:val="1"/>
                <w:bCs w:val="1"/>
                <w:color w:val="auto"/>
              </w:rPr>
              <w:t>Income before income tax expense and earnings from equity affiliates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190.1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146.6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115.3</w:t>
            </w: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12"/>
        </w:trPr>
        <w:tc>
          <w:tcPr>
            <w:tcW w:w="6020" w:type="dxa"/>
            <w:vAlign w:val="bottom"/>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142.6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89.7</w:t>
            </w: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Gain/(loss) from equity-method investment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2"/>
        </w:trPr>
        <w:tc>
          <w:tcPr>
            <w:tcW w:w="602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143.0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89.5</w:t>
            </w: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(1) Exclusive of depreciation and amortization expense.</w:t>
      </w:r>
    </w:p>
    <w:p>
      <w:pPr>
        <w:spacing w:after="0" w:line="165" w:lineRule="exact"/>
        <w:rPr>
          <w:sz w:val="20"/>
          <w:szCs w:val="20"/>
          <w:color w:val="auto"/>
        </w:rPr>
      </w:pPr>
    </w:p>
    <w:p>
      <w:pPr>
        <w:ind w:left="460" w:right="180"/>
        <w:spacing w:after="0" w:line="279" w:lineRule="auto"/>
        <w:rPr>
          <w:sz w:val="20"/>
          <w:szCs w:val="20"/>
          <w:color w:val="auto"/>
        </w:rPr>
      </w:pPr>
      <w:r>
        <w:rPr>
          <w:rFonts w:ascii="Arial" w:cs="Arial" w:eastAsia="Arial" w:hAnsi="Arial"/>
          <w:sz w:val="17"/>
          <w:szCs w:val="17"/>
          <w:i w:val="1"/>
          <w:iCs w:val="1"/>
          <w:color w:val="auto"/>
        </w:rPr>
        <w:t>Due to rounding, the numbers presented in the tables included in this Part II, Item 7,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2022 Compared to Year Ended December 31, 2021</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Revenues.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revenues by reportable segments:</w:t>
      </w:r>
    </w:p>
    <w:p>
      <w:pPr>
        <w:spacing w:after="0" w:line="207"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3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40" w:type="dxa"/>
            <w:vAlign w:val="bottom"/>
          </w:tcPr>
          <w:p>
            <w:pPr>
              <w:jc w:val="right"/>
              <w:ind w:right="4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39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17.5 %</w:t>
            </w:r>
          </w:p>
        </w:tc>
        <w:tc>
          <w:tcPr>
            <w:tcW w:w="0" w:type="dxa"/>
            <w:vAlign w:val="bottom"/>
          </w:tcPr>
          <w:p>
            <w:pPr>
              <w:spacing w:after="0"/>
              <w:rPr>
                <w:sz w:val="1"/>
                <w:szCs w:val="1"/>
                <w:color w:val="auto"/>
              </w:rPr>
            </w:pP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Healthcare</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Business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30.7 %</w:t>
            </w:r>
          </w:p>
        </w:tc>
        <w:tc>
          <w:tcPr>
            <w:tcW w:w="0" w:type="dxa"/>
            <w:vAlign w:val="bottom"/>
          </w:tcPr>
          <w:p>
            <w:pPr>
              <w:spacing w:after="0"/>
              <w:rPr>
                <w:sz w:val="1"/>
                <w:szCs w:val="1"/>
                <w:color w:val="auto"/>
              </w:rPr>
            </w:pPr>
          </w:p>
        </w:tc>
      </w:tr>
      <w:tr>
        <w:trPr>
          <w:trHeight w:val="218"/>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186.6</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40.5 %</w:t>
            </w:r>
          </w:p>
        </w:tc>
        <w:tc>
          <w:tcPr>
            <w:tcW w:w="0" w:type="dxa"/>
            <w:vAlign w:val="bottom"/>
          </w:tcPr>
          <w:p>
            <w:pPr>
              <w:spacing w:after="0"/>
              <w:rPr>
                <w:sz w:val="1"/>
                <w:szCs w:val="1"/>
                <w:color w:val="auto"/>
              </w:rPr>
            </w:pPr>
          </w:p>
        </w:tc>
      </w:tr>
      <w:tr>
        <w:trPr>
          <w:trHeight w:val="23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 net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Revenues for the year ended December 31, 2022 were $1,412.0 million, up $289.7 million, or 25.8%, compared to the year ended December 31, 2021, driven primarily by revenue growth from our new and existing clients in the Analytics, Emerging Business and Insurance reportable segments.</w:t>
      </w:r>
    </w:p>
    <w:p>
      <w:pPr>
        <w:spacing w:after="0" w:line="8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Revenue growth in Insurance of $66.7 million was primarily driven by expansion of business from our new and existing clients of $71.7 million. This was partially offset by a loss of $5.0 million mainly attributable to the depreciation of the U.K. pound sterling, the Australian dollar and the Indian rupee against the U.S. dollar during the year ended December 31, 2022, compared to the year ended December 31, 2021. Insurance revenues were 31.8% and 34.0% of our total revenues during the years ended December 31, 2022 and 2021, respectively.</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Revenue decline in Healthcare of $15.0 million was primarily driven by the ramp-down in certain existing clients during the year ended December 31, 2022.</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Healthcare revenues were 6.9% and 10.0% of our total revenues during the years ended December 31, 2022 and 2021, respectively.</w:t>
      </w:r>
    </w:p>
    <w:p>
      <w:pPr>
        <w:spacing w:after="0" w:line="15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Revenue growth in Emerging Business of $51.4 million was primarily driven by expansion of business from our new clients and existing clients of $58.0 million. This was partially offset by a loss of $6.6 million mainly attributable to the depreciation of the U.K. pound sterling and the Indian rupee against the U.S. dollar during the year ended December 31, 2022, compared to the year ended December 31, 2021. Emerging Business revenues were 15.5% and 14.9% of our total revenues during the years ended December 31, 2022 and 2021, respectively.</w:t>
      </w:r>
    </w:p>
    <w:p>
      <w:pPr>
        <w:spacing w:after="0" w:line="126"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Revenue growth in Analytics of $186.6 million was primarily driven by higher volumes in our annuity and project based engagements from our new and existing clients of $144.1 million, and an incremental contribution from our acquisition of Clairvoyant in December 2021 of $47.4 million. This was partially offset by a loss of $4.9 million mainly attributable to the depreciation of the U.K. pound sterling against the U.S. dollar during the year ended December 31, 2022, compared to the year ended December 31, 2021. Analytics revenues were 45.8% and 41.0% of our total revenues during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Cost of Revenues and Gross Margin: </w:t>
      </w:r>
      <w:r>
        <w:rPr>
          <w:rFonts w:ascii="Arial" w:cs="Arial" w:eastAsia="Arial" w:hAnsi="Arial"/>
          <w:sz w:val="17"/>
          <w:szCs w:val="17"/>
          <w:color w:val="auto"/>
        </w:rPr>
        <w:t>The following table sets forth cost of revenues and gross margin of our reportable segments.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5"/>
          </w:tcPr>
          <w:p>
            <w:pPr>
              <w:ind w:left="340"/>
              <w:spacing w:after="0"/>
              <w:rPr>
                <w:sz w:val="20"/>
                <w:szCs w:val="20"/>
                <w:color w:val="auto"/>
              </w:rPr>
            </w:pPr>
            <w:r>
              <w:rPr>
                <w:rFonts w:ascii="Arial" w:cs="Arial" w:eastAsia="Arial" w:hAnsi="Arial"/>
                <w:sz w:val="14"/>
                <w:szCs w:val="14"/>
                <w:b w:val="1"/>
                <w:bCs w:val="1"/>
                <w:color w:val="auto"/>
              </w:rPr>
              <w:t>Cost of Revenues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Margin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Percentage</w:t>
            </w:r>
          </w:p>
        </w:tc>
        <w:tc>
          <w:tcPr>
            <w:tcW w:w="250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31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vMerge w:val="continue"/>
          </w:tcPr>
          <w:p>
            <w:pPr>
              <w:spacing w:after="0"/>
              <w:rPr>
                <w:sz w:val="4"/>
                <w:szCs w:val="4"/>
                <w:color w:val="auto"/>
              </w:rPr>
            </w:pPr>
          </w:p>
        </w:tc>
        <w:tc>
          <w:tcPr>
            <w:tcW w:w="116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9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change</w:t>
            </w: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3180" w:type="dxa"/>
            <w:vAlign w:val="bottom"/>
          </w:tcPr>
          <w:p>
            <w:pPr>
              <w:ind w:left="20"/>
              <w:spacing w:after="0"/>
              <w:rPr>
                <w:sz w:val="20"/>
                <w:szCs w:val="20"/>
                <w:color w:val="auto"/>
              </w:rPr>
            </w:pPr>
            <w:r>
              <w:rPr>
                <w:rFonts w:ascii="Arial" w:cs="Arial" w:eastAsia="Arial" w:hAnsi="Arial"/>
                <w:sz w:val="17"/>
                <w:szCs w:val="17"/>
                <w:color w:val="auto"/>
              </w:rPr>
              <w:t>Healthcare</w:t>
            </w: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27.1 %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37.9 %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Business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8"/>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409.9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41.4 %</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36.7 %</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37.1 %</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3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896.6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29.8 %</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36.5 %</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For the year ended December 31, 2022, cost of revenues was $896.6 million compared to $690.9 million for the year ended December 31, 2021, an increase of $205.7 million, or 29.8%. Our gross margin for the year ended December 31, 2022 was 36.5% compared to 38.4% for year ended December 31, 2021, a decrease of 190 basis points (“bps”) primarily driven by lower margins associated with higher costs during ramp-ups in certain new clients and higher employee-related costs during the year ended December 31, 2022, compared to the year ended December 31, 2021.</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increase in cost of revenues in Insurance of $48.2 million for the year ended December 31, 2022 was primarily due to</w:t>
      </w:r>
    </w:p>
    <w:p>
      <w:pPr>
        <w:spacing w:after="0" w:line="1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increases in employee-related costs of $47.3 million on account of higher headcount and wage inflation, higher technology costs of $7.3 million on account of increased leverage of the hybrid and remote working models and higher travel costs of $1.6 million, partially offset by foreign exchange gain, net of hedging of $7.3 million and lower other operating costs of $0.7 million. Gross margin in Insurance decreased by 140 bps during the year ended December 31, 2022, compared to the year ended December 31, 2021, primarily due to lower margins associated with higher costs during ramp-ups in certain new clients during the year ended December 31, 2022, compared to the year ended December 31, 2021.</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increase in cost of revenues in Healthcare of $1.2 million for the year ended December 31, 2022 was primarily due to</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increases in employee-related costs of $3.5 million on account of higher headcount and wage inflation, and higher technology costs of $0.6 million on account of increased leverage of the hybrid and remote working models, partially offset by lower facilities cost of $1.1 million and foreign exchange gain, net of hedging of $1.8 million. Gross margin in Healthcare decreased by 1,080 bps during the year ended December 31, 2022, compared to the year ended December 31, 2021, primarily due to lower revenues associated with the ramp-down of certain existing clients and higher operating expenses associated with the ramp-down of certain existing clients during the year ended December 31, 2022, compared to the year ended December 31, 2021.</w:t>
      </w:r>
    </w:p>
    <w:p>
      <w:pPr>
        <w:spacing w:after="0" w:line="196"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6"/>
          <w:szCs w:val="16"/>
          <w:color w:val="auto"/>
        </w:rPr>
        <w:t>The increase in cost of revenues in Emerging Business of $36.3 million for the year ended December 31, 2022 was primarily due to increases in employee-related costs of $34.5 million on account of higher headcount and wage inflation, higher technology costs of $4.0 million on account of increased leverage of the hybrid and remote working models, higher travel costs of $2.3 million, higher facilities costs of $1.2 million, partially offset by foreign exchange gain, net of hedging of $5.7 million. Gross margin in Emerging Business decreased by 370 bps during the year ended December 31, 2022, compared to the year ended December 31, 2021, primarily due to lower margins associated with higher costs during ramp-ups in certain new clients, higher employee-related costs and higher operating expenses during the year ended December 31, 2022, compared to the year ended December 31, 2021.</w:t>
      </w:r>
    </w:p>
    <w:p>
      <w:pPr>
        <w:spacing w:after="0" w:line="197"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5"/>
          <w:szCs w:val="15"/>
          <w:color w:val="auto"/>
        </w:rPr>
        <w:t>The increase in cost of revenues in Analytics of $120.0 million for the year ended December 31, 2022 was primarily due to increases in employee-related costs of $113.0 million on account of higher headcount and wage inflation, including incremental cost related to our acquisition of Clairvoyant in December 2021. The remaining increase was attributable to higher travel costs of $4.5 million, higher technology costs of $3.5 million on account of increased leverage of the hybrid and remote working models and higher other operating costs of $9.6 million. This was partially offset by foreign exchange gain, net of hedging of $10.6 million. Gross margin in Analytics decreased by 40 bps during the year ended December 31, 2022, compared to the year ended December 31, 2021, primarily due to increases in employee-related costs and higher operating expenses during the year ended December 31, 2022, compared to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7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80" w:type="dxa"/>
            <w:vAlign w:val="bottom"/>
          </w:tcPr>
          <w:p>
            <w:pPr>
              <w:jc w:val="right"/>
              <w:ind w:right="4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169.0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19.0 %</w:t>
            </w:r>
          </w:p>
        </w:tc>
        <w:tc>
          <w:tcPr>
            <w:tcW w:w="0" w:type="dxa"/>
            <w:vAlign w:val="bottom"/>
          </w:tcPr>
          <w:p>
            <w:pPr>
              <w:spacing w:after="0"/>
              <w:rPr>
                <w:sz w:val="1"/>
                <w:szCs w:val="1"/>
                <w:color w:val="auto"/>
              </w:rPr>
            </w:pPr>
          </w:p>
        </w:tc>
      </w:tr>
      <w:tr>
        <w:trPr>
          <w:trHeight w:val="218"/>
        </w:trPr>
        <w:tc>
          <w:tcPr>
            <w:tcW w:w="44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Selling and marketing expenses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7"/>
                <w:szCs w:val="17"/>
                <w:color w:val="auto"/>
              </w:rPr>
              <w:t>98.0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84.3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16.2 %</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267.0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226.4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18.0 %</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As a percentage of revenues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90" w:lineRule="exact"/>
              <w:rPr>
                <w:sz w:val="20"/>
                <w:szCs w:val="20"/>
                <w:color w:val="auto"/>
              </w:rPr>
            </w:pPr>
            <w:r>
              <w:rPr>
                <w:rFonts w:ascii="Arial" w:cs="Arial" w:eastAsia="Arial" w:hAnsi="Arial"/>
                <w:sz w:val="17"/>
                <w:szCs w:val="17"/>
                <w:color w:val="auto"/>
              </w:rPr>
              <w:t>18.9 %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20.2 %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firstLine="387"/>
        <w:spacing w:after="0" w:line="244" w:lineRule="auto"/>
        <w:rPr>
          <w:sz w:val="20"/>
          <w:szCs w:val="20"/>
          <w:color w:val="auto"/>
        </w:rPr>
      </w:pPr>
      <w:r>
        <w:rPr>
          <w:rFonts w:ascii="Arial" w:cs="Arial" w:eastAsia="Arial" w:hAnsi="Arial"/>
          <w:sz w:val="17"/>
          <w:szCs w:val="17"/>
          <w:color w:val="auto"/>
        </w:rPr>
        <w:t>The increase in SG&amp;A expenses of $40.6 million was primarily due to higher employee-related costs of $32.4 million on account of higher headcount and wage inflation, including incremental costs related to our acquisition of Clairvoyant in December 2021, increase in technology costs of $9.3 million on account of continued investments in digital capabilities, higher travel costs of $4.0 million and higher other operating costs of $1.3 million. This was partially offset by foreign exchange gain, net of hedging of $3.7 million, during the year ended December 31, 2022 and COVID-19 related expenses of $2.7 million during the year ended December 31, 2021.</w:t>
      </w: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460" w:type="dxa"/>
            <w:vAlign w:val="bottom"/>
          </w:tcPr>
          <w:p>
            <w:pPr>
              <w:spacing w:after="0"/>
              <w:rPr>
                <w:sz w:val="15"/>
                <w:szCs w:val="15"/>
                <w:color w:val="auto"/>
              </w:rPr>
            </w:pPr>
          </w:p>
        </w:tc>
        <w:tc>
          <w:tcPr>
            <w:tcW w:w="23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446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gridSpan w:val="2"/>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380" w:type="dxa"/>
            <w:vAlign w:val="bottom"/>
          </w:tcPr>
          <w:p>
            <w:pPr>
              <w:jc w:val="right"/>
              <w:ind w:right="58"/>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(dollars 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Depreciation expense</w:t>
            </w: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w w:val="90"/>
              </w:rPr>
              <w:t>39.2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0"/>
              </w:rPr>
              <w:t>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7.8 %</w:t>
            </w:r>
          </w:p>
        </w:tc>
        <w:tc>
          <w:tcPr>
            <w:tcW w:w="0" w:type="dxa"/>
            <w:vAlign w:val="bottom"/>
          </w:tcPr>
          <w:p>
            <w:pPr>
              <w:spacing w:after="0"/>
              <w:rPr>
                <w:sz w:val="1"/>
                <w:szCs w:val="1"/>
                <w:color w:val="auto"/>
              </w:rPr>
            </w:pPr>
          </w:p>
        </w:tc>
      </w:tr>
      <w:tr>
        <w:trPr>
          <w:trHeight w:val="218"/>
        </w:trPr>
        <w:tc>
          <w:tcPr>
            <w:tcW w:w="4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Intangible amortization expense</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w w:val="90"/>
              </w:rPr>
              <w:t>17.1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90"/>
              </w:rPr>
              <w:t>12.8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33.9 %</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 expense</w:t>
            </w: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w w:val="90"/>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90"/>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As a percentage of revenues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6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7"/>
                <w:szCs w:val="17"/>
                <w:color w:val="auto"/>
              </w:rPr>
              <w:t>4.0 %</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line="190" w:lineRule="exact"/>
              <w:rPr>
                <w:sz w:val="20"/>
                <w:szCs w:val="20"/>
                <w:color w:val="auto"/>
              </w:rPr>
            </w:pPr>
            <w:r>
              <w:rPr>
                <w:rFonts w:ascii="Arial" w:cs="Arial" w:eastAsia="Arial" w:hAnsi="Arial"/>
                <w:sz w:val="17"/>
                <w:szCs w:val="17"/>
                <w:color w:val="auto"/>
              </w:rPr>
              <w:t>4.4 %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387"/>
        <w:spacing w:after="0" w:line="302" w:lineRule="auto"/>
        <w:rPr>
          <w:sz w:val="20"/>
          <w:szCs w:val="20"/>
          <w:color w:val="auto"/>
        </w:rPr>
      </w:pPr>
      <w:r>
        <w:rPr>
          <w:rFonts w:ascii="Arial" w:cs="Arial" w:eastAsia="Arial" w:hAnsi="Arial"/>
          <w:sz w:val="15"/>
          <w:szCs w:val="15"/>
          <w:color w:val="auto"/>
        </w:rPr>
        <w:t>The increase in intangibles amortization expense of $4.3 million was primarily due to amortization of intangibles associated with our acquisitions of Clairvoyant and Inbound in December 2021 and June 2022, respectively, partially offset by decrease in intangibles amortization expense due to end of useful lives for certain intangible assets during the year ended December 31, 2022, compared to the year ended December 31, 2021. The increase in depreciation expense of $2.9 million was primarily due to depreciation of $4.3 million related to our investments in digital capabilities, computers and networking equipment, partially offset by foreign exchange gain, net of hedging of $1.4 million during the year ended December 31, 2022, compared to the year ended December 31, 2021.</w:t>
      </w:r>
    </w:p>
    <w:p>
      <w:pPr>
        <w:spacing w:after="0" w:line="88"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by $36.2 million, or 23.3%, from $155.9 million for the year ended December 31, 2021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$192.1 million for the year ended December 31, 2022, primarily due to higher revenues, partially offset by higher cost of revenues and higher SG&amp;A expenses during the year ended December 31, 2022. As a percentage of revenues, income from operations decreased from 13.9% for the year ended December 31, 2021 to 13.6% for the year ended December 31, 2022.</w:t>
      </w:r>
    </w:p>
    <w:p>
      <w:pPr>
        <w:spacing w:after="0" w:line="140"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b w:val="1"/>
          <w:bCs w:val="1"/>
          <w:i w:val="1"/>
          <w:iCs w:val="1"/>
          <w:color w:val="auto"/>
        </w:rPr>
        <w:t xml:space="preserve">Foreign Exchange Gain, net. </w:t>
      </w:r>
      <w:r>
        <w:rPr>
          <w:rFonts w:ascii="Arial" w:cs="Arial" w:eastAsia="Arial" w:hAnsi="Arial"/>
          <w:sz w:val="16"/>
          <w:szCs w:val="16"/>
          <w:color w:val="auto"/>
        </w:rPr>
        <w:t>Foreign exchange gains and losses are primarily attributable to the movement of the U.S. dollar against the Indian rupee,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Philippine peso, the U.K. pound sterling and the South African ZAR during the year ended December 31, 2022. The average exchange rate of the U.S. dollar against the Indian rupee increased from 73.88 during the year ended December 31, 2021 to 78.81 during the year ended December 31, 2022. The average exchange rate of the U.S. dollar against the Philippine peso increased from 49.36 during the year ended December 31, 2021 to 54.47 during the year ended December 31, 2022. The average exchange rate of the U.K. pound sterling against the U.S. dollar decreased from 1.38 during the year ended December 31, 2021 to 1.23 during the year ended December 31, 2022. The average exchange rate of the U.S. dollar against the South African ZAR increased from 14.92 during the year ended December 31, 2021 to 16.44 during the year ended December 31, 2022.</w:t>
      </w:r>
    </w:p>
    <w:p>
      <w:pPr>
        <w:spacing w:after="0" w:line="118"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We recorded a foreign exchange gain, net of $6.2 million for the year ended December 31, 2022 compared to a foreign exchange gain, net of $4.3 million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39"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6"/>
          <w:szCs w:val="16"/>
          <w:b w:val="1"/>
          <w:bCs w:val="1"/>
          <w:i w:val="1"/>
          <w:iCs w:val="1"/>
          <w:color w:val="auto"/>
        </w:rPr>
        <w:t>Interest expense</w:t>
      </w:r>
      <w:r>
        <w:rPr>
          <w:rFonts w:ascii="Arial" w:cs="Arial" w:eastAsia="Arial" w:hAnsi="Arial"/>
          <w:sz w:val="16"/>
          <w:szCs w:val="16"/>
          <w:color w:val="auto"/>
        </w:rPr>
        <w:t>. Interest expense increased from $7.6 million for the year ended December 31, 2021 to $8.2 million for the year ended December 31,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due to a higher average outstanding amount under our revolving credit facility, which had a higher effective interest rate of 2.9% during the year ended December 31, 2022, compared to 1.7% during the year ended December 31, 2021, partially offset by a decrease in interest expense on the Notes due to settlement of outstanding obligations under the Notes (as defined below under “Financing Arrangements (Debt Facility and Notes)”) on August 27, 2021.</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Income/(Loss), net.</w:t>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4260" w:type="dxa"/>
            <w:vAlign w:val="bottom"/>
          </w:tcPr>
          <w:p>
            <w:pPr>
              <w:spacing w:after="0"/>
              <w:rPr>
                <w:sz w:val="15"/>
                <w:szCs w:val="15"/>
                <w:color w:val="auto"/>
              </w:rPr>
            </w:pPr>
          </w:p>
        </w:tc>
        <w:tc>
          <w:tcPr>
            <w:tcW w:w="21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4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10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changes of contingent consideration</w:t>
            </w:r>
          </w:p>
        </w:tc>
        <w:tc>
          <w:tcPr>
            <w:tcW w:w="800" w:type="dxa"/>
            <w:vAlign w:val="bottom"/>
            <w:shd w:val="clear" w:color="auto" w:fill="CCEEFF"/>
          </w:tcPr>
          <w:p>
            <w:pPr>
              <w:jc w:val="right"/>
              <w:ind w:right="62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7"/>
                <w:szCs w:val="17"/>
                <w:color w:val="auto"/>
              </w:rPr>
              <w:t>Gain on sale and mark-to-market on investments</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dividend income</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91.8 %</w:t>
            </w:r>
          </w:p>
        </w:tc>
        <w:tc>
          <w:tcPr>
            <w:tcW w:w="0" w:type="dxa"/>
            <w:vAlign w:val="bottom"/>
          </w:tcPr>
          <w:p>
            <w:pPr>
              <w:spacing w:after="0"/>
              <w:rPr>
                <w:sz w:val="1"/>
                <w:szCs w:val="1"/>
                <w:color w:val="auto"/>
              </w:rPr>
            </w:pPr>
          </w:p>
        </w:tc>
      </w:tr>
      <w:tr>
        <w:trPr>
          <w:trHeight w:val="218"/>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Others, net</w:t>
            </w: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124.6 %</w:t>
            </w:r>
          </w:p>
        </w:tc>
        <w:tc>
          <w:tcPr>
            <w:tcW w:w="0" w:type="dxa"/>
            <w:vAlign w:val="bottom"/>
          </w:tcPr>
          <w:p>
            <w:pPr>
              <w:spacing w:after="0"/>
              <w:rPr>
                <w:sz w:val="1"/>
                <w:szCs w:val="1"/>
                <w:color w:val="auto"/>
              </w:rPr>
            </w:pPr>
          </w:p>
        </w:tc>
      </w:tr>
      <w:tr>
        <w:trPr>
          <w:trHeight w:val="233"/>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income/(loss), net</w:t>
            </w:r>
          </w:p>
        </w:tc>
        <w:tc>
          <w:tcPr>
            <w:tcW w:w="800" w:type="dxa"/>
            <w:vAlign w:val="bottom"/>
            <w:shd w:val="clear" w:color="auto" w:fill="CCEEFF"/>
          </w:tcPr>
          <w:p>
            <w:pPr>
              <w:jc w:val="right"/>
              <w:ind w:right="624"/>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Other income/(loss), net decreased by $6.8 million, from a net income of $6.8 million for the year ended December 31, 2021 to $nil for the year ended December 31, 2022. The decrease is primarily due to an increase in the fair value of contingent consideration related to our Clairvoyant acquisition by $8.5 million as a result of strong operational performance. This was partially offset by higher interest income on our short-term and long-term investments of $1.8 million.</w:t>
      </w:r>
    </w:p>
    <w:p>
      <w:pPr>
        <w:spacing w:after="0" w:line="88"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 xml:space="preserve">Loss on settlement of Notes. </w:t>
      </w:r>
      <w:r>
        <w:rPr>
          <w:rFonts w:ascii="Arial" w:cs="Arial" w:eastAsia="Arial" w:hAnsi="Arial"/>
          <w:sz w:val="17"/>
          <w:szCs w:val="17"/>
          <w:color w:val="auto"/>
        </w:rPr>
        <w:t>On August 27, 2021, we settled our outstanding obligations under the Notes and recognized a loss of $12.8 million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2021. See Note 18 - Borrowings to our consolidated financial statements.</w:t>
      </w:r>
    </w:p>
    <w:p>
      <w:pPr>
        <w:spacing w:after="0" w:line="113" w:lineRule="exact"/>
        <w:rPr>
          <w:sz w:val="20"/>
          <w:szCs w:val="20"/>
          <w:color w:val="auto"/>
        </w:rPr>
      </w:pPr>
    </w:p>
    <w:p>
      <w:pPr>
        <w:jc w:val="both"/>
        <w:ind w:firstLine="387"/>
        <w:spacing w:after="0" w:line="307" w:lineRule="auto"/>
        <w:rPr>
          <w:sz w:val="20"/>
          <w:szCs w:val="20"/>
          <w:color w:val="auto"/>
        </w:rPr>
      </w:pPr>
      <w:r>
        <w:rPr>
          <w:rFonts w:ascii="Arial" w:cs="Arial" w:eastAsia="Arial" w:hAnsi="Arial"/>
          <w:sz w:val="15"/>
          <w:szCs w:val="15"/>
          <w:b w:val="1"/>
          <w:bCs w:val="1"/>
          <w:i w:val="1"/>
          <w:iCs w:val="1"/>
          <w:color w:val="auto"/>
        </w:rPr>
        <w:t>Income Tax Expense</w:t>
      </w:r>
      <w:r>
        <w:rPr>
          <w:rFonts w:ascii="Arial" w:cs="Arial" w:eastAsia="Arial" w:hAnsi="Arial"/>
          <w:sz w:val="15"/>
          <w:szCs w:val="15"/>
          <w:color w:val="auto"/>
        </w:rPr>
        <w:t>. The effective tax rate increased from 21.7% during the year ended December 31, 2021 to 25.0% during the year ended December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We recorded income tax expense of $47.5 million and $31.9 million for the years ended December 31, 2022 and 2021, respectively. The increase in income tax expense was primarily as a result of higher profit during the year ended December 31, 2022, compared to the year ended December 31, 2021, an increase in state taxes and an increase in non-deductible expenses, partially offset by higher excess tax benefits related to stock-based compensation.</w:t>
      </w:r>
    </w:p>
    <w:p>
      <w:pPr>
        <w:spacing w:after="0" w:line="97" w:lineRule="exact"/>
        <w:rPr>
          <w:sz w:val="20"/>
          <w:szCs w:val="20"/>
          <w:color w:val="auto"/>
        </w:rPr>
      </w:pPr>
    </w:p>
    <w:p>
      <w:pPr>
        <w:jc w:val="both"/>
        <w:ind w:firstLine="387"/>
        <w:spacing w:after="0" w:line="307" w:lineRule="auto"/>
        <w:rPr>
          <w:sz w:val="20"/>
          <w:szCs w:val="20"/>
          <w:color w:val="auto"/>
        </w:rPr>
      </w:pPr>
      <w:r>
        <w:rPr>
          <w:rFonts w:ascii="Arial" w:cs="Arial" w:eastAsia="Arial" w:hAnsi="Arial"/>
          <w:sz w:val="15"/>
          <w:szCs w:val="15"/>
          <w:b w:val="1"/>
          <w:bCs w:val="1"/>
          <w:i w:val="1"/>
          <w:iCs w:val="1"/>
          <w:color w:val="auto"/>
        </w:rPr>
        <w:t>Net Income</w:t>
      </w:r>
      <w:r>
        <w:rPr>
          <w:rFonts w:ascii="Arial" w:cs="Arial" w:eastAsia="Arial" w:hAnsi="Arial"/>
          <w:sz w:val="15"/>
          <w:szCs w:val="15"/>
          <w:color w:val="auto"/>
        </w:rPr>
        <w:t>. Net income increased from $114.7 million for the year ended December 31, 2021 to $143.0 million for the year ended December 31, 2022,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due to increase in income from operations of $36.2 million, loss on settlement of the Notes of $12.8 million during the year ended December 31, 2021 and higher foreign exchange gain, net of $1.9 million, partially offset by higher income tax expense of $15.6 million and lower other income, net of $6.8 million. As a percentage of revenues, net income decreased from 10.2% during the year ended December 31, 2021 to 10.1%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94" w:lineRule="exact"/>
        <w:rPr>
          <w:sz w:val="20"/>
          <w:szCs w:val="20"/>
          <w:color w:val="auto"/>
        </w:rPr>
      </w:pPr>
    </w:p>
    <w:tbl>
      <w:tblPr>
        <w:tblLayout w:type="fixed"/>
        <w:tblInd w:w="420" w:type="dxa"/>
        <w:tblCellMar>
          <w:top w:w="0" w:type="dxa"/>
          <w:left w:w="0" w:type="dxa"/>
          <w:bottom w:w="0" w:type="dxa"/>
          <w:right w:w="0" w:type="dxa"/>
        </w:tblCellMar>
      </w:tblPr>
      <w:tr>
        <w:trPr>
          <w:trHeight w:val="178"/>
        </w:trPr>
        <w:tc>
          <w:tcPr>
            <w:tcW w:w="6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6"/>
          </w:tcPr>
          <w:p>
            <w:pPr>
              <w:jc w:val="center"/>
              <w:ind w:left="518"/>
              <w:spacing w:after="0"/>
              <w:rPr>
                <w:sz w:val="20"/>
                <w:szCs w:val="20"/>
                <w:color w:val="auto"/>
              </w:rPr>
            </w:pPr>
            <w:r>
              <w:rPr>
                <w:rFonts w:ascii="Arial" w:cs="Arial" w:eastAsia="Arial" w:hAnsi="Arial"/>
                <w:sz w:val="14"/>
                <w:szCs w:val="14"/>
                <w:b w:val="1"/>
                <w:bCs w:val="1"/>
                <w:color w:val="auto"/>
                <w:w w:val="87"/>
              </w:rPr>
              <w:t>Year ended December 31,</w:t>
            </w:r>
          </w:p>
        </w:tc>
        <w:tc>
          <w:tcPr>
            <w:tcW w:w="860" w:type="dxa"/>
            <w:vAlign w:val="bottom"/>
          </w:tcPr>
          <w:p>
            <w:pPr>
              <w:spacing w:after="0"/>
              <w:rPr>
                <w:sz w:val="15"/>
                <w:szCs w:val="15"/>
                <w:color w:val="auto"/>
              </w:rPr>
            </w:pPr>
          </w:p>
        </w:tc>
      </w:tr>
      <w:tr>
        <w:trPr>
          <w:trHeight w:val="24"/>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9"/>
        </w:trPr>
        <w:tc>
          <w:tcPr>
            <w:tcW w:w="6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r>
      <w:tr>
        <w:trPr>
          <w:trHeight w:val="186"/>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(dollars 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cash, cash equivalents and restricted cash</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w:t>
            </w:r>
          </w:p>
        </w:tc>
      </w:tr>
      <w:tr>
        <w:trPr>
          <w:trHeight w:val="218"/>
        </w:trPr>
        <w:tc>
          <w:tcPr>
            <w:tcW w:w="650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203.0</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for investing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18"/>
        </w:trPr>
        <w:tc>
          <w:tcPr>
            <w:tcW w:w="6500" w:type="dxa"/>
            <w:vAlign w:val="bottom"/>
          </w:tcPr>
          <w:p>
            <w:pPr>
              <w:ind w:left="20"/>
              <w:spacing w:after="0"/>
              <w:rPr>
                <w:sz w:val="20"/>
                <w:szCs w:val="20"/>
                <w:color w:val="auto"/>
              </w:rPr>
            </w:pPr>
            <w:r>
              <w:rPr>
                <w:rFonts w:ascii="Arial" w:cs="Arial" w:eastAsia="Arial" w:hAnsi="Arial"/>
                <w:sz w:val="17"/>
                <w:szCs w:val="17"/>
                <w:color w:val="auto"/>
              </w:rPr>
              <w:t>Net cash used for financing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(89.6)</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1"/>
        </w:trPr>
        <w:tc>
          <w:tcPr>
            <w:tcW w:w="6500" w:type="dxa"/>
            <w:vAlign w:val="bottom"/>
          </w:tcPr>
          <w:p>
            <w:pPr>
              <w:ind w:left="20"/>
              <w:spacing w:after="0"/>
              <w:rPr>
                <w:sz w:val="20"/>
                <w:szCs w:val="20"/>
                <w:color w:val="auto"/>
              </w:rPr>
            </w:pPr>
            <w:r>
              <w:rPr>
                <w:rFonts w:ascii="Arial" w:cs="Arial" w:eastAsia="Arial" w:hAnsi="Arial"/>
                <w:sz w:val="17"/>
                <w:szCs w:val="17"/>
                <w:color w:val="auto"/>
              </w:rPr>
              <w:t>Closing cash, cash equivalents and restricted cash</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125.6</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143.8</w:t>
            </w:r>
          </w:p>
        </w:tc>
        <w:tc>
          <w:tcPr>
            <w:tcW w:w="10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225.5</w:t>
            </w:r>
          </w:p>
        </w:tc>
      </w:tr>
      <w:tr>
        <w:trPr>
          <w:trHeight w:val="20"/>
        </w:trPr>
        <w:tc>
          <w:tcPr>
            <w:tcW w:w="6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7"/>
          <w:szCs w:val="17"/>
          <w:color w:val="auto"/>
        </w:rPr>
        <w:t>As of December 31, 2022 and 2021, we had $297.7 million and $314.8 million, respectively, in cash, cash equivalents and short-term investments, of which $260.0 million and $278.3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Operating Activities:</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Net cash provided by operating activities was $166.1 million for the year ended December 31, 2022, compared to $184.4 million for the year ended December 31, 2021, reflecting higher working capital needs, offset by higher cash earnings. The major drivers contributing to the decrease of $18.3 million year-over-year included the following:</w:t>
      </w:r>
    </w:p>
    <w:p>
      <w:pPr>
        <w:spacing w:after="0" w:line="124" w:lineRule="exact"/>
        <w:rPr>
          <w:sz w:val="20"/>
          <w:szCs w:val="20"/>
          <w:color w:val="auto"/>
        </w:rPr>
      </w:pPr>
    </w:p>
    <w:p>
      <w:pPr>
        <w:jc w:val="both"/>
        <w:ind w:left="620" w:hanging="307"/>
        <w:spacing w:after="0" w:line="266"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 in accounts receivable, including unbilled receivable and deferred revenue, contributed to a lower cash flow of $15.2 million in 2022 compared to 2021. Increase in accounts receivable was driven by revenue growth in 2022. Cash flows were also affected by our accounts receivable days sales outstanding, which increased to 61 days as of December 31, 2022 from 56 days as of December 31, 2021.</w:t>
      </w:r>
    </w:p>
    <w:p>
      <w:pPr>
        <w:spacing w:after="0" w:line="110" w:lineRule="exact"/>
        <w:rPr>
          <w:rFonts w:ascii="Arial" w:cs="Arial" w:eastAsia="Arial" w:hAnsi="Arial"/>
          <w:sz w:val="17"/>
          <w:szCs w:val="17"/>
          <w:color w:val="auto"/>
        </w:rPr>
      </w:pPr>
    </w:p>
    <w:p>
      <w:pPr>
        <w:jc w:val="both"/>
        <w:ind w:left="620" w:hanging="307"/>
        <w:spacing w:after="0" w:line="300" w:lineRule="auto"/>
        <w:tabs>
          <w:tab w:leader="none" w:pos="616"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Increase in employee-related payments, partially offset by an increase in accrued expenses, accounts payable and operating lease liabilities contributed to a higher cash outflow of $23.9 million in 2022 compared to 2021. The higher cash outflow was primarily due to higher payments for annual performance incentives and employee compensation aggregating to $40.9 million, partially offset by lower payments for operating expenses of $17.0 million in 2022.</w:t>
      </w:r>
    </w:p>
    <w:p>
      <w:pPr>
        <w:spacing w:after="0" w:line="100" w:lineRule="exact"/>
        <w:rPr>
          <w:rFonts w:ascii="Arial" w:cs="Arial" w:eastAsia="Arial" w:hAnsi="Arial"/>
          <w:sz w:val="15"/>
          <w:szCs w:val="15"/>
          <w:color w:val="auto"/>
        </w:rPr>
      </w:pPr>
    </w:p>
    <w:p>
      <w:pPr>
        <w:jc w:val="both"/>
        <w:ind w:left="620" w:hanging="307"/>
        <w:spacing w:after="0" w:line="290"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 in cash earnings including adjustments for non-cash and other items contributed higher cash flow of $19.4 million in 2022 compared to 2021. These adjustments comprise of depreciation and amortization of long-lived assets and intangibles acquired in business combinations, share-based employee compensation, unrealized foreign currency exchange gain/loss, mark-to-market adjustments on investments, among others.</w:t>
      </w:r>
    </w:p>
    <w:p>
      <w:pPr>
        <w:spacing w:after="0" w:line="326" w:lineRule="exact"/>
        <w:rPr>
          <w:sz w:val="20"/>
          <w:szCs w:val="20"/>
          <w:color w:val="auto"/>
        </w:rPr>
      </w:pPr>
    </w:p>
    <w:p>
      <w:pPr>
        <w:jc w:val="both"/>
        <w:ind w:firstLine="387"/>
        <w:spacing w:after="0" w:line="277"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Cash used for investing activities were $96.5 million for the year ended December 31, 2022 as compared to cash used for investing</w:t>
      </w:r>
      <w:r>
        <w:rPr>
          <w:rFonts w:ascii="Arial" w:cs="Arial" w:eastAsia="Arial" w:hAnsi="Arial"/>
          <w:sz w:val="15"/>
          <w:szCs w:val="15"/>
          <w:i w:val="1"/>
          <w:iCs w:val="1"/>
          <w:color w:val="auto"/>
        </w:rPr>
        <w:t xml:space="preserve"> </w:t>
      </w:r>
      <w:r>
        <w:rPr>
          <w:rFonts w:ascii="Arial" w:cs="Arial" w:eastAsia="Arial" w:hAnsi="Arial"/>
          <w:sz w:val="15"/>
          <w:szCs w:val="15"/>
          <w:color w:val="auto"/>
        </w:rPr>
        <w:t>activities of $114.3 million for the year ended December 31, 2021. The decrease of $17.7 million was primarily due to lower cash paid for business acquisitions of $3.9 million during the year ended December 31, 2022 as compared to $76.8 million during the year ended December 31, 2021. This was partially offset by higher cash paid for net purchase of investments of $48.1 million during the year ended December 31, 2022 as compared to net purchase of investments of $1.5 million during the year ended December 31, 2021, and higher cash paid for purchase of long-lived assets, including investments in infrastructure, technology assets, software and product developments of $8.6 million during the year ended December 31, 2022 compared to the year ended December 31, 2021.</w:t>
      </w:r>
    </w:p>
    <w:p>
      <w:pPr>
        <w:spacing w:after="0" w:line="185"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used for financing activities were $81.7 million during the year ended December 31, 2022 as compared to cash used for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of $146.9 million during the year ended December 31, 2021. The decrease of $65.2 million was primarily due to lower purchases of treasury stock by $45.7 million under our share repurchase program and net repayment of $10.0 million under our revolving credit facility during the year ended December 31, 2022 as compared to net repayments of $29.0 million during the year ended December 31, 2021.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We expect to use cash from operating activities to maintain and expand our business by making investments, primarily related to building new digital capabilities and purchase telecommunications equipment and computer hardware and software in connection with managing client operations.</w:t>
      </w:r>
    </w:p>
    <w:p>
      <w:pPr>
        <w:spacing w:after="0" w:line="11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incurred $44.8 million of capital expenditures during the year ended December 31, 2022. We expect to incur total capital expenditures of between $47 million to $52 million in 2023, primarily to meet our growth requirements, including additions to our facilities as well as investments in technology applications, product development, digital technology, advanced automation, robotics and infrastructure.</w:t>
      </w:r>
    </w:p>
    <w:p>
      <w:pPr>
        <w:spacing w:after="0" w:line="12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consolidated financial statements herein for further details).</w:t>
      </w:r>
    </w:p>
    <w:p>
      <w:pPr>
        <w:spacing w:after="0" w:line="111" w:lineRule="exact"/>
        <w:rPr>
          <w:sz w:val="20"/>
          <w:szCs w:val="20"/>
          <w:color w:val="auto"/>
        </w:rPr>
      </w:pPr>
    </w:p>
    <w:p>
      <w:pPr>
        <w:jc w:val="both"/>
        <w:ind w:firstLine="425"/>
        <w:spacing w:after="0" w:line="242" w:lineRule="auto"/>
        <w:rPr>
          <w:sz w:val="20"/>
          <w:szCs w:val="20"/>
          <w:color w:val="auto"/>
        </w:rPr>
      </w:pPr>
      <w:r>
        <w:rPr>
          <w:rFonts w:ascii="Arial" w:cs="Arial" w:eastAsia="Arial" w:hAnsi="Arial"/>
          <w:sz w:val="17"/>
          <w:szCs w:val="17"/>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purchases under our board-authorized stock repurchase program, which may require the use of significant cash resources and/or additional financing. We anticipate that we will continue to rely upon cash from operating activities to finance most of our above mentioned requirements, while if we have significant growth through acquisitions, we may need to obtain additional financing.</w:t>
      </w:r>
    </w:p>
    <w:p>
      <w:pPr>
        <w:spacing w:after="0" w:line="22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5"/>
          <w:szCs w:val="15"/>
          <w:color w:val="auto"/>
        </w:rPr>
        <w:t>In the normal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and uncertain tax positions. See Note 18- Borrowings, Note 20- Employee Benefit Plans, Note 21- Leases, Note 22- Income Taxes and Note 25- Commitments and Contingencies to our consolidated financial statements herein for further information on material cash requirements from known contractual and other obligations.</w:t>
      </w:r>
    </w:p>
    <w:p>
      <w:pPr>
        <w:spacing w:after="0" w:line="1" w:lineRule="exact"/>
        <w:rPr>
          <w:sz w:val="20"/>
          <w:szCs w:val="20"/>
          <w:color w:val="auto"/>
        </w:rPr>
      </w:pPr>
    </w:p>
    <w:p>
      <w:pPr>
        <w:jc w:val="both"/>
        <w:ind w:firstLine="387"/>
        <w:spacing w:after="0" w:line="236" w:lineRule="auto"/>
        <w:rPr>
          <w:sz w:val="20"/>
          <w:szCs w:val="20"/>
          <w:color w:val="auto"/>
        </w:rPr>
      </w:pPr>
      <w:r>
        <w:rPr>
          <w:rFonts w:ascii="Arial" w:cs="Arial" w:eastAsia="Arial" w:hAnsi="Arial"/>
          <w:sz w:val="17"/>
          <w:szCs w:val="17"/>
          <w:color w:val="auto"/>
        </w:rPr>
        <w:t>In the ordinary course of business, we provide standby letters of credit to third parties primarily for facility leases. As of December 31, 2022 and 2021, we had outstanding letters of credit of $0.5 million, each,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Arrangements (Debt Facility and Notes)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debt position:</w:t>
      </w:r>
    </w:p>
    <w:p>
      <w:pPr>
        <w:spacing w:after="0" w:line="233"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8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Pr>
          <w:p>
            <w:pPr>
              <w:spacing w:after="0"/>
              <w:rPr>
                <w:sz w:val="15"/>
                <w:szCs w:val="15"/>
                <w:color w:val="auto"/>
              </w:rPr>
            </w:pPr>
          </w:p>
        </w:tc>
      </w:tr>
      <w:tr>
        <w:trPr>
          <w:trHeight w:val="24"/>
        </w:trPr>
        <w:tc>
          <w:tcPr>
            <w:tcW w:w="40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2"/>
        </w:trPr>
        <w:tc>
          <w:tcPr>
            <w:tcW w:w="4020" w:type="dxa"/>
            <w:vAlign w:val="bottom"/>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r>
      <w:tr>
        <w:trPr>
          <w:trHeight w:val="179"/>
        </w:trPr>
        <w:tc>
          <w:tcPr>
            <w:tcW w:w="40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(dollars in millions)</w:t>
            </w:r>
          </w:p>
        </w:tc>
        <w:tc>
          <w:tcPr>
            <w:tcW w:w="660" w:type="dxa"/>
            <w:vAlign w:val="bottom"/>
            <w:tcBorders>
              <w:bottom w:val="single" w:sz="8" w:color="auto"/>
            </w:tcBorders>
          </w:tcPr>
          <w:p>
            <w:pPr>
              <w:spacing w:after="0"/>
              <w:rPr>
                <w:sz w:val="15"/>
                <w:szCs w:val="15"/>
                <w:color w:val="auto"/>
              </w:rPr>
            </w:pPr>
          </w:p>
        </w:tc>
      </w:tr>
      <w:tr>
        <w:trPr>
          <w:trHeight w:val="168"/>
        </w:trPr>
        <w:tc>
          <w:tcPr>
            <w:tcW w:w="40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w w:val="96"/>
              </w:rPr>
              <w:t>Revolving credit facility</w:t>
            </w:r>
          </w:p>
        </w:tc>
        <w:tc>
          <w:tcPr>
            <w:tcW w:w="660" w:type="dxa"/>
            <w:vAlign w:val="bottom"/>
            <w:tcBorders>
              <w:bottom w:val="single" w:sz="8" w:color="auto"/>
            </w:tcBorders>
          </w:tcPr>
          <w:p>
            <w:pPr>
              <w:spacing w:after="0"/>
              <w:rPr>
                <w:sz w:val="14"/>
                <w:szCs w:val="14"/>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long-term borrowings</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30.0</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54"/>
              <w:spacing w:after="0"/>
              <w:rPr>
                <w:sz w:val="20"/>
                <w:szCs w:val="20"/>
                <w:color w:val="auto"/>
              </w:rPr>
            </w:pPr>
            <w:r>
              <w:rPr>
                <w:rFonts w:ascii="Arial" w:cs="Arial" w:eastAsia="Arial" w:hAnsi="Arial"/>
                <w:sz w:val="17"/>
                <w:szCs w:val="17"/>
                <w:b w:val="1"/>
                <w:bCs w:val="1"/>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260.0</w:t>
            </w:r>
          </w:p>
        </w:tc>
      </w:tr>
      <w:tr>
        <w:trPr>
          <w:trHeight w:val="206"/>
        </w:trPr>
        <w:tc>
          <w:tcPr>
            <w:tcW w:w="4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borrowings</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220.0</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86"/>
        </w:trPr>
        <w:tc>
          <w:tcPr>
            <w:tcW w:w="4020" w:type="dxa"/>
            <w:vAlign w:val="bottom"/>
          </w:tcPr>
          <w:p>
            <w:pPr>
              <w:ind w:left="20"/>
              <w:spacing w:after="0" w:line="186" w:lineRule="exact"/>
              <w:rPr>
                <w:sz w:val="20"/>
                <w:szCs w:val="20"/>
                <w:color w:val="auto"/>
              </w:rPr>
            </w:pPr>
            <w:r>
              <w:rPr>
                <w:rFonts w:ascii="Arial" w:cs="Arial" w:eastAsia="Arial" w:hAnsi="Arial"/>
                <w:sz w:val="17"/>
                <w:szCs w:val="17"/>
                <w:b w:val="1"/>
                <w:bCs w:val="1"/>
                <w:color w:val="auto"/>
              </w:rPr>
              <w:t>Total borrowings</w:t>
            </w:r>
          </w:p>
        </w:tc>
        <w:tc>
          <w:tcPr>
            <w:tcW w:w="1080" w:type="dxa"/>
            <w:vAlign w:val="bottom"/>
            <w:tcBorders>
              <w:bottom w:val="single" w:sz="8" w:color="auto"/>
            </w:tcBorders>
          </w:tcPr>
          <w:p>
            <w:pPr>
              <w:jc w:val="right"/>
              <w:ind w:right="894"/>
              <w:spacing w:after="0" w:line="186" w:lineRule="exact"/>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auto"/>
            </w:tcBorders>
          </w:tcPr>
          <w:p>
            <w:pPr>
              <w:jc w:val="right"/>
              <w:ind w:right="3"/>
              <w:spacing w:after="0" w:line="186" w:lineRule="exact"/>
              <w:rPr>
                <w:sz w:val="20"/>
                <w:szCs w:val="20"/>
                <w:color w:val="auto"/>
              </w:rPr>
            </w:pPr>
            <w:r>
              <w:rPr>
                <w:rFonts w:ascii="Arial" w:cs="Arial" w:eastAsia="Arial" w:hAnsi="Arial"/>
                <w:sz w:val="17"/>
                <w:szCs w:val="17"/>
                <w:b w:val="1"/>
                <w:bCs w:val="1"/>
                <w:color w:val="auto"/>
              </w:rPr>
              <w:t>250.0</w:t>
            </w:r>
          </w:p>
        </w:tc>
        <w:tc>
          <w:tcPr>
            <w:tcW w:w="80" w:type="dxa"/>
            <w:vAlign w:val="bottom"/>
          </w:tcPr>
          <w:p>
            <w:pPr>
              <w:spacing w:after="0"/>
              <w:rPr>
                <w:sz w:val="16"/>
                <w:szCs w:val="16"/>
                <w:color w:val="auto"/>
              </w:rPr>
            </w:pPr>
          </w:p>
        </w:tc>
        <w:tc>
          <w:tcPr>
            <w:tcW w:w="1440" w:type="dxa"/>
            <w:vAlign w:val="bottom"/>
            <w:tcBorders>
              <w:bottom w:val="single" w:sz="8" w:color="auto"/>
            </w:tcBorders>
          </w:tcPr>
          <w:p>
            <w:pPr>
              <w:jc w:val="right"/>
              <w:ind w:right="1254"/>
              <w:spacing w:after="0" w:line="186" w:lineRule="exact"/>
              <w:rPr>
                <w:sz w:val="20"/>
                <w:szCs w:val="20"/>
                <w:color w:val="auto"/>
              </w:rPr>
            </w:pPr>
            <w:r>
              <w:rPr>
                <w:rFonts w:ascii="Arial" w:cs="Arial" w:eastAsia="Arial" w:hAnsi="Arial"/>
                <w:sz w:val="17"/>
                <w:szCs w:val="17"/>
                <w:b w:val="1"/>
                <w:bCs w:val="1"/>
                <w:color w:val="auto"/>
                <w:w w:val="84"/>
              </w:rPr>
              <w:t>$</w:t>
            </w:r>
          </w:p>
        </w:tc>
        <w:tc>
          <w:tcPr>
            <w:tcW w:w="6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b w:val="1"/>
                <w:bCs w:val="1"/>
                <w:color w:val="auto"/>
              </w:rPr>
              <w:t>260.0</w:t>
            </w:r>
          </w:p>
        </w:tc>
      </w:tr>
      <w:tr>
        <w:trPr>
          <w:trHeight w:val="20"/>
        </w:trPr>
        <w:tc>
          <w:tcPr>
            <w:tcW w:w="4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Unamortized debt issuance costs for our revolving credit facility of $1.2 million and $0.2 million as of December 31, 2022 and December 31, 2021, respectively, are presented under “Other current assets” and “Other assets,” as applicable in our consolidated balance sheets.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153"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We held a $300.0 million revolving credit facility pursuant to our credit agreement (the “Credit Agreement”), dated as of November 21, 2017 with certain lenders and Citibank N.A. as Administrative Agent. The revolving credit facility originally had a maturity date of November 21, 2022 and was voluntarily pre-payable from time to time without premium or penalty.</w:t>
      </w:r>
    </w:p>
    <w:p>
      <w:pPr>
        <w:spacing w:after="0" w:line="201"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On April 18, 2022, we and each of our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3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credit commitments available is equal to $400.0 million; (b) extends the maturity date of the revolving credit facility from November 21, 2022 to April 18, 2027; and (c) replaces London Inter-Bank Offered Rate (“LIBOR”) with Secured Overnight Financing Rate (“SOFR”) as the reference rate for the U.S. dollar borrowings.</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2022 Credit Agreement provides an option to increase the commitments by up to $200.0 million, subject to certain approvals and conditions. The 2022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includes a letter of credit sub facility and is voluntarily pre-payable from time to time without premium or penalty. Borrowings under the 2022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Credit Agreement can be used for working capital and general corporate purposes, including permitted acquisitions.</w:t>
      </w:r>
    </w:p>
    <w:p>
      <w:pPr>
        <w:spacing w:after="0" w:line="280" w:lineRule="exact"/>
        <w:rPr>
          <w:sz w:val="20"/>
          <w:szCs w:val="20"/>
          <w:color w:val="auto"/>
        </w:rPr>
      </w:pPr>
    </w:p>
    <w:p>
      <w:pPr>
        <w:jc w:val="both"/>
        <w:ind w:firstLine="387"/>
        <w:spacing w:after="0" w:line="239" w:lineRule="auto"/>
        <w:rPr>
          <w:sz w:val="20"/>
          <w:szCs w:val="20"/>
          <w:color w:val="auto"/>
        </w:rPr>
      </w:pPr>
      <w:r>
        <w:rPr>
          <w:rFonts w:ascii="Arial" w:cs="Arial" w:eastAsia="Arial" w:hAnsi="Arial"/>
          <w:sz w:val="17"/>
          <w:szCs w:val="17"/>
          <w:color w:val="auto"/>
        </w:rPr>
        <w:t>Obligations under the 2022 Credit Agreement are guaranteed by our material domestic subsidiaries and are secured by all or substantially all of our and our material domestic subsidiaries’ assets.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2022 Credit Agreement contains a covenant to not permit the interest coverage ratio or the total net leverage ratio, both as defined for the four consecutive quarter period ending on the last day of each fiscal quarter, to be less than 3.0 to 1.0 or more than 3.5 to 1.0, respectively.</w:t>
      </w:r>
    </w:p>
    <w:p>
      <w:pPr>
        <w:spacing w:after="0" w:line="147"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6"/>
          <w:szCs w:val="16"/>
          <w:color w:val="auto"/>
        </w:rPr>
        <w:t>The 2022 Credit Agreement bears interest at a rate equal to specified prime rate (alternate base rate) or adjusted SOFR, plus, in each case, an applicable margin. The applicable margin is tied to our total net leverage ratio and ranges from 0% to 0.75% per annum on loans pegged to the specified prime rate, and 0.88% to 1.75% per annum on loans pegged to the adjusted SOFR. The revolving credit commitments under the 2022 Credit Agreement are subject to a commitment fee which is also tied to our total net leverage ratio, and ranges from 0.13% to 0.28% per annum on the average daily amount by which the aggregate revolving commitments exceed the sum of outstanding revolving loans and letter of credit obligations.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revolving credit facility carried an effective interest rate as shown below:-</w:t>
      </w:r>
    </w:p>
    <w:p>
      <w:pPr>
        <w:spacing w:after="0" w:line="203" w:lineRule="exact"/>
        <w:rPr>
          <w:sz w:val="20"/>
          <w:szCs w:val="20"/>
          <w:color w:val="auto"/>
        </w:rPr>
      </w:pPr>
    </w:p>
    <w:p>
      <w:pPr>
        <w:ind w:left="6740"/>
        <w:spacing w:after="0"/>
        <w:rPr>
          <w:sz w:val="20"/>
          <w:szCs w:val="20"/>
          <w:color w:val="auto"/>
        </w:rPr>
      </w:pPr>
      <w:r>
        <w:rPr>
          <w:rFonts w:ascii="Arial" w:cs="Arial" w:eastAsia="Arial" w:hAnsi="Arial"/>
          <w:sz w:val="15"/>
          <w:szCs w:val="15"/>
          <w:b w:val="1"/>
          <w:bCs w:val="1"/>
          <w:color w:val="auto"/>
        </w:rPr>
        <w:t>Year ended December 31,</w:t>
      </w:r>
    </w:p>
    <w:p>
      <w:pPr>
        <w:spacing w:after="0" w:line="29" w:lineRule="exact"/>
        <w:rPr>
          <w:sz w:val="20"/>
          <w:szCs w:val="20"/>
          <w:color w:val="auto"/>
        </w:rPr>
      </w:pPr>
    </w:p>
    <w:tbl>
      <w:tblPr>
        <w:tblLayout w:type="fixed"/>
        <w:tblInd w:w="1000" w:type="dxa"/>
        <w:tblCellMar>
          <w:top w:w="0" w:type="dxa"/>
          <w:left w:w="0" w:type="dxa"/>
          <w:bottom w:w="0" w:type="dxa"/>
          <w:right w:w="0" w:type="dxa"/>
        </w:tblCellMar>
      </w:tblPr>
      <w:tr>
        <w:trPr>
          <w:trHeight w:val="218"/>
        </w:trPr>
        <w:tc>
          <w:tcPr>
            <w:tcW w:w="50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r>
      <w:tr>
        <w:trPr>
          <w:trHeight w:val="212"/>
        </w:trPr>
        <w:tc>
          <w:tcPr>
            <w:tcW w:w="6100" w:type="dxa"/>
            <w:vAlign w:val="bottom"/>
            <w:gridSpan w:val="2"/>
            <w:shd w:val="clear" w:color="auto" w:fill="CCEEFF"/>
          </w:tcPr>
          <w:p>
            <w:pPr>
              <w:jc w:val="right"/>
              <w:ind w:right="4514"/>
              <w:spacing w:after="0"/>
              <w:rPr>
                <w:sz w:val="20"/>
                <w:szCs w:val="20"/>
                <w:color w:val="auto"/>
              </w:rPr>
            </w:pPr>
            <w:r>
              <w:rPr>
                <w:rFonts w:ascii="Arial" w:cs="Arial" w:eastAsia="Arial" w:hAnsi="Arial"/>
                <w:sz w:val="17"/>
                <w:szCs w:val="17"/>
                <w:color w:val="auto"/>
                <w:w w:val="92"/>
              </w:rPr>
              <w:t>Effective interest rate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r>
    </w:tbl>
    <w:p>
      <w:pPr>
        <w:spacing w:after="0" w:line="129"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As of December 31, 2022 and 2021, we were in compliance with all financial and non-financial covenants listed under the applicable revolving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165"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On October 1, 2018, we entered into an investment agreement with Orogen Echo LLC (the “Purchaser”), an affiliate of The Orogen Group LLC, relating to the issuance to the Purchaser of $150.0 million, in an aggregate principal amount (the “Notes”). The Notes carried interest at a rate of 3.5% per annum, payable semi-annually in arrears in cash on April 1 and October 1 of each year. The Notes were convertible at an initial conversion rate of 13.3333 shares of the common stock per one thousand dollar principal amount of the Notes (which represents an initial conversion price of approximately $75 per share).</w:t>
      </w:r>
    </w:p>
    <w:p>
      <w:pPr>
        <w:spacing w:after="0" w:line="99"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On August 27, 2021, we entered into a Payoff and Termination Agreement with the Purchaser, pursuant to which we prepaid and settled our outstanding obligations under the Notes for an aggregate consideration of $236.7 million in the form of a combination of cash and shares of our common stock. See Note 18 - Borrowings to our consolidated financial statements herein for further details.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For a description of recent accounting pronouncements, see Note 2 - Summary of Significant Accounting Policies - Recent Accounting Pronouncements to our consolidated financial statements contained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65"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Market risk is the volatility of future earnings and cash flows that may result from changes in interest rates and foreign currency exchange rates.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26"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7"/>
          <w:szCs w:val="17"/>
          <w:color w:val="auto"/>
        </w:rPr>
        <w:t>Our exposure to market risk is a function of our expenses and revenue generating activities in foreign currencies. The objective of market risk management is to avoid excessive exposure of our earnings and equity to such market driven losses. We manage market risk through our treasury operations using financial instruments. Our senior management and our board of directors approve our treasury operations’ objectives and policies. The responsibilities of our treasury operations include management of cash resources, implementing hedging strategies for foreign currency exposures, borrowing strategies and ensuring compliance with market risk limits and policies.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Components of Market Risk</w:t>
      </w:r>
    </w:p>
    <w:p>
      <w:pPr>
        <w:spacing w:after="0" w:line="165" w:lineRule="exact"/>
        <w:rPr>
          <w:sz w:val="20"/>
          <w:szCs w:val="20"/>
          <w:color w:val="auto"/>
        </w:rPr>
      </w:pPr>
    </w:p>
    <w:p>
      <w:pPr>
        <w:jc w:val="both"/>
        <w:ind w:firstLine="425"/>
        <w:spacing w:after="0" w:line="258" w:lineRule="auto"/>
        <w:rPr>
          <w:sz w:val="20"/>
          <w:szCs w:val="20"/>
          <w:color w:val="auto"/>
        </w:rPr>
      </w:pPr>
      <w:r>
        <w:rPr>
          <w:rFonts w:ascii="Arial" w:cs="Arial" w:eastAsia="Arial" w:hAnsi="Arial"/>
          <w:sz w:val="17"/>
          <w:szCs w:val="17"/>
          <w:b w:val="1"/>
          <w:bCs w:val="1"/>
          <w:i w:val="1"/>
          <w:iCs w:val="1"/>
          <w:color w:val="auto"/>
        </w:rPr>
        <w:t xml:space="preserve">Foreign Currency Risk. </w:t>
      </w:r>
      <w:r>
        <w:rPr>
          <w:rFonts w:ascii="Arial" w:cs="Arial" w:eastAsia="Arial" w:hAnsi="Arial"/>
          <w:sz w:val="17"/>
          <w:szCs w:val="17"/>
          <w:color w:val="auto"/>
        </w:rPr>
        <w:t>We are exposed to foreign currency exchange rate risk. Our revenues are primarily denominated in the U.S. dollar representing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88.2% of our total revenues and the U.K. pound sterling representing 8.6% of our total revenues in the year ended December 31, 2022. However, a significant portion of our total expenses are incurred and paid in the Indian rupee, the Philippine peso and the U.K. pound sterling, representing 29.1%, 8.2% and 3.0%, respectively, of our total expenses in the year ended December 31, 2022. We also incur expenses in the U.S. dollar and currencies of other countries in which we have operations. The exchange rates among the Indian rupee, the Philippine peso, the U.K. pound sterling and the U.S. dollar have changed substantially in recent years and may fluctuate substantially in the future.</w:t>
      </w:r>
    </w:p>
    <w:p>
      <w:pPr>
        <w:spacing w:after="0" w:line="132" w:lineRule="exact"/>
        <w:rPr>
          <w:sz w:val="20"/>
          <w:szCs w:val="20"/>
          <w:color w:val="auto"/>
        </w:rPr>
      </w:pPr>
    </w:p>
    <w:p>
      <w:pPr>
        <w:jc w:val="both"/>
        <w:ind w:firstLine="425"/>
        <w:spacing w:after="0" w:line="273" w:lineRule="auto"/>
        <w:rPr>
          <w:sz w:val="20"/>
          <w:szCs w:val="20"/>
          <w:color w:val="auto"/>
        </w:rPr>
      </w:pPr>
      <w:r>
        <w:rPr>
          <w:rFonts w:ascii="Arial" w:cs="Arial" w:eastAsia="Arial" w:hAnsi="Arial"/>
          <w:sz w:val="16"/>
          <w:szCs w:val="16"/>
          <w:color w:val="auto"/>
        </w:rPr>
        <w:t>Our foreign currency exchange rate risk primarily arises from our foreign currency revenues, expenses incurred by our foreign subsidiaries and foreign currency accounts receivable and payable. The average exchange rate of the U.S dollar against the Indian rupee increased from 73.88 during the year ended December 31, 2021 to 78.81 during the year ended December 31, 2022, representing a depreciation of 6.7% against the U.S dollar. The average exchange rate of the U.S dollar against the Philippine peso increased from 49.36 during the year ended December 31, 2021 to 54.47 during the year ended December 31, 2022, representing a depreciation of 10.4% against the U.S dollar. The average exchange rate of the U.K. pound sterling against the U.S. dollar decreased from 1.38 during the year ended December 31, 2021 to 1.23 during the year ended December 31, 2022, representing a depreciation of 10.5% against the U.S dollar. Based upon our level of operations during the year ended December 31, 2022 and excluding any hedging arrangements that we had in place during that period, a 10% appreciation/depreciation in the Indian rupee, the Philippine peso and the U.K. pound sterling against the U.S. dollar would have increased/decreased our revenues by approximately $6.9 million, $0.5 million and $6.5 million, respectively and increased/decreased our expenses incurred and paid by approximately $35.5 million, $10.0 million and $3.6 million, respectively in the year ended December 31, 2022.</w:t>
      </w:r>
    </w:p>
    <w:p>
      <w:pPr>
        <w:spacing w:after="0" w:line="125" w:lineRule="exact"/>
        <w:rPr>
          <w:sz w:val="20"/>
          <w:szCs w:val="20"/>
          <w:color w:val="auto"/>
        </w:rPr>
      </w:pPr>
    </w:p>
    <w:p>
      <w:pPr>
        <w:jc w:val="both"/>
        <w:ind w:firstLine="425"/>
        <w:spacing w:after="0" w:line="276" w:lineRule="auto"/>
        <w:rPr>
          <w:sz w:val="20"/>
          <w:szCs w:val="20"/>
          <w:color w:val="auto"/>
        </w:rPr>
      </w:pPr>
      <w:r>
        <w:rPr>
          <w:rFonts w:ascii="Arial" w:cs="Arial" w:eastAsia="Arial" w:hAnsi="Arial"/>
          <w:sz w:val="16"/>
          <w:szCs w:val="16"/>
          <w:color w:val="auto"/>
        </w:rPr>
        <w:t>In order to mitigate our exposure to foreign currency fluctuation risks and minimize the earnings and cash flow volatility associated with forecasted transactions denominated in certain foreign currencies, we enter into foreign currency forward contracts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As such, we may not purchase adequate contracts to insulate ourselves from the foreign exchange currency risks. In addition, any such contracts may not perform effectively as a hedging mechanism. We may, in the future, make changes to our hedging policies, and have done so in the past. The principal foreign currencies that are hedged are the Indian rupee and the Philippine peso.</w:t>
      </w:r>
    </w:p>
    <w:p>
      <w:pPr>
        <w:spacing w:after="0" w:line="118" w:lineRule="exact"/>
        <w:rPr>
          <w:sz w:val="20"/>
          <w:szCs w:val="20"/>
          <w:color w:val="auto"/>
        </w:rPr>
      </w:pPr>
    </w:p>
    <w:p>
      <w:pPr>
        <w:jc w:val="both"/>
        <w:ind w:firstLine="425"/>
        <w:spacing w:after="0" w:line="290" w:lineRule="auto"/>
        <w:rPr>
          <w:sz w:val="20"/>
          <w:szCs w:val="20"/>
          <w:color w:val="auto"/>
        </w:rPr>
      </w:pPr>
      <w:r>
        <w:rPr>
          <w:rFonts w:ascii="Arial" w:cs="Arial" w:eastAsia="Arial" w:hAnsi="Arial"/>
          <w:sz w:val="16"/>
          <w:szCs w:val="16"/>
          <w:color w:val="auto"/>
        </w:rPr>
        <w:t>The impact related to these foreign currency forward contracts on earnings and/or cash flows is immaterial as the impact of the maturing cash flow hedges in respective periods are intended to primarily offset the foreign currency impact on the related expenses. Further, some of our client contracts include protection against foreign currency exchange rate fluctuations which minimizes the impact of volatility in the exchange rates on our operating results.</w:t>
      </w:r>
    </w:p>
    <w:p>
      <w:pPr>
        <w:spacing w:after="0" w:line="107"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7"/>
          <w:szCs w:val="17"/>
          <w:color w:val="auto"/>
        </w:rPr>
        <w:t>Cash flow hedges with notional amounts of $841.6 million and $514.6 million were outstanding as of December 31, 2022 and 2021, respectively, with the maximum outstanding term of approximately 45 months. The mark-to-market gain/(loss), net upon fair valuation of outstanding cash flow hedges as of December 31, 2022 and 2021 was $(14.2) million and $11.9 million, respectively, and is included in “Accumulated other comprehensive income/(loss)” on our consolidated balance sheets. During the year ended December 31, 2022 and 2021, we recognized $(4.3) million and $10.0 million, respectively, as foreign exchange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(loss)/gain from the maturing cash flow hedges, which was largely offset by the foreign exchange translation gain/(loss) on the related expenses.</w:t>
      </w:r>
    </w:p>
    <w:p>
      <w:pPr>
        <w:spacing w:after="0" w:line="165" w:lineRule="exact"/>
        <w:rPr>
          <w:sz w:val="20"/>
          <w:szCs w:val="20"/>
          <w:color w:val="auto"/>
        </w:rPr>
      </w:pPr>
    </w:p>
    <w:p>
      <w:pPr>
        <w:jc w:val="both"/>
        <w:ind w:firstLine="425"/>
        <w:spacing w:after="0" w:line="296" w:lineRule="auto"/>
        <w:rPr>
          <w:sz w:val="20"/>
          <w:szCs w:val="20"/>
          <w:color w:val="auto"/>
        </w:rPr>
      </w:pPr>
      <w:r>
        <w:rPr>
          <w:rFonts w:ascii="Arial" w:cs="Arial" w:eastAsia="Arial" w:hAnsi="Arial"/>
          <w:sz w:val="15"/>
          <w:szCs w:val="15"/>
          <w:color w:val="auto"/>
        </w:rPr>
        <w:t>We also enter into foreign currency forward contracts to hedge our intercompany balances and other monetary assets and liabilities denominated in currencies other than functional currencies</w:t>
      </w:r>
      <w:r>
        <w:rPr>
          <w:rFonts w:ascii="Arial" w:cs="Arial" w:eastAsia="Arial" w:hAnsi="Arial"/>
          <w:sz w:val="16"/>
          <w:szCs w:val="16"/>
          <w:color w:val="auto"/>
        </w:rPr>
        <w:t>,</w:t>
      </w:r>
      <w:r>
        <w:rPr>
          <w:rFonts w:ascii="Arial" w:cs="Arial" w:eastAsia="Arial" w:hAnsi="Arial"/>
          <w:sz w:val="15"/>
          <w:szCs w:val="15"/>
          <w:color w:val="auto"/>
        </w:rPr>
        <w:t xml:space="preserve"> against the risk of fluctuations in foreign currency exchange rates associated with remeasurement of such assets and liabilities to functional currency. These foreign currency forward contracts do not qualify as fair value hedges under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Changes in the fair value of these financial instruments are recognized in our consolidated statements of income and are included in “Foreign exchange gain, net.” These financial instruments mitigate balance sheet risk due to foreign currency exchange rate movements as gains and losses on the settlement of these financial instruments are intended to offset the revaluation gains and losses on the foreign currency denominated monetary assets and monetary liabilities being hedged. Foreign currency forward contracts with notional amounts of USD 164.0 million, GBP 8.4 million, EUR 2.0 million and AUD 2.0 million were outstanding as of</w:t>
      </w:r>
    </w:p>
    <w:p>
      <w:pPr>
        <w:spacing w:after="0" w:line="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December 31, 2022 compared to USD 134.6 million, GBP 6.8 million, EUR 1.3 million and COP 2,541.9 million outstanding as of December 31, 2021. The fair values of these financial instruments as of December 31, 2022 and 2021 were insignificant and are included in the “Foreign exchange gain, net” in our consolidated statements of income. As of December 31, 2022 and 2021, the outstanding derivative instruments had maturities of a maximum of 31 days, each.</w:t>
      </w:r>
    </w:p>
    <w:p>
      <w:pPr>
        <w:spacing w:after="0" w:line="94" w:lineRule="exact"/>
        <w:rPr>
          <w:sz w:val="20"/>
          <w:szCs w:val="20"/>
          <w:color w:val="auto"/>
        </w:rPr>
      </w:pPr>
    </w:p>
    <w:p>
      <w:pPr>
        <w:jc w:val="both"/>
        <w:ind w:firstLine="425"/>
        <w:spacing w:after="0" w:line="233" w:lineRule="auto"/>
        <w:rPr>
          <w:sz w:val="20"/>
          <w:szCs w:val="20"/>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are also exposed to interest rate risk arising from our indebtedness. In order to mitigate our exposure to fluctuations in interest 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minimize the earnings and cash flow volatility associated with floating rate indebtedness, we enter into interest rate swaps to hedge cash flow risks on our revolving credit facility having floating interest rate obligations. The swap transaction involves the exchange of fixed for floating interest payments. However, in circumstances where we believe additional fixed-rate debt would be beneficial, we may choose to terminate a previously executed swap, or swap certain floating interest payments to fixed.</w:t>
      </w:r>
    </w:p>
    <w:p>
      <w:pPr>
        <w:spacing w:after="0" w:line="121" w:lineRule="exact"/>
        <w:rPr>
          <w:sz w:val="20"/>
          <w:szCs w:val="20"/>
          <w:color w:val="auto"/>
        </w:rPr>
      </w:pPr>
    </w:p>
    <w:p>
      <w:pPr>
        <w:jc w:val="both"/>
        <w:ind w:firstLine="425"/>
        <w:spacing w:after="0" w:line="232" w:lineRule="auto"/>
        <w:rPr>
          <w:sz w:val="20"/>
          <w:szCs w:val="20"/>
          <w:color w:val="auto"/>
        </w:rPr>
      </w:pPr>
      <w:r>
        <w:rPr>
          <w:rFonts w:ascii="Arial" w:cs="Arial" w:eastAsia="Arial" w:hAnsi="Arial"/>
          <w:sz w:val="17"/>
          <w:szCs w:val="17"/>
          <w:color w:val="auto"/>
        </w:rPr>
        <w:t>As described in Part II, Item 7, “Management’s Discussion and Analysis of Financial Condition and Results of Operations,” we held our $300.0 million revolving credit facility and a letter of credit sub-facility pursuant to our Credit Agreement dated November 21, 2017. The revolving credit facility originally had a maturity date of November 21, 2022 and was voluntarily pre-payable from time to time without premium or penalty. On April 18, 2022, we entered into an Amendment and Restatement Agreement with Citibank, N.A. as Administrative Agent and certain lenders (the “2022 Credit Agreement”), that provides for a $400.0 million revolving credit facility and a letter of credit sub-facility. We have an option to increase the commitments under the 2022 Credit Agreement by up to an additional $200.0 million. The revolving credit facility has a maturity date of April 18, 2027 and is voluntarily pre-payable from time to time without premium or penalty.</w:t>
      </w:r>
    </w:p>
    <w:p>
      <w:pPr>
        <w:spacing w:after="0" w:line="121" w:lineRule="exact"/>
        <w:rPr>
          <w:sz w:val="20"/>
          <w:szCs w:val="20"/>
          <w:color w:val="auto"/>
        </w:rPr>
      </w:pPr>
    </w:p>
    <w:p>
      <w:pPr>
        <w:jc w:val="both"/>
        <w:ind w:firstLine="425"/>
        <w:spacing w:after="0" w:line="247" w:lineRule="auto"/>
        <w:rPr>
          <w:sz w:val="20"/>
          <w:szCs w:val="20"/>
          <w:color w:val="auto"/>
        </w:rPr>
      </w:pPr>
      <w:r>
        <w:rPr>
          <w:rFonts w:ascii="Arial" w:cs="Arial" w:eastAsia="Arial" w:hAnsi="Arial"/>
          <w:sz w:val="16"/>
          <w:szCs w:val="16"/>
          <w:color w:val="auto"/>
        </w:rPr>
        <w:t>The 2022 Credit Agreement bears interest at a rate equal to specified prime rate (alternate base rate) or adjusted SOFR plus, in each case, an applicable margin. The applicable margin is tied to our total net leverage ratio and ranges from 0% to 0.75% per annum on loans pegged to the specified prime rate, and 0.88% to 1.75% per annum on loans pegged to the adjusted SOFR. The revolving credit commitments under 2022 Credit Agreement are subject to a commitment fee which is also tied to our total net leverage ratio, and ranges from 0.13% to 0.28% per annum on the average daily amount by which the aggregate revolving commitments exceed the sum of outstanding revolving loans and letter of credit obligations. A 50 basis point increase or decrease in interest rates would have impacted our interest expense for the year ended December 31, 2022 by approximately $1.4 million.</w:t>
      </w:r>
    </w:p>
    <w:p>
      <w:pPr>
        <w:spacing w:after="0" w:line="127" w:lineRule="exact"/>
        <w:rPr>
          <w:sz w:val="20"/>
          <w:szCs w:val="20"/>
          <w:color w:val="auto"/>
        </w:rPr>
      </w:pPr>
    </w:p>
    <w:p>
      <w:pPr>
        <w:jc w:val="both"/>
        <w:ind w:firstLine="425"/>
        <w:spacing w:after="0" w:line="236" w:lineRule="auto"/>
        <w:rPr>
          <w:sz w:val="20"/>
          <w:szCs w:val="20"/>
          <w:color w:val="auto"/>
        </w:rPr>
      </w:pPr>
      <w:r>
        <w:rPr>
          <w:rFonts w:ascii="Arial" w:cs="Arial" w:eastAsia="Arial" w:hAnsi="Arial"/>
          <w:sz w:val="17"/>
          <w:szCs w:val="17"/>
          <w:color w:val="auto"/>
        </w:rPr>
        <w:t>We manage a portion of our interest rate risk related to our revolving credit facility having variable interest rate obligations by entering into interest rate swaps under which we receive floating rate payments based on SOFR and make payments based on a fixed rate. As of December 31, 2022 and 2021, we had outstanding interest rate swaps having a notional amount of $75.0 million and $nil, respectively.</w:t>
      </w:r>
    </w:p>
    <w:p>
      <w:pPr>
        <w:spacing w:after="0" w:line="120" w:lineRule="exact"/>
        <w:rPr>
          <w:sz w:val="20"/>
          <w:szCs w:val="20"/>
          <w:color w:val="auto"/>
        </w:rPr>
      </w:pPr>
    </w:p>
    <w:p>
      <w:pPr>
        <w:jc w:val="both"/>
        <w:ind w:firstLine="425"/>
        <w:spacing w:after="0" w:line="248" w:lineRule="auto"/>
        <w:rPr>
          <w:sz w:val="20"/>
          <w:szCs w:val="20"/>
          <w:color w:val="auto"/>
        </w:rPr>
      </w:pPr>
      <w:r>
        <w:rPr>
          <w:rFonts w:ascii="Arial" w:cs="Arial" w:eastAsia="Arial" w:hAnsi="Arial"/>
          <w:sz w:val="16"/>
          <w:szCs w:val="16"/>
          <w:color w:val="auto"/>
        </w:rPr>
        <w:t>We had cash, cash equivalents and short-term investments totaling $297.7 million and $314.8 million as of December 31, 2022 and 2021, respectively. These amounts were invested principally in a short-term investment portfolio primarily comprised of highly-rated debt mutual funds, money market funds and time deposits. The cash and cash equivalents are held for potential acquisitions of complementary businesses or assets, capital expenditures, working capital requirements and general corporate purposes. We do not enter into these investments for trading or speculative purposes. We believe that we have no material exposure to changes in the fair value of our investment portfolio as a result of changes in interest rates. The interest income from these funds is subject to fluctuations due to changes in interest rates. Declines in interest rates would reduce our future investment income. A 50 basis point increase or decrease in short term rates would have impacted our interest and dividend income for the year ended December 31, 2022 by approximately $1.0 million.</w:t>
      </w:r>
    </w:p>
    <w:p>
      <w:pPr>
        <w:spacing w:after="0" w:line="126"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b w:val="1"/>
          <w:bCs w:val="1"/>
          <w:i w:val="1"/>
          <w:iCs w:val="1"/>
          <w:color w:val="auto"/>
        </w:rPr>
        <w:t xml:space="preserve">Credit Risk. </w:t>
      </w:r>
      <w:r>
        <w:rPr>
          <w:rFonts w:ascii="Arial" w:cs="Arial" w:eastAsia="Arial" w:hAnsi="Arial"/>
          <w:sz w:val="17"/>
          <w:szCs w:val="17"/>
          <w:color w:val="auto"/>
        </w:rPr>
        <w:t>As of December 31, 2022 and 2021, we have accounts receivable, net of $259.2 million and $194.2 million, respectively. We believe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policies reflect normal industry terms and business risk. We do not anticipate non-performance by the counterparties and, accordingly, do not require collateral. Credit losses and write-offs of accounts receivable balances historically have not been material. No single client owed more than 10% of our accounts receivable, net as on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4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49" w:lineRule="exact"/>
        <w:rPr>
          <w:sz w:val="20"/>
          <w:szCs w:val="20"/>
          <w:color w:val="auto"/>
        </w:rPr>
      </w:pPr>
    </w:p>
    <w:p>
      <w:pPr>
        <w:jc w:val="both"/>
        <w:ind w:firstLine="425"/>
        <w:spacing w:after="0" w:line="264" w:lineRule="auto"/>
        <w:rPr>
          <w:sz w:val="20"/>
          <w:szCs w:val="20"/>
          <w:color w:val="auto"/>
        </w:rPr>
      </w:pPr>
      <w:r>
        <w:rPr>
          <w:rFonts w:ascii="Arial" w:cs="Arial" w:eastAsia="Arial" w:hAnsi="Arial"/>
          <w:sz w:val="17"/>
          <w:szCs w:val="17"/>
          <w:color w:val="auto"/>
        </w:rPr>
        <w:t>The financial statements required to be filed pursuant to this Item 8 are appended to this Annual Report on Form 10-K. A list of the financial statements filed herewith is found at Part IV, Item 15, “Exhibits and Financial Statement Schedules.”</w:t>
      </w:r>
    </w:p>
    <w:p>
      <w:pPr>
        <w:spacing w:after="0" w:line="299"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15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65" w:lineRule="exact"/>
        <w:rPr>
          <w:sz w:val="20"/>
          <w:szCs w:val="20"/>
          <w:color w:val="auto"/>
        </w:rPr>
      </w:pPr>
    </w:p>
    <w:p>
      <w:pPr>
        <w:jc w:val="both"/>
        <w:ind w:firstLine="425"/>
        <w:spacing w:after="0" w:line="257"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the Company files or submits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2022. Based upon that evaluation, the CEO and CFO have concluded that the Company’s disclosure controls and procedures, as of December 31, 2022,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Responsibility for Financial Statements</w:t>
      </w:r>
    </w:p>
    <w:p>
      <w:pPr>
        <w:spacing w:after="0" w:line="165"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126"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Deloitte &amp; Touche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24" w:lineRule="exact"/>
        <w:rPr>
          <w:sz w:val="20"/>
          <w:szCs w:val="20"/>
          <w:color w:val="auto"/>
        </w:rPr>
      </w:pPr>
    </w:p>
    <w:p>
      <w:pPr>
        <w:jc w:val="both"/>
        <w:ind w:firstLine="425"/>
        <w:spacing w:after="0" w:line="290" w:lineRule="auto"/>
        <w:rPr>
          <w:sz w:val="20"/>
          <w:szCs w:val="20"/>
          <w:color w:val="auto"/>
        </w:rPr>
      </w:pPr>
      <w:r>
        <w:rPr>
          <w:rFonts w:ascii="Arial" w:cs="Arial" w:eastAsia="Arial" w:hAnsi="Arial"/>
          <w:sz w:val="16"/>
          <w:szCs w:val="16"/>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165" w:lineRule="exact"/>
        <w:rPr>
          <w:sz w:val="20"/>
          <w:szCs w:val="20"/>
          <w:color w:val="auto"/>
        </w:rPr>
      </w:pPr>
    </w:p>
    <w:p>
      <w:pPr>
        <w:jc w:val="both"/>
        <w:ind w:firstLine="425"/>
        <w:spacing w:after="0" w:line="28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112"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accounting principles generally accepted in the U.S.;</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reasonable assurance that receipts and expenditures are being made only in accordance with the authorization of our management and our board of directors; and</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consolidated financial statements.</w:t>
      </w:r>
    </w:p>
    <w:p>
      <w:pPr>
        <w:spacing w:after="0" w:line="113"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425"/>
        <w:spacing w:after="0" w:line="257" w:lineRule="auto"/>
        <w:rPr>
          <w:sz w:val="20"/>
          <w:szCs w:val="20"/>
          <w:color w:val="auto"/>
        </w:rPr>
      </w:pPr>
      <w:r>
        <w:rPr>
          <w:rFonts w:ascii="Arial" w:cs="Arial" w:eastAsia="Arial" w:hAnsi="Arial"/>
          <w:sz w:val="17"/>
          <w:szCs w:val="17"/>
          <w:color w:val="auto"/>
        </w:rPr>
        <w:t>Our management, under the supervision and with the participation of the CEO and CFO, assessed the effectiveness of our internal control over financial reporting as of December 31, 2022. In making this assessment, management used the criteria described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2022. See Deloitte &amp; Touche LLP’s accompanying attestation report on their audit of our internal controls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65" w:lineRule="exact"/>
        <w:rPr>
          <w:sz w:val="20"/>
          <w:szCs w:val="20"/>
          <w:color w:val="auto"/>
        </w:rPr>
      </w:pPr>
    </w:p>
    <w:p>
      <w:pPr>
        <w:jc w:val="both"/>
        <w:ind w:firstLine="425"/>
        <w:spacing w:after="0" w:line="312" w:lineRule="auto"/>
        <w:rPr>
          <w:sz w:val="20"/>
          <w:szCs w:val="20"/>
          <w:color w:val="auto"/>
        </w:rPr>
      </w:pPr>
      <w:r>
        <w:rPr>
          <w:rFonts w:ascii="Arial" w:cs="Arial" w:eastAsia="Arial" w:hAnsi="Arial"/>
          <w:sz w:val="16"/>
          <w:szCs w:val="16"/>
          <w:color w:val="auto"/>
        </w:rPr>
        <w:t>During the three months ended December 31, 2022,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4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5"/>
          <w:szCs w:val="15"/>
          <w:b w:val="1"/>
          <w:bCs w:val="1"/>
          <w:color w:val="auto"/>
        </w:rPr>
        <w:t>Disclosure Regarding Foreign Jurisdictions that Prevent Inspections.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29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Code of Ethics.</w:t>
      </w:r>
    </w:p>
    <w:p>
      <w:pPr>
        <w:spacing w:after="0" w:line="165"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7"/>
          <w:szCs w:val="17"/>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http://ir.exlservice.com/corporate-governance.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131" w:lineRule="exact"/>
        <w:rPr>
          <w:sz w:val="20"/>
          <w:szCs w:val="20"/>
          <w:color w:val="auto"/>
        </w:rPr>
      </w:pPr>
    </w:p>
    <w:p>
      <w:pPr>
        <w:jc w:val="both"/>
        <w:ind w:firstLine="425"/>
        <w:spacing w:after="0" w:line="283" w:lineRule="auto"/>
        <w:rPr>
          <w:sz w:val="20"/>
          <w:szCs w:val="20"/>
          <w:color w:val="auto"/>
        </w:rPr>
      </w:pPr>
      <w:r>
        <w:rPr>
          <w:rFonts w:ascii="Arial" w:cs="Arial" w:eastAsia="Arial" w:hAnsi="Arial"/>
          <w:sz w:val="16"/>
          <w:szCs w:val="16"/>
          <w:color w:val="auto"/>
        </w:rPr>
        <w:t>The additional information required by this Item 10 will be set forth in the definitive proxy statement for our 2022 Annual Meeting of Stockholders (the “Proxy Statement”), including under the headings “Our board of directors,” “Our executive officers” and “Corporate governance — Committees — Audit Committee,” “— Committees — Nominating and Governance Committee” and, to the extent included, “— Delinquent Section 16(a) Reports,” and is incorporated herein by reference. We intend to file the Proxy Statement with the SEC within 120 days after the fiscal year end of December 31, 2022.</w:t>
      </w:r>
    </w:p>
    <w:p>
      <w:pPr>
        <w:spacing w:after="0" w:line="200" w:lineRule="exact"/>
        <w:rPr>
          <w:sz w:val="20"/>
          <w:szCs w:val="20"/>
          <w:color w:val="auto"/>
        </w:rPr>
      </w:pPr>
    </w:p>
    <w:p>
      <w:pPr>
        <w:spacing w:after="0" w:line="293"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0" w:lineRule="exact"/>
        <w:rPr>
          <w:sz w:val="20"/>
          <w:szCs w:val="20"/>
          <w:color w:val="auto"/>
        </w:rPr>
      </w:pPr>
    </w:p>
    <w:p>
      <w:pPr>
        <w:jc w:val="both"/>
        <w:ind w:firstLine="425"/>
        <w:spacing w:after="0" w:line="258" w:lineRule="auto"/>
        <w:rPr>
          <w:sz w:val="20"/>
          <w:szCs w:val="20"/>
          <w:color w:val="auto"/>
        </w:rPr>
      </w:pPr>
      <w:r>
        <w:rPr>
          <w:rFonts w:ascii="Arial" w:cs="Arial" w:eastAsia="Arial" w:hAnsi="Arial"/>
          <w:sz w:val="17"/>
          <w:szCs w:val="17"/>
          <w:color w:val="auto"/>
        </w:rPr>
        <w:t>We incorporate by reference the information responsive to this Item appearing in our Proxy Statement, including under the headings “Executive Compensation — Compensation Discussion and Analysis,” “— Compensation and Talent Management Committee Report,” “— Summary Compensation Table for Fiscal Year 2022,” “— Grants of Plan-Based Awards Table for Fiscal Year 2022,” “Outstanding Equity Awards at Fiscal 2022 Year-End,” “Option Exercises and Stock Vested During Fiscal Year 2022,” “— Pension Benefits for Fiscal Year 2022,” “— Potential Payments upon Termination or Change in Control at Fiscal 2022 Year-End,” “— Director Compensation for Fiscal Year 2022,” “— Risk and Compensation Policies” and “Corporate Governance — Compensation and Talent Management Committee Interlocks and Insider Participation.”</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120"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We incorporate by reference the information responsive to this Item appearing in our Proxy Statement, including under the heading “Principal Stockholders.”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4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20"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0"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29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71" w:lineRule="exact"/>
        <w:rPr>
          <w:sz w:val="20"/>
          <w:szCs w:val="20"/>
          <w:color w:val="auto"/>
        </w:rPr>
      </w:pPr>
    </w:p>
    <w:p>
      <w:pPr>
        <w:ind w:left="380" w:hanging="377"/>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  Consolidated Financial Statements.</w:t>
      </w:r>
    </w:p>
    <w:p>
      <w:pPr>
        <w:spacing w:after="0" w:line="165" w:lineRule="exact"/>
        <w:rPr>
          <w:sz w:val="20"/>
          <w:szCs w:val="20"/>
          <w:color w:val="auto"/>
        </w:rPr>
      </w:pPr>
    </w:p>
    <w:p>
      <w:pPr>
        <w:ind w:left="780"/>
        <w:spacing w:after="0" w:line="279" w:lineRule="auto"/>
        <w:rPr>
          <w:sz w:val="20"/>
          <w:szCs w:val="20"/>
          <w:color w:val="auto"/>
        </w:rPr>
      </w:pPr>
      <w:r>
        <w:rPr>
          <w:rFonts w:ascii="Arial" w:cs="Arial" w:eastAsia="Arial" w:hAnsi="Arial"/>
          <w:sz w:val="17"/>
          <w:szCs w:val="17"/>
          <w:color w:val="auto"/>
        </w:rPr>
        <w:t>The consolidated financial statements required to be filed in the Annual Report on Form 10-K are listed on page F-1 hereof. The required financial statements appear on pages F-5 through F-60 hereof.</w:t>
      </w:r>
    </w:p>
    <w:p>
      <w:pPr>
        <w:spacing w:after="0" w:line="113" w:lineRule="exact"/>
        <w:rPr>
          <w:sz w:val="20"/>
          <w:szCs w:val="20"/>
          <w:color w:val="auto"/>
        </w:rPr>
      </w:pPr>
    </w:p>
    <w:p>
      <w:pPr>
        <w:ind w:left="780" w:hanging="390"/>
        <w:spacing w:after="0"/>
        <w:tabs>
          <w:tab w:leader="none" w:pos="7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165" w:lineRule="exact"/>
        <w:rPr>
          <w:rFonts w:ascii="Arial" w:cs="Arial" w:eastAsia="Arial" w:hAnsi="Arial"/>
          <w:sz w:val="17"/>
          <w:szCs w:val="17"/>
          <w:color w:val="auto"/>
        </w:rPr>
      </w:pPr>
    </w:p>
    <w:p>
      <w:pPr>
        <w:ind w:left="780"/>
        <w:spacing w:after="0" w:line="279" w:lineRule="auto"/>
        <w:rPr>
          <w:rFonts w:ascii="Arial" w:cs="Arial" w:eastAsia="Arial" w:hAnsi="Arial"/>
          <w:sz w:val="17"/>
          <w:szCs w:val="17"/>
          <w:color w:val="auto"/>
        </w:rPr>
      </w:pPr>
      <w:r>
        <w:rPr>
          <w:rFonts w:ascii="Arial" w:cs="Arial" w:eastAsia="Arial" w:hAnsi="Arial"/>
          <w:sz w:val="17"/>
          <w:szCs w:val="17"/>
          <w:color w:val="auto"/>
        </w:rPr>
        <w:t>Financial statement schedules have been omitted since they are either not required, not material or the information is otherwise included in our consolidated financial statements or the notes to our consolidated financial statements.</w:t>
      </w:r>
    </w:p>
    <w:p>
      <w:pPr>
        <w:spacing w:after="0" w:line="112" w:lineRule="exact"/>
        <w:rPr>
          <w:rFonts w:ascii="Arial" w:cs="Arial" w:eastAsia="Arial" w:hAnsi="Arial"/>
          <w:sz w:val="17"/>
          <w:szCs w:val="17"/>
          <w:color w:val="auto"/>
        </w:rPr>
      </w:pPr>
    </w:p>
    <w:p>
      <w:pPr>
        <w:ind w:left="780" w:hanging="390"/>
        <w:spacing w:after="0"/>
        <w:tabs>
          <w:tab w:leader="none" w:pos="7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Exhibits.</w:t>
      </w:r>
    </w:p>
    <w:p>
      <w:pPr>
        <w:spacing w:after="0" w:line="165" w:lineRule="exact"/>
        <w:rPr>
          <w:rFonts w:ascii="Arial" w:cs="Arial" w:eastAsia="Arial" w:hAnsi="Arial"/>
          <w:sz w:val="17"/>
          <w:szCs w:val="17"/>
          <w:color w:val="auto"/>
        </w:rPr>
      </w:pPr>
    </w:p>
    <w:p>
      <w:pPr>
        <w:ind w:left="780"/>
        <w:spacing w:after="0" w:line="279" w:lineRule="auto"/>
        <w:rPr>
          <w:rFonts w:ascii="Arial" w:cs="Arial" w:eastAsia="Arial" w:hAnsi="Arial"/>
          <w:sz w:val="17"/>
          <w:szCs w:val="17"/>
          <w:color w:val="auto"/>
        </w:rPr>
      </w:pPr>
      <w:r>
        <w:rPr>
          <w:rFonts w:ascii="Arial" w:cs="Arial" w:eastAsia="Arial" w:hAnsi="Arial"/>
          <w:sz w:val="17"/>
          <w:szCs w:val="17"/>
          <w:color w:val="auto"/>
        </w:rPr>
        <w:t>The Exhibits filed as part of this Annual Report on Form 10-K are listed on the Exhibit Index immediately preceding such Exhibits, which Exhibit Index is incorporated in this Annual Report on Form 10-K by reference.</w:t>
      </w:r>
    </w:p>
    <w:p>
      <w:pPr>
        <w:spacing w:after="0" w:line="112" w:lineRule="exact"/>
        <w:rPr>
          <w:rFonts w:ascii="Arial" w:cs="Arial" w:eastAsia="Arial" w:hAnsi="Arial"/>
          <w:sz w:val="17"/>
          <w:szCs w:val="17"/>
          <w:color w:val="auto"/>
        </w:rPr>
      </w:pPr>
    </w:p>
    <w:p>
      <w:pPr>
        <w:ind w:left="380" w:hanging="377"/>
        <w:spacing w:after="0"/>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Exhibits. See Item 15(a)(3) above.</w:t>
      </w:r>
    </w:p>
    <w:p>
      <w:pPr>
        <w:spacing w:after="0" w:line="165" w:lineRule="exact"/>
        <w:rPr>
          <w:rFonts w:ascii="Arial" w:cs="Arial" w:eastAsia="Arial" w:hAnsi="Arial"/>
          <w:sz w:val="17"/>
          <w:szCs w:val="17"/>
          <w:color w:val="auto"/>
        </w:rPr>
      </w:pPr>
    </w:p>
    <w:p>
      <w:pPr>
        <w:ind w:left="380" w:hanging="377"/>
        <w:spacing w:after="0"/>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Financial Statement Schedules. 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right="100" w:firstLine="425"/>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197" w:lineRule="exact"/>
        <w:rPr>
          <w:sz w:val="20"/>
          <w:szCs w:val="20"/>
          <w:color w:val="auto"/>
        </w:rPr>
      </w:pPr>
    </w:p>
    <w:p>
      <w:pPr>
        <w:ind w:left="440"/>
        <w:spacing w:after="0"/>
        <w:tabs>
          <w:tab w:leader="none" w:pos="5340" w:val="left"/>
        </w:tabs>
        <w:rPr>
          <w:sz w:val="20"/>
          <w:szCs w:val="20"/>
          <w:color w:val="auto"/>
        </w:rPr>
      </w:pPr>
      <w:r>
        <w:rPr>
          <w:rFonts w:ascii="Arial" w:cs="Arial" w:eastAsia="Arial" w:hAnsi="Arial"/>
          <w:sz w:val="17"/>
          <w:szCs w:val="17"/>
          <w:color w:val="auto"/>
        </w:rPr>
        <w:t>Date: February 23, 2023</w:t>
      </w:r>
      <w:r>
        <w:rPr>
          <w:sz w:val="20"/>
          <w:szCs w:val="20"/>
          <w:color w:val="auto"/>
        </w:rPr>
        <w:tab/>
      </w:r>
      <w:r>
        <w:rPr>
          <w:rFonts w:ascii="Arial" w:cs="Arial" w:eastAsia="Arial" w:hAnsi="Arial"/>
          <w:sz w:val="17"/>
          <w:szCs w:val="17"/>
          <w:b w:val="1"/>
          <w:bCs w:val="1"/>
          <w:color w:val="auto"/>
        </w:rPr>
        <w:t>EXLSERVICE HOLDINGS, INC.</w:t>
      </w:r>
    </w:p>
    <w:p>
      <w:pPr>
        <w:spacing w:after="0" w:line="266" w:lineRule="exact"/>
        <w:rPr>
          <w:sz w:val="20"/>
          <w:szCs w:val="20"/>
          <w:color w:val="auto"/>
        </w:rPr>
      </w:pPr>
    </w:p>
    <w:p>
      <w:pPr>
        <w:ind w:left="5360"/>
        <w:spacing w:after="0"/>
        <w:tabs>
          <w:tab w:leader="none" w:pos="59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27940</wp:posOffset>
            </wp:positionV>
            <wp:extent cx="34251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5190" cy="8255"/>
                    </a:xfrm>
                    <a:prstGeom prst="rect">
                      <a:avLst/>
                    </a:prstGeom>
                    <a:noFill/>
                  </pic:spPr>
                </pic:pic>
              </a:graphicData>
            </a:graphic>
          </wp:anchor>
        </w:drawing>
      </w:r>
    </w:p>
    <w:p>
      <w:pPr>
        <w:spacing w:after="0" w:line="24"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MAURIZIO NICOLELLI</w:t>
      </w:r>
    </w:p>
    <w:p>
      <w:pPr>
        <w:ind w:left="5960"/>
        <w:spacing w:after="0" w:line="192" w:lineRule="auto"/>
        <w:rPr>
          <w:sz w:val="20"/>
          <w:szCs w:val="20"/>
          <w:color w:val="auto"/>
        </w:rPr>
      </w:pPr>
      <w:r>
        <w:rPr>
          <w:rFonts w:ascii="Arial" w:cs="Arial" w:eastAsia="Arial" w:hAnsi="Arial"/>
          <w:sz w:val="14"/>
          <w:szCs w:val="14"/>
          <w:b w:val="1"/>
          <w:bCs w:val="1"/>
          <w:color w:val="auto"/>
        </w:rPr>
        <w:t>Chief Financial Officer</w:t>
      </w:r>
    </w:p>
    <w:p>
      <w:pPr>
        <w:ind w:left="596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pacing w:after="0" w:line="220"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900" w:type="dxa"/>
            <w:vAlign w:val="bottom"/>
          </w:tcPr>
          <w:p>
            <w:pPr>
              <w:spacing w:after="0"/>
              <w:rPr>
                <w:sz w:val="14"/>
                <w:szCs w:val="14"/>
                <w:color w:val="auto"/>
              </w:rPr>
            </w:pPr>
          </w:p>
        </w:tc>
        <w:tc>
          <w:tcPr>
            <w:tcW w:w="4540" w:type="dxa"/>
            <w:vAlign w:val="bottom"/>
            <w:gridSpan w:val="3"/>
          </w:tcPr>
          <w:p>
            <w:pPr>
              <w:ind w:left="210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4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660" w:type="dxa"/>
            <w:vAlign w:val="bottom"/>
            <w:gridSpan w:val="3"/>
          </w:tcPr>
          <w:p>
            <w:pPr>
              <w:jc w:val="center"/>
              <w:ind w:right="1400"/>
              <w:spacing w:after="0"/>
              <w:rPr>
                <w:sz w:val="20"/>
                <w:szCs w:val="20"/>
                <w:color w:val="auto"/>
              </w:rPr>
            </w:pPr>
            <w:r>
              <w:rPr>
                <w:rFonts w:ascii="Arial" w:cs="Arial" w:eastAsia="Arial" w:hAnsi="Arial"/>
                <w:sz w:val="17"/>
                <w:szCs w:val="17"/>
                <w:color w:val="auto"/>
                <w:w w:val="99"/>
              </w:rPr>
              <w:t>R</w:t>
            </w:r>
            <w:r>
              <w:rPr>
                <w:rFonts w:ascii="Arial" w:cs="Arial" w:eastAsia="Arial" w:hAnsi="Arial"/>
                <w:sz w:val="13"/>
                <w:szCs w:val="13"/>
                <w:color w:val="auto"/>
                <w:w w:val="99"/>
              </w:rPr>
              <w:t>OHIT</w:t>
            </w:r>
            <w:r>
              <w:rPr>
                <w:rFonts w:ascii="Arial" w:cs="Arial" w:eastAsia="Arial" w:hAnsi="Arial"/>
                <w:sz w:val="17"/>
                <w:szCs w:val="17"/>
                <w:color w:val="auto"/>
                <w:w w:val="99"/>
              </w:rPr>
              <w:t xml:space="preserve"> K</w:t>
            </w:r>
            <w:r>
              <w:rPr>
                <w:rFonts w:ascii="Arial" w:cs="Arial" w:eastAsia="Arial" w:hAnsi="Arial"/>
                <w:sz w:val="13"/>
                <w:szCs w:val="13"/>
                <w:color w:val="auto"/>
                <w:w w:val="99"/>
              </w:rPr>
              <w:t>APOOR</w:t>
            </w: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Chief Executive Officer, Vice-Chairman and Director</w:t>
            </w:r>
          </w:p>
        </w:tc>
        <w:tc>
          <w:tcPr>
            <w:tcW w:w="1520" w:type="dxa"/>
            <w:vAlign w:val="bottom"/>
            <w:gridSpan w:val="3"/>
          </w:tcPr>
          <w:p>
            <w:pPr>
              <w:ind w:left="260"/>
              <w:spacing w:after="0"/>
              <w:rPr>
                <w:sz w:val="20"/>
                <w:szCs w:val="20"/>
                <w:color w:val="auto"/>
              </w:rPr>
            </w:pPr>
            <w:r>
              <w:rPr>
                <w:rFonts w:ascii="Arial" w:cs="Arial" w:eastAsia="Arial" w:hAnsi="Arial"/>
                <w:sz w:val="17"/>
                <w:szCs w:val="17"/>
                <w:color w:val="auto"/>
                <w:w w:val="89"/>
              </w:rPr>
              <w:t>February 23, 2023</w:t>
            </w:r>
          </w:p>
        </w:tc>
        <w:tc>
          <w:tcPr>
            <w:tcW w:w="0" w:type="dxa"/>
            <w:vAlign w:val="bottom"/>
          </w:tcPr>
          <w:p>
            <w:pPr>
              <w:spacing w:after="0"/>
              <w:rPr>
                <w:sz w:val="1"/>
                <w:szCs w:val="1"/>
                <w:color w:val="auto"/>
              </w:rPr>
            </w:pPr>
          </w:p>
        </w:tc>
      </w:tr>
      <w:tr>
        <w:trPr>
          <w:trHeight w:val="64"/>
        </w:trPr>
        <w:tc>
          <w:tcPr>
            <w:tcW w:w="14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4540" w:type="dxa"/>
            <w:vAlign w:val="bottom"/>
            <w:gridSpan w:val="3"/>
            <w:vMerge w:val="restart"/>
          </w:tcPr>
          <w:p>
            <w:pPr>
              <w:ind w:left="140"/>
              <w:spacing w:after="0"/>
              <w:rPr>
                <w:sz w:val="20"/>
                <w:szCs w:val="20"/>
                <w:color w:val="auto"/>
              </w:rPr>
            </w:pPr>
            <w:r>
              <w:rPr>
                <w:rFonts w:ascii="Arial" w:cs="Arial" w:eastAsia="Arial" w:hAnsi="Arial"/>
                <w:sz w:val="17"/>
                <w:szCs w:val="17"/>
                <w:color w:val="auto"/>
              </w:rPr>
              <w:t>(Principal Executive Officer)</w:t>
            </w: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2"/>
              </w:rPr>
              <w:t>Rohit Kapoor</w:t>
            </w:r>
          </w:p>
        </w:tc>
        <w:tc>
          <w:tcPr>
            <w:tcW w:w="454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460" w:type="dxa"/>
            <w:vAlign w:val="bottom"/>
          </w:tcPr>
          <w:p>
            <w:pPr>
              <w:ind w:left="1280"/>
              <w:spacing w:after="0"/>
              <w:rPr>
                <w:sz w:val="20"/>
                <w:szCs w:val="20"/>
                <w:color w:val="auto"/>
              </w:rPr>
            </w:pPr>
            <w:r>
              <w:rPr>
                <w:rFonts w:ascii="Arial" w:cs="Arial" w:eastAsia="Arial" w:hAnsi="Arial"/>
                <w:sz w:val="17"/>
                <w:szCs w:val="17"/>
                <w:color w:val="auto"/>
                <w:w w:val="88"/>
              </w:rPr>
              <w:t>/</w:t>
            </w:r>
            <w:r>
              <w:rPr>
                <w:rFonts w:ascii="Arial" w:cs="Arial" w:eastAsia="Arial" w:hAnsi="Arial"/>
                <w:sz w:val="13"/>
                <w:szCs w:val="13"/>
                <w:color w:val="auto"/>
                <w:w w:val="88"/>
              </w:rPr>
              <w:t>S</w:t>
            </w:r>
            <w:r>
              <w:rPr>
                <w:rFonts w:ascii="Arial" w:cs="Arial" w:eastAsia="Arial" w:hAnsi="Arial"/>
                <w:sz w:val="17"/>
                <w:szCs w:val="17"/>
                <w:color w:val="auto"/>
                <w:w w:val="88"/>
              </w:rPr>
              <w:t>/</w:t>
            </w:r>
          </w:p>
        </w:tc>
        <w:tc>
          <w:tcPr>
            <w:tcW w:w="2920" w:type="dxa"/>
            <w:vAlign w:val="bottom"/>
            <w:gridSpan w:val="4"/>
          </w:tcPr>
          <w:p>
            <w:pPr>
              <w:jc w:val="center"/>
              <w:ind w:right="1100"/>
              <w:spacing w:after="0"/>
              <w:rPr>
                <w:sz w:val="20"/>
                <w:szCs w:val="20"/>
                <w:color w:val="auto"/>
              </w:rPr>
            </w:pPr>
            <w:r>
              <w:rPr>
                <w:rFonts w:ascii="Arial" w:cs="Arial" w:eastAsia="Arial" w:hAnsi="Arial"/>
                <w:sz w:val="17"/>
                <w:szCs w:val="17"/>
                <w:color w:val="auto"/>
              </w:rPr>
              <w:t>M</w:t>
            </w:r>
            <w:r>
              <w:rPr>
                <w:rFonts w:ascii="Arial" w:cs="Arial" w:eastAsia="Arial" w:hAnsi="Arial"/>
                <w:sz w:val="13"/>
                <w:szCs w:val="13"/>
                <w:color w:val="auto"/>
              </w:rPr>
              <w:t>AURIZIO</w:t>
            </w:r>
            <w:r>
              <w:rPr>
                <w:rFonts w:ascii="Arial" w:cs="Arial" w:eastAsia="Arial" w:hAnsi="Arial"/>
                <w:sz w:val="17"/>
                <w:szCs w:val="17"/>
                <w:color w:val="auto"/>
              </w:rPr>
              <w:t xml:space="preserve"> N</w:t>
            </w:r>
            <w:r>
              <w:rPr>
                <w:rFonts w:ascii="Arial" w:cs="Arial" w:eastAsia="Arial" w:hAnsi="Arial"/>
                <w:sz w:val="13"/>
                <w:szCs w:val="13"/>
                <w:color w:val="auto"/>
              </w:rPr>
              <w:t>ICOLELLI</w:t>
            </w: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 (Principal Financial and Accounting</w:t>
            </w:r>
          </w:p>
        </w:tc>
        <w:tc>
          <w:tcPr>
            <w:tcW w:w="1520" w:type="dxa"/>
            <w:vAlign w:val="bottom"/>
            <w:gridSpan w:val="3"/>
          </w:tcPr>
          <w:p>
            <w:pPr>
              <w:ind w:left="260"/>
              <w:spacing w:after="0"/>
              <w:rPr>
                <w:sz w:val="20"/>
                <w:szCs w:val="20"/>
                <w:color w:val="auto"/>
              </w:rPr>
            </w:pPr>
            <w:r>
              <w:rPr>
                <w:rFonts w:ascii="Arial" w:cs="Arial" w:eastAsia="Arial" w:hAnsi="Arial"/>
                <w:sz w:val="17"/>
                <w:szCs w:val="17"/>
                <w:color w:val="auto"/>
                <w:w w:val="89"/>
              </w:rPr>
              <w:t>February 23, 2023</w:t>
            </w:r>
          </w:p>
        </w:tc>
        <w:tc>
          <w:tcPr>
            <w:tcW w:w="0" w:type="dxa"/>
            <w:vAlign w:val="bottom"/>
          </w:tcPr>
          <w:p>
            <w:pPr>
              <w:spacing w:after="0"/>
              <w:rPr>
                <w:sz w:val="1"/>
                <w:szCs w:val="1"/>
                <w:color w:val="auto"/>
              </w:rPr>
            </w:pPr>
          </w:p>
        </w:tc>
      </w:tr>
      <w:tr>
        <w:trPr>
          <w:trHeight w:val="64"/>
        </w:trPr>
        <w:tc>
          <w:tcPr>
            <w:tcW w:w="14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4540" w:type="dxa"/>
            <w:vAlign w:val="bottom"/>
            <w:gridSpan w:val="3"/>
            <w:vMerge w:val="restart"/>
          </w:tcPr>
          <w:p>
            <w:pPr>
              <w:ind w:left="140"/>
              <w:spacing w:after="0"/>
              <w:rPr>
                <w:sz w:val="20"/>
                <w:szCs w:val="20"/>
                <w:color w:val="auto"/>
              </w:rPr>
            </w:pPr>
            <w:r>
              <w:rPr>
                <w:rFonts w:ascii="Arial" w:cs="Arial" w:eastAsia="Arial" w:hAnsi="Arial"/>
                <w:sz w:val="17"/>
                <w:szCs w:val="17"/>
                <w:color w:val="auto"/>
              </w:rPr>
              <w:t>Officer)</w:t>
            </w: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2920" w:type="dxa"/>
            <w:vAlign w:val="bottom"/>
            <w:gridSpan w:val="4"/>
          </w:tcPr>
          <w:p>
            <w:pPr>
              <w:jc w:val="center"/>
              <w:ind w:right="1460"/>
              <w:spacing w:after="0"/>
              <w:rPr>
                <w:sz w:val="20"/>
                <w:szCs w:val="20"/>
                <w:color w:val="auto"/>
              </w:rPr>
            </w:pPr>
            <w:r>
              <w:rPr>
                <w:rFonts w:ascii="Arial" w:cs="Arial" w:eastAsia="Arial" w:hAnsi="Arial"/>
                <w:sz w:val="14"/>
                <w:szCs w:val="14"/>
                <w:b w:val="1"/>
                <w:bCs w:val="1"/>
                <w:color w:val="auto"/>
                <w:w w:val="92"/>
              </w:rPr>
              <w:t>Maurizio Nicolelli</w:t>
            </w:r>
          </w:p>
        </w:tc>
        <w:tc>
          <w:tcPr>
            <w:tcW w:w="454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43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V</w:t>
            </w:r>
            <w:r>
              <w:rPr>
                <w:rFonts w:ascii="Arial" w:cs="Arial" w:eastAsia="Arial" w:hAnsi="Arial"/>
                <w:sz w:val="13"/>
                <w:szCs w:val="13"/>
                <w:color w:val="auto"/>
              </w:rPr>
              <w:t>IKRAM</w:t>
            </w:r>
            <w:r>
              <w:rPr>
                <w:rFonts w:ascii="Arial" w:cs="Arial" w:eastAsia="Arial" w:hAnsi="Arial"/>
                <w:sz w:val="17"/>
                <w:szCs w:val="17"/>
                <w:color w:val="auto"/>
              </w:rPr>
              <w:t xml:space="preserve"> S. P</w:t>
            </w:r>
            <w:r>
              <w:rPr>
                <w:rFonts w:ascii="Arial" w:cs="Arial" w:eastAsia="Arial" w:hAnsi="Arial"/>
                <w:sz w:val="13"/>
                <w:szCs w:val="13"/>
                <w:color w:val="auto"/>
              </w:rPr>
              <w:t>ANDIT</w:t>
            </w: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Chairman of the Board</w:t>
            </w:r>
          </w:p>
        </w:tc>
        <w:tc>
          <w:tcPr>
            <w:tcW w:w="1520" w:type="dxa"/>
            <w:vAlign w:val="bottom"/>
            <w:gridSpan w:val="3"/>
          </w:tcPr>
          <w:p>
            <w:pPr>
              <w:ind w:left="260"/>
              <w:spacing w:after="0"/>
              <w:rPr>
                <w:sz w:val="20"/>
                <w:szCs w:val="20"/>
                <w:color w:val="auto"/>
              </w:rPr>
            </w:pPr>
            <w:r>
              <w:rPr>
                <w:rFonts w:ascii="Arial" w:cs="Arial" w:eastAsia="Arial" w:hAnsi="Arial"/>
                <w:sz w:val="17"/>
                <w:szCs w:val="17"/>
                <w:color w:val="auto"/>
                <w:w w:val="89"/>
              </w:rPr>
              <w:t>February 23, 2023</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920" w:type="dxa"/>
            <w:vAlign w:val="bottom"/>
            <w:gridSpan w:val="4"/>
          </w:tcPr>
          <w:p>
            <w:pPr>
              <w:jc w:val="center"/>
              <w:ind w:right="1460"/>
              <w:spacing w:after="0"/>
              <w:rPr>
                <w:sz w:val="20"/>
                <w:szCs w:val="20"/>
                <w:color w:val="auto"/>
              </w:rPr>
            </w:pPr>
            <w:r>
              <w:rPr>
                <w:rFonts w:ascii="Arial" w:cs="Arial" w:eastAsia="Arial" w:hAnsi="Arial"/>
                <w:sz w:val="14"/>
                <w:szCs w:val="14"/>
                <w:b w:val="1"/>
                <w:bCs w:val="1"/>
                <w:color w:val="auto"/>
                <w:w w:val="92"/>
              </w:rPr>
              <w:t>Vikram S. Pandit</w:t>
            </w: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66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7"/>
                <w:szCs w:val="17"/>
                <w:color w:val="auto"/>
              </w:rPr>
              <w:t>A</w:t>
            </w:r>
            <w:r>
              <w:rPr>
                <w:rFonts w:ascii="Arial" w:cs="Arial" w:eastAsia="Arial" w:hAnsi="Arial"/>
                <w:sz w:val="13"/>
                <w:szCs w:val="13"/>
                <w:color w:val="auto"/>
              </w:rPr>
              <w:t>NDREAS</w:t>
            </w:r>
            <w:r>
              <w:rPr>
                <w:rFonts w:ascii="Arial" w:cs="Arial" w:eastAsia="Arial" w:hAnsi="Arial"/>
                <w:sz w:val="17"/>
                <w:szCs w:val="17"/>
                <w:color w:val="auto"/>
              </w:rPr>
              <w:t xml:space="preserve"> F</w:t>
            </w:r>
            <w:r>
              <w:rPr>
                <w:rFonts w:ascii="Arial" w:cs="Arial" w:eastAsia="Arial" w:hAnsi="Arial"/>
                <w:sz w:val="13"/>
                <w:szCs w:val="13"/>
                <w:color w:val="auto"/>
              </w:rPr>
              <w:t>IBIG</w:t>
            </w: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520" w:type="dxa"/>
            <w:vAlign w:val="bottom"/>
            <w:gridSpan w:val="3"/>
          </w:tcPr>
          <w:p>
            <w:pPr>
              <w:ind w:left="260"/>
              <w:spacing w:after="0"/>
              <w:rPr>
                <w:sz w:val="20"/>
                <w:szCs w:val="20"/>
                <w:color w:val="auto"/>
              </w:rPr>
            </w:pPr>
            <w:r>
              <w:rPr>
                <w:rFonts w:ascii="Arial" w:cs="Arial" w:eastAsia="Arial" w:hAnsi="Arial"/>
                <w:sz w:val="17"/>
                <w:szCs w:val="17"/>
                <w:color w:val="auto"/>
                <w:w w:val="89"/>
              </w:rPr>
              <w:t>February 23, 2023</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9"/>
              </w:rPr>
              <w:t>Andreas Fibig</w:t>
            </w: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66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7"/>
                <w:szCs w:val="17"/>
                <w:color w:val="auto"/>
              </w:rPr>
              <w:t>A</w:t>
            </w:r>
            <w:r>
              <w:rPr>
                <w:rFonts w:ascii="Arial" w:cs="Arial" w:eastAsia="Arial" w:hAnsi="Arial"/>
                <w:sz w:val="13"/>
                <w:szCs w:val="13"/>
                <w:color w:val="auto"/>
              </w:rPr>
              <w:t>NNE E.</w:t>
            </w:r>
            <w:r>
              <w:rPr>
                <w:rFonts w:ascii="Arial" w:cs="Arial" w:eastAsia="Arial" w:hAnsi="Arial"/>
                <w:sz w:val="17"/>
                <w:szCs w:val="17"/>
                <w:color w:val="auto"/>
              </w:rPr>
              <w:t xml:space="preserve"> M</w:t>
            </w:r>
            <w:r>
              <w:rPr>
                <w:rFonts w:ascii="Arial" w:cs="Arial" w:eastAsia="Arial" w:hAnsi="Arial"/>
                <w:sz w:val="13"/>
                <w:szCs w:val="13"/>
                <w:color w:val="auto"/>
              </w:rPr>
              <w:t>INTO</w:t>
            </w: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520" w:type="dxa"/>
            <w:vAlign w:val="bottom"/>
            <w:gridSpan w:val="3"/>
          </w:tcPr>
          <w:p>
            <w:pPr>
              <w:ind w:left="260"/>
              <w:spacing w:after="0"/>
              <w:rPr>
                <w:sz w:val="20"/>
                <w:szCs w:val="20"/>
                <w:color w:val="auto"/>
              </w:rPr>
            </w:pPr>
            <w:r>
              <w:rPr>
                <w:rFonts w:ascii="Arial" w:cs="Arial" w:eastAsia="Arial" w:hAnsi="Arial"/>
                <w:sz w:val="17"/>
                <w:szCs w:val="17"/>
                <w:color w:val="auto"/>
                <w:w w:val="89"/>
              </w:rPr>
              <w:t>February 23, 2023</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2"/>
              </w:rPr>
              <w:t>Anne E. Minto</w:t>
            </w: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4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S</w:t>
            </w:r>
            <w:r>
              <w:rPr>
                <w:rFonts w:ascii="Arial" w:cs="Arial" w:eastAsia="Arial" w:hAnsi="Arial"/>
                <w:sz w:val="13"/>
                <w:szCs w:val="13"/>
                <w:color w:val="auto"/>
              </w:rPr>
              <w:t>OM</w:t>
            </w:r>
            <w:r>
              <w:rPr>
                <w:rFonts w:ascii="Arial" w:cs="Arial" w:eastAsia="Arial" w:hAnsi="Arial"/>
                <w:sz w:val="17"/>
                <w:szCs w:val="17"/>
                <w:color w:val="auto"/>
              </w:rPr>
              <w:t xml:space="preserve"> M</w:t>
            </w:r>
            <w:r>
              <w:rPr>
                <w:rFonts w:ascii="Arial" w:cs="Arial" w:eastAsia="Arial" w:hAnsi="Arial"/>
                <w:sz w:val="13"/>
                <w:szCs w:val="13"/>
                <w:color w:val="auto"/>
              </w:rPr>
              <w:t>ITTAL</w:t>
            </w: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520" w:type="dxa"/>
            <w:vAlign w:val="bottom"/>
            <w:gridSpan w:val="3"/>
          </w:tcPr>
          <w:p>
            <w:pPr>
              <w:ind w:left="260"/>
              <w:spacing w:after="0"/>
              <w:rPr>
                <w:sz w:val="20"/>
                <w:szCs w:val="20"/>
                <w:color w:val="auto"/>
              </w:rPr>
            </w:pPr>
            <w:r>
              <w:rPr>
                <w:rFonts w:ascii="Arial" w:cs="Arial" w:eastAsia="Arial" w:hAnsi="Arial"/>
                <w:sz w:val="17"/>
                <w:szCs w:val="17"/>
                <w:color w:val="auto"/>
                <w:w w:val="89"/>
              </w:rPr>
              <w:t>February 23, 2023</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3"/>
              </w:rPr>
              <w:t>Som Mittal</w:t>
            </w: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720" w:type="dxa"/>
            <w:vAlign w:val="bottom"/>
            <w:tcBorders>
              <w:bottom w:val="single" w:sz="8" w:color="auto"/>
            </w:tcBorders>
            <w:gridSpan w:val="2"/>
          </w:tcPr>
          <w:p>
            <w:pPr>
              <w:ind w:left="13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66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7"/>
                <w:szCs w:val="17"/>
                <w:color w:val="auto"/>
                <w:w w:val="97"/>
              </w:rPr>
              <w:t>C</w:t>
            </w:r>
            <w:r>
              <w:rPr>
                <w:rFonts w:ascii="Arial" w:cs="Arial" w:eastAsia="Arial" w:hAnsi="Arial"/>
                <w:sz w:val="13"/>
                <w:szCs w:val="13"/>
                <w:color w:val="auto"/>
                <w:w w:val="97"/>
              </w:rPr>
              <w:t>LYDE</w:t>
            </w:r>
            <w:r>
              <w:rPr>
                <w:rFonts w:ascii="Arial" w:cs="Arial" w:eastAsia="Arial" w:hAnsi="Arial"/>
                <w:sz w:val="17"/>
                <w:szCs w:val="17"/>
                <w:color w:val="auto"/>
                <w:w w:val="97"/>
              </w:rPr>
              <w:t xml:space="preserve"> W. O</w:t>
            </w:r>
            <w:r>
              <w:rPr>
                <w:rFonts w:ascii="Arial" w:cs="Arial" w:eastAsia="Arial" w:hAnsi="Arial"/>
                <w:sz w:val="13"/>
                <w:szCs w:val="13"/>
                <w:color w:val="auto"/>
                <w:w w:val="97"/>
              </w:rPr>
              <w:t>STLER</w:t>
            </w: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520" w:type="dxa"/>
            <w:vAlign w:val="bottom"/>
            <w:gridSpan w:val="3"/>
          </w:tcPr>
          <w:p>
            <w:pPr>
              <w:ind w:left="260"/>
              <w:spacing w:after="0"/>
              <w:rPr>
                <w:sz w:val="20"/>
                <w:szCs w:val="20"/>
                <w:color w:val="auto"/>
              </w:rPr>
            </w:pPr>
            <w:r>
              <w:rPr>
                <w:rFonts w:ascii="Arial" w:cs="Arial" w:eastAsia="Arial" w:hAnsi="Arial"/>
                <w:sz w:val="17"/>
                <w:szCs w:val="17"/>
                <w:color w:val="auto"/>
                <w:w w:val="89"/>
              </w:rPr>
              <w:t>February 23, 2023</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Clyde W. Ostler</w:t>
            </w: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76"/>
              </w:rPr>
              <w:t>/</w:t>
            </w:r>
            <w:r>
              <w:rPr>
                <w:rFonts w:ascii="Arial" w:cs="Arial" w:eastAsia="Arial" w:hAnsi="Arial"/>
                <w:sz w:val="13"/>
                <w:szCs w:val="13"/>
                <w:color w:val="auto"/>
                <w:w w:val="76"/>
              </w:rPr>
              <w:t>S</w:t>
            </w:r>
            <w:r>
              <w:rPr>
                <w:rFonts w:ascii="Arial" w:cs="Arial" w:eastAsia="Arial" w:hAnsi="Arial"/>
                <w:sz w:val="17"/>
                <w:szCs w:val="17"/>
                <w:color w:val="auto"/>
                <w:w w:val="76"/>
              </w:rPr>
              <w:t>/</w:t>
            </w:r>
          </w:p>
        </w:tc>
        <w:tc>
          <w:tcPr>
            <w:tcW w:w="266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7"/>
                <w:szCs w:val="17"/>
                <w:color w:val="auto"/>
                <w:w w:val="98"/>
              </w:rPr>
              <w:t>K</w:t>
            </w:r>
            <w:r>
              <w:rPr>
                <w:rFonts w:ascii="Arial" w:cs="Arial" w:eastAsia="Arial" w:hAnsi="Arial"/>
                <w:sz w:val="13"/>
                <w:szCs w:val="13"/>
                <w:color w:val="auto"/>
                <w:w w:val="98"/>
              </w:rPr>
              <w:t>RISTY</w:t>
            </w:r>
            <w:r>
              <w:rPr>
                <w:rFonts w:ascii="Arial" w:cs="Arial" w:eastAsia="Arial" w:hAnsi="Arial"/>
                <w:sz w:val="17"/>
                <w:szCs w:val="17"/>
                <w:color w:val="auto"/>
                <w:w w:val="98"/>
              </w:rPr>
              <w:t xml:space="preserve"> P</w:t>
            </w:r>
            <w:r>
              <w:rPr>
                <w:rFonts w:ascii="Arial" w:cs="Arial" w:eastAsia="Arial" w:hAnsi="Arial"/>
                <w:sz w:val="13"/>
                <w:szCs w:val="13"/>
                <w:color w:val="auto"/>
                <w:w w:val="98"/>
              </w:rPr>
              <w:t>IPES</w:t>
            </w: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520" w:type="dxa"/>
            <w:vAlign w:val="bottom"/>
            <w:gridSpan w:val="3"/>
          </w:tcPr>
          <w:p>
            <w:pPr>
              <w:ind w:left="260"/>
              <w:spacing w:after="0"/>
              <w:rPr>
                <w:sz w:val="20"/>
                <w:szCs w:val="20"/>
                <w:color w:val="auto"/>
              </w:rPr>
            </w:pPr>
            <w:r>
              <w:rPr>
                <w:rFonts w:ascii="Arial" w:cs="Arial" w:eastAsia="Arial" w:hAnsi="Arial"/>
                <w:sz w:val="17"/>
                <w:szCs w:val="17"/>
                <w:color w:val="auto"/>
                <w:w w:val="89"/>
              </w:rPr>
              <w:t>February 23, 2023</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Kristy Pipes</w:t>
            </w: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95"/>
              </w:rPr>
              <w:t>/S/</w:t>
            </w:r>
          </w:p>
        </w:tc>
        <w:tc>
          <w:tcPr>
            <w:tcW w:w="266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7"/>
                <w:szCs w:val="17"/>
                <w:color w:val="auto"/>
              </w:rPr>
              <w:t>N</w:t>
            </w:r>
            <w:r>
              <w:rPr>
                <w:rFonts w:ascii="Arial" w:cs="Arial" w:eastAsia="Arial" w:hAnsi="Arial"/>
                <w:sz w:val="13"/>
                <w:szCs w:val="13"/>
                <w:color w:val="auto"/>
              </w:rPr>
              <w:t>ITIN</w:t>
            </w:r>
            <w:r>
              <w:rPr>
                <w:rFonts w:ascii="Arial" w:cs="Arial" w:eastAsia="Arial" w:hAnsi="Arial"/>
                <w:sz w:val="17"/>
                <w:szCs w:val="17"/>
                <w:color w:val="auto"/>
              </w:rPr>
              <w:t xml:space="preserve"> S</w:t>
            </w:r>
            <w:r>
              <w:rPr>
                <w:rFonts w:ascii="Arial" w:cs="Arial" w:eastAsia="Arial" w:hAnsi="Arial"/>
                <w:sz w:val="13"/>
                <w:szCs w:val="13"/>
                <w:color w:val="auto"/>
              </w:rPr>
              <w:t>AHNEY</w:t>
            </w: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520" w:type="dxa"/>
            <w:vAlign w:val="bottom"/>
            <w:gridSpan w:val="3"/>
          </w:tcPr>
          <w:p>
            <w:pPr>
              <w:ind w:left="260"/>
              <w:spacing w:after="0"/>
              <w:rPr>
                <w:sz w:val="20"/>
                <w:szCs w:val="20"/>
                <w:color w:val="auto"/>
              </w:rPr>
            </w:pPr>
            <w:r>
              <w:rPr>
                <w:rFonts w:ascii="Arial" w:cs="Arial" w:eastAsia="Arial" w:hAnsi="Arial"/>
                <w:sz w:val="17"/>
                <w:szCs w:val="17"/>
                <w:color w:val="auto"/>
                <w:w w:val="89"/>
              </w:rPr>
              <w:t>February 23, 2023</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9"/>
              </w:rPr>
              <w:t>Nitin Sahney</w:t>
            </w: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46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920" w:type="dxa"/>
            <w:vAlign w:val="bottom"/>
            <w:tcBorders>
              <w:bottom w:val="single" w:sz="8" w:color="auto"/>
            </w:tcBorders>
            <w:gridSpan w:val="4"/>
          </w:tcPr>
          <w:p>
            <w:pPr>
              <w:jc w:val="center"/>
              <w:ind w:right="1100"/>
              <w:spacing w:after="0"/>
              <w:rPr>
                <w:sz w:val="20"/>
                <w:szCs w:val="20"/>
                <w:color w:val="auto"/>
              </w:rPr>
            </w:pPr>
            <w:r>
              <w:rPr>
                <w:rFonts w:ascii="Arial" w:cs="Arial" w:eastAsia="Arial" w:hAnsi="Arial"/>
                <w:sz w:val="17"/>
                <w:szCs w:val="17"/>
                <w:color w:val="auto"/>
              </w:rPr>
              <w:t>J</w:t>
            </w:r>
            <w:r>
              <w:rPr>
                <w:rFonts w:ascii="Arial" w:cs="Arial" w:eastAsia="Arial" w:hAnsi="Arial"/>
                <w:sz w:val="13"/>
                <w:szCs w:val="13"/>
                <w:color w:val="auto"/>
              </w:rPr>
              <w:t>AYNIE</w:t>
            </w:r>
            <w:r>
              <w:rPr>
                <w:rFonts w:ascii="Arial" w:cs="Arial" w:eastAsia="Arial" w:hAnsi="Arial"/>
                <w:sz w:val="17"/>
                <w:szCs w:val="17"/>
                <w:color w:val="auto"/>
              </w:rPr>
              <w:t xml:space="preserve"> M. S</w:t>
            </w:r>
            <w:r>
              <w:rPr>
                <w:rFonts w:ascii="Arial" w:cs="Arial" w:eastAsia="Arial" w:hAnsi="Arial"/>
                <w:sz w:val="13"/>
                <w:szCs w:val="13"/>
                <w:color w:val="auto"/>
              </w:rPr>
              <w:t>TUDENMUND</w:t>
            </w:r>
          </w:p>
        </w:tc>
        <w:tc>
          <w:tcPr>
            <w:tcW w:w="45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520" w:type="dxa"/>
            <w:vAlign w:val="bottom"/>
            <w:gridSpan w:val="3"/>
          </w:tcPr>
          <w:p>
            <w:pPr>
              <w:ind w:left="260"/>
              <w:spacing w:after="0"/>
              <w:rPr>
                <w:sz w:val="20"/>
                <w:szCs w:val="20"/>
                <w:color w:val="auto"/>
              </w:rPr>
            </w:pPr>
            <w:r>
              <w:rPr>
                <w:rFonts w:ascii="Arial" w:cs="Arial" w:eastAsia="Arial" w:hAnsi="Arial"/>
                <w:sz w:val="17"/>
                <w:szCs w:val="17"/>
                <w:color w:val="auto"/>
                <w:w w:val="89"/>
              </w:rPr>
              <w:t>February 23, 2023</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920" w:type="dxa"/>
            <w:vAlign w:val="bottom"/>
            <w:gridSpan w:val="4"/>
          </w:tcPr>
          <w:p>
            <w:pPr>
              <w:jc w:val="center"/>
              <w:ind w:right="1460"/>
              <w:spacing w:after="0"/>
              <w:rPr>
                <w:sz w:val="20"/>
                <w:szCs w:val="20"/>
                <w:color w:val="auto"/>
              </w:rPr>
            </w:pPr>
            <w:r>
              <w:rPr>
                <w:rFonts w:ascii="Arial" w:cs="Arial" w:eastAsia="Arial" w:hAnsi="Arial"/>
                <w:sz w:val="14"/>
                <w:szCs w:val="14"/>
                <w:b w:val="1"/>
                <w:bCs w:val="1"/>
                <w:color w:val="auto"/>
                <w:w w:val="90"/>
              </w:rPr>
              <w:t>Jaynie M. Studenmund</w:t>
            </w: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53" w:right="35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46" w:lineRule="exact"/>
        <w:rPr>
          <w:sz w:val="20"/>
          <w:szCs w:val="20"/>
          <w:color w:val="auto"/>
        </w:rPr>
      </w:pPr>
    </w:p>
    <w:tbl>
      <w:tblPr>
        <w:tblLayout w:type="fixed"/>
        <w:tblInd w:w="420" w:type="dxa"/>
        <w:tblCellMar>
          <w:top w:w="0" w:type="dxa"/>
          <w:left w:w="0" w:type="dxa"/>
          <w:bottom w:w="0" w:type="dxa"/>
          <w:right w:w="0" w:type="dxa"/>
        </w:tblCellMar>
      </w:tblPr>
      <w:tr>
        <w:trPr>
          <w:trHeight w:val="223"/>
        </w:trPr>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80" w:type="dxa"/>
            <w:vAlign w:val="bottom"/>
            <w:gridSpan w:val="8"/>
          </w:tcPr>
          <w:p>
            <w:pPr>
              <w:ind w:left="280"/>
              <w:spacing w:after="0"/>
              <w:rPr>
                <w:sz w:val="20"/>
                <w:szCs w:val="20"/>
                <w:color w:val="auto"/>
              </w:rPr>
            </w:pPr>
            <w:r>
              <w:rPr>
                <w:rFonts w:ascii="Arial" w:cs="Arial" w:eastAsia="Arial" w:hAnsi="Arial"/>
                <w:sz w:val="17"/>
                <w:szCs w:val="17"/>
                <w:b w:val="1"/>
                <w:bCs w:val="1"/>
                <w:color w:val="auto"/>
              </w:rPr>
              <w:t>INDEX TO EXHIBITS</w:t>
            </w:r>
          </w:p>
        </w:tc>
      </w:tr>
      <w:tr>
        <w:trPr>
          <w:trHeight w:val="413"/>
        </w:trPr>
        <w:tc>
          <w:tcPr>
            <w:tcW w:w="10940" w:type="dxa"/>
            <w:vAlign w:val="bottom"/>
            <w:gridSpan w:val="13"/>
          </w:tcPr>
          <w:p>
            <w:pPr>
              <w:spacing w:after="0"/>
              <w:rPr>
                <w:sz w:val="20"/>
                <w:szCs w:val="20"/>
                <w:color w:val="auto"/>
              </w:rPr>
            </w:pPr>
            <w:r>
              <w:rPr>
                <w:rFonts w:ascii="Arial" w:cs="Arial" w:eastAsia="Arial" w:hAnsi="Arial"/>
                <w:sz w:val="17"/>
                <w:szCs w:val="17"/>
                <w:color w:val="auto"/>
              </w:rPr>
              <w:t>The following exhibits are being filed as part of this report or incorporated by reference as indicated therein:</w:t>
            </w:r>
          </w:p>
        </w:tc>
      </w:tr>
      <w:tr>
        <w:trPr>
          <w:trHeight w:val="414"/>
        </w:trPr>
        <w:tc>
          <w:tcPr>
            <w:tcW w:w="1080" w:type="dxa"/>
            <w:vAlign w:val="bottom"/>
          </w:tcPr>
          <w:p>
            <w:pPr>
              <w:ind w:left="20"/>
              <w:spacing w:after="0"/>
              <w:rPr>
                <w:sz w:val="20"/>
                <w:szCs w:val="20"/>
                <w:color w:val="auto"/>
              </w:rPr>
            </w:pPr>
            <w:r>
              <w:rPr>
                <w:rFonts w:ascii="Arial" w:cs="Arial" w:eastAsia="Arial" w:hAnsi="Arial"/>
                <w:sz w:val="17"/>
                <w:szCs w:val="17"/>
                <w:color w:val="auto"/>
              </w:rPr>
              <w:t>3.1</w:t>
            </w:r>
          </w:p>
        </w:tc>
        <w:tc>
          <w:tcPr>
            <w:tcW w:w="9860" w:type="dxa"/>
            <w:vAlign w:val="bottom"/>
            <w:gridSpan w:val="12"/>
          </w:tcPr>
          <w:p>
            <w:pPr>
              <w:spacing w:after="0"/>
              <w:rPr>
                <w:rFonts w:ascii="Arial" w:cs="Arial" w:eastAsia="Arial" w:hAnsi="Arial"/>
                <w:sz w:val="17"/>
                <w:szCs w:val="17"/>
                <w:color w:val="0000FF"/>
                <w:w w:val="92"/>
              </w:rPr>
            </w:pPr>
            <w:hyperlink r:id="rId78">
              <w:r>
                <w:rPr>
                  <w:rFonts w:ascii="Arial" w:cs="Arial" w:eastAsia="Arial" w:hAnsi="Arial"/>
                  <w:sz w:val="17"/>
                  <w:szCs w:val="17"/>
                  <w:color w:val="0000FF"/>
                  <w:w w:val="92"/>
                </w:rPr>
                <w:t>Amended and Restated Certificate of Incorporation of the Company (incorporated by reference to Exhibit 3.1 of the Company’s Current Repor</w:t>
              </w:r>
            </w:hyperlink>
          </w:p>
        </w:tc>
      </w:tr>
      <w:tr>
        <w:trPr>
          <w:trHeight w:val="148"/>
        </w:trPr>
        <w:tc>
          <w:tcPr>
            <w:tcW w:w="10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3"/>
              </w:rPr>
            </w:pPr>
            <w:hyperlink r:id="rId78">
              <w:r>
                <w:rPr>
                  <w:rFonts w:ascii="Arial" w:cs="Arial" w:eastAsia="Arial" w:hAnsi="Arial"/>
                  <w:sz w:val="17"/>
                  <w:szCs w:val="17"/>
                  <w:color w:val="0000FF"/>
                  <w:w w:val="93"/>
                </w:rPr>
                <w:t>Form 8-K (File No. 1-33089) filed on October 25, 2006).</w:t>
              </w:r>
            </w:hyperlink>
          </w:p>
        </w:tc>
        <w:tc>
          <w:tcPr>
            <w:tcW w:w="590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7"/>
                <w:szCs w:val="17"/>
                <w:color w:val="auto"/>
              </w:rPr>
              <w:t>3.2</w:t>
            </w:r>
          </w:p>
        </w:tc>
        <w:tc>
          <w:tcPr>
            <w:tcW w:w="9860" w:type="dxa"/>
            <w:vAlign w:val="bottom"/>
            <w:gridSpan w:val="12"/>
          </w:tcPr>
          <w:p>
            <w:pPr>
              <w:spacing w:after="0"/>
              <w:rPr>
                <w:rFonts w:ascii="Arial" w:cs="Arial" w:eastAsia="Arial" w:hAnsi="Arial"/>
                <w:sz w:val="17"/>
                <w:szCs w:val="17"/>
                <w:color w:val="0000FF"/>
                <w:w w:val="92"/>
              </w:rPr>
            </w:pPr>
            <w:hyperlink r:id="rId79">
              <w:r>
                <w:rPr>
                  <w:rFonts w:ascii="Arial" w:cs="Arial" w:eastAsia="Arial" w:hAnsi="Arial"/>
                  <w:sz w:val="17"/>
                  <w:szCs w:val="17"/>
                  <w:color w:val="0000FF"/>
                  <w:w w:val="92"/>
                </w:rPr>
                <w:t>Certificate of Amendment to Amended and Restated Certificate of Incorporation of the Company (incorporated by reference to Annex A to the</w:t>
              </w:r>
            </w:hyperlink>
          </w:p>
        </w:tc>
      </w:tr>
      <w:tr>
        <w:trPr>
          <w:trHeight w:val="148"/>
        </w:trPr>
        <w:tc>
          <w:tcPr>
            <w:tcW w:w="108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3"/>
              </w:rPr>
            </w:pPr>
            <w:hyperlink r:id="rId79">
              <w:r>
                <w:rPr>
                  <w:rFonts w:ascii="Arial" w:cs="Arial" w:eastAsia="Arial" w:hAnsi="Arial"/>
                  <w:sz w:val="17"/>
                  <w:szCs w:val="17"/>
                  <w:color w:val="0000FF"/>
                  <w:w w:val="93"/>
                </w:rPr>
                <w:t>Company’s Definitive Proxy Statement on Schedule 14A (File No. 1-33089) filed on April 26, 2019).</w:t>
              </w:r>
            </w:hyperlink>
          </w:p>
        </w:tc>
        <w:tc>
          <w:tcPr>
            <w:tcW w:w="284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7"/>
                <w:szCs w:val="17"/>
                <w:color w:val="auto"/>
              </w:rPr>
              <w:t>3.3</w:t>
            </w:r>
          </w:p>
        </w:tc>
        <w:tc>
          <w:tcPr>
            <w:tcW w:w="9860" w:type="dxa"/>
            <w:vAlign w:val="bottom"/>
            <w:gridSpan w:val="12"/>
          </w:tcPr>
          <w:p>
            <w:pPr>
              <w:spacing w:after="0"/>
              <w:rPr>
                <w:rFonts w:ascii="Arial" w:cs="Arial" w:eastAsia="Arial" w:hAnsi="Arial"/>
                <w:sz w:val="17"/>
                <w:szCs w:val="17"/>
                <w:color w:val="0000FF"/>
                <w:w w:val="92"/>
              </w:rPr>
            </w:pPr>
            <w:hyperlink r:id="rId80">
              <w:r>
                <w:rPr>
                  <w:rFonts w:ascii="Arial" w:cs="Arial" w:eastAsia="Arial" w:hAnsi="Arial"/>
                  <w:sz w:val="17"/>
                  <w:szCs w:val="17"/>
                  <w:color w:val="0000FF"/>
                  <w:w w:val="92"/>
                </w:rPr>
                <w:t>Fifth Amended and Restated By-laws of the Company (incorporated by reference to Exhibit 3.2 of the Company’s Current Report on Form 8-K</w:t>
              </w:r>
            </w:hyperlink>
          </w:p>
        </w:tc>
      </w:tr>
      <w:tr>
        <w:trPr>
          <w:trHeight w:val="148"/>
        </w:trPr>
        <w:tc>
          <w:tcPr>
            <w:tcW w:w="108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2"/>
              </w:rPr>
            </w:pPr>
            <w:hyperlink r:id="rId80">
              <w:r>
                <w:rPr>
                  <w:rFonts w:ascii="Arial" w:cs="Arial" w:eastAsia="Arial" w:hAnsi="Arial"/>
                  <w:sz w:val="17"/>
                  <w:szCs w:val="17"/>
                  <w:color w:val="0000FF"/>
                  <w:w w:val="92"/>
                </w:rPr>
                <w:t>(File No. 1-33089) filed on June 19, 2019).</w:t>
              </w:r>
            </w:hyperlink>
          </w:p>
        </w:tc>
        <w:tc>
          <w:tcPr>
            <w:tcW w:w="68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7"/>
                <w:szCs w:val="17"/>
                <w:color w:val="auto"/>
              </w:rPr>
              <w:t>4.1</w:t>
            </w:r>
          </w:p>
        </w:tc>
        <w:tc>
          <w:tcPr>
            <w:tcW w:w="9860" w:type="dxa"/>
            <w:vAlign w:val="bottom"/>
            <w:gridSpan w:val="12"/>
          </w:tcPr>
          <w:p>
            <w:pPr>
              <w:spacing w:after="0"/>
              <w:rPr>
                <w:rFonts w:ascii="Arial" w:cs="Arial" w:eastAsia="Arial" w:hAnsi="Arial"/>
                <w:sz w:val="17"/>
                <w:szCs w:val="17"/>
                <w:color w:val="0000FF"/>
                <w:w w:val="93"/>
              </w:rPr>
            </w:pPr>
            <w:hyperlink r:id="rId81">
              <w:r>
                <w:rPr>
                  <w:rFonts w:ascii="Arial" w:cs="Arial" w:eastAsia="Arial" w:hAnsi="Arial"/>
                  <w:sz w:val="17"/>
                  <w:szCs w:val="17"/>
                  <w:color w:val="0000FF"/>
                  <w:w w:val="93"/>
                </w:rPr>
                <w:t>Registration Rights Agreement (incorporated by reference to Exhibit 4.1 of the Company’s Current Report on Form 8-K (File No. 1-33089) fil</w:t>
              </w:r>
            </w:hyperlink>
          </w:p>
        </w:tc>
      </w:tr>
      <w:tr>
        <w:trPr>
          <w:trHeight w:val="148"/>
        </w:trPr>
        <w:tc>
          <w:tcPr>
            <w:tcW w:w="108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0"/>
              </w:rPr>
            </w:pPr>
            <w:hyperlink r:id="rId81">
              <w:r>
                <w:rPr>
                  <w:rFonts w:ascii="Arial" w:cs="Arial" w:eastAsia="Arial" w:hAnsi="Arial"/>
                  <w:sz w:val="17"/>
                  <w:szCs w:val="17"/>
                  <w:color w:val="0000FF"/>
                  <w:w w:val="90"/>
                </w:rPr>
                <w:t>on October 25, 2006).</w:t>
              </w:r>
            </w:hyperlink>
          </w:p>
        </w:tc>
        <w:tc>
          <w:tcPr>
            <w:tcW w:w="83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7"/>
                <w:szCs w:val="17"/>
                <w:color w:val="auto"/>
              </w:rPr>
              <w:t>4.2</w:t>
            </w:r>
          </w:p>
        </w:tc>
        <w:tc>
          <w:tcPr>
            <w:tcW w:w="9860" w:type="dxa"/>
            <w:vAlign w:val="bottom"/>
            <w:gridSpan w:val="12"/>
          </w:tcPr>
          <w:p>
            <w:pPr>
              <w:spacing w:after="0"/>
              <w:rPr>
                <w:rFonts w:ascii="Arial" w:cs="Arial" w:eastAsia="Arial" w:hAnsi="Arial"/>
                <w:sz w:val="17"/>
                <w:szCs w:val="17"/>
                <w:color w:val="0000FF"/>
                <w:w w:val="91"/>
              </w:rPr>
            </w:pPr>
            <w:hyperlink r:id="rId82">
              <w:r>
                <w:rPr>
                  <w:rFonts w:ascii="Arial" w:cs="Arial" w:eastAsia="Arial" w:hAnsi="Arial"/>
                  <w:sz w:val="17"/>
                  <w:szCs w:val="17"/>
                  <w:color w:val="0000FF"/>
                  <w:w w:val="91"/>
                </w:rPr>
                <w:t>Indenture, dated as of October 4, 2018, by and between the Company and Citibank, N.A., as trustee (incorporated by reference to Exhibit 4.1 to</w:t>
              </w:r>
            </w:hyperlink>
          </w:p>
        </w:tc>
      </w:tr>
      <w:tr>
        <w:trPr>
          <w:trHeight w:val="148"/>
        </w:trPr>
        <w:tc>
          <w:tcPr>
            <w:tcW w:w="1080" w:type="dxa"/>
            <w:vAlign w:val="bottom"/>
          </w:tcPr>
          <w:p>
            <w:pPr>
              <w:spacing w:after="0"/>
              <w:rPr>
                <w:sz w:val="12"/>
                <w:szCs w:val="12"/>
                <w:color w:val="auto"/>
              </w:rPr>
            </w:pPr>
          </w:p>
        </w:tc>
        <w:tc>
          <w:tcPr>
            <w:tcW w:w="9840" w:type="dxa"/>
            <w:vAlign w:val="bottom"/>
            <w:tcBorders>
              <w:top w:val="single" w:sz="8" w:color="0000FF"/>
            </w:tcBorders>
            <w:gridSpan w:val="11"/>
          </w:tcPr>
          <w:p>
            <w:pPr>
              <w:spacing w:after="0" w:line="148" w:lineRule="exact"/>
              <w:rPr>
                <w:rFonts w:ascii="Arial" w:cs="Arial" w:eastAsia="Arial" w:hAnsi="Arial"/>
                <w:sz w:val="17"/>
                <w:szCs w:val="17"/>
                <w:color w:val="0000FF"/>
              </w:rPr>
            </w:pPr>
            <w:hyperlink r:id="rId82">
              <w:r>
                <w:rPr>
                  <w:rFonts w:ascii="Arial" w:cs="Arial" w:eastAsia="Arial" w:hAnsi="Arial"/>
                  <w:sz w:val="17"/>
                  <w:szCs w:val="17"/>
                  <w:color w:val="0000FF"/>
                </w:rPr>
                <w:t>the Company’s Current Report on Form 8-K (File No. 1-33089) filed on October 4, 2018).</w:t>
              </w:r>
            </w:hyperlink>
          </w:p>
        </w:tc>
        <w:tc>
          <w:tcPr>
            <w:tcW w:w="2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7"/>
                <w:szCs w:val="17"/>
                <w:color w:val="auto"/>
              </w:rPr>
              <w:t>4.3</w:t>
            </w:r>
          </w:p>
        </w:tc>
        <w:tc>
          <w:tcPr>
            <w:tcW w:w="9860" w:type="dxa"/>
            <w:vAlign w:val="bottom"/>
            <w:gridSpan w:val="12"/>
          </w:tcPr>
          <w:p>
            <w:pPr>
              <w:spacing w:after="0"/>
              <w:rPr>
                <w:rFonts w:ascii="Arial" w:cs="Arial" w:eastAsia="Arial" w:hAnsi="Arial"/>
                <w:sz w:val="17"/>
                <w:szCs w:val="17"/>
                <w:color w:val="0000FF"/>
                <w:w w:val="93"/>
              </w:rPr>
            </w:pPr>
            <w:hyperlink r:id="rId83">
              <w:r>
                <w:rPr>
                  <w:rFonts w:ascii="Arial" w:cs="Arial" w:eastAsia="Arial" w:hAnsi="Arial"/>
                  <w:sz w:val="17"/>
                  <w:szCs w:val="17"/>
                  <w:color w:val="0000FF"/>
                  <w:w w:val="93"/>
                </w:rPr>
                <w:t>Description of Common Stock (incorporated by reference to Exhibit 4.3 to the Company’s Annual Report on Form 10-K (File No. 1-33089) fil</w:t>
              </w:r>
            </w:hyperlink>
          </w:p>
        </w:tc>
      </w:tr>
      <w:tr>
        <w:trPr>
          <w:trHeight w:val="148"/>
        </w:trPr>
        <w:tc>
          <w:tcPr>
            <w:tcW w:w="1080" w:type="dxa"/>
            <w:vAlign w:val="bottom"/>
          </w:tcPr>
          <w:p>
            <w:pPr>
              <w:spacing w:after="0"/>
              <w:rPr>
                <w:sz w:val="12"/>
                <w:szCs w:val="12"/>
                <w:color w:val="auto"/>
              </w:rPr>
            </w:pPr>
          </w:p>
        </w:tc>
        <w:tc>
          <w:tcPr>
            <w:tcW w:w="9840" w:type="dxa"/>
            <w:vAlign w:val="bottom"/>
            <w:tcBorders>
              <w:top w:val="single" w:sz="8" w:color="0000FF"/>
            </w:tcBorders>
            <w:gridSpan w:val="11"/>
          </w:tcPr>
          <w:p>
            <w:pPr>
              <w:spacing w:after="0" w:line="148" w:lineRule="exact"/>
              <w:rPr>
                <w:rFonts w:ascii="Arial" w:cs="Arial" w:eastAsia="Arial" w:hAnsi="Arial"/>
                <w:sz w:val="17"/>
                <w:szCs w:val="17"/>
                <w:color w:val="0000FF"/>
              </w:rPr>
            </w:pPr>
            <w:hyperlink r:id="rId83">
              <w:r>
                <w:rPr>
                  <w:rFonts w:ascii="Arial" w:cs="Arial" w:eastAsia="Arial" w:hAnsi="Arial"/>
                  <w:sz w:val="17"/>
                  <w:szCs w:val="17"/>
                  <w:color w:val="0000FF"/>
                </w:rPr>
                <w:t>on February 27, 2020).</w:t>
              </w:r>
            </w:hyperlink>
          </w:p>
        </w:tc>
        <w:tc>
          <w:tcPr>
            <w:tcW w:w="2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7"/>
                <w:szCs w:val="17"/>
                <w:color w:val="auto"/>
              </w:rPr>
              <w:t>10.1+</w:t>
            </w:r>
          </w:p>
        </w:tc>
        <w:tc>
          <w:tcPr>
            <w:tcW w:w="9860" w:type="dxa"/>
            <w:vAlign w:val="bottom"/>
            <w:gridSpan w:val="12"/>
          </w:tcPr>
          <w:p>
            <w:pPr>
              <w:spacing w:after="0"/>
              <w:rPr>
                <w:rFonts w:ascii="Arial" w:cs="Arial" w:eastAsia="Arial" w:hAnsi="Arial"/>
                <w:sz w:val="17"/>
                <w:szCs w:val="17"/>
                <w:color w:val="0000FF"/>
                <w:w w:val="91"/>
              </w:rPr>
            </w:pPr>
            <w:hyperlink r:id="rId84">
              <w:r>
                <w:rPr>
                  <w:rFonts w:ascii="Arial" w:cs="Arial" w:eastAsia="Arial" w:hAnsi="Arial"/>
                  <w:sz w:val="17"/>
                  <w:szCs w:val="17"/>
                  <w:color w:val="0000FF"/>
                  <w:w w:val="91"/>
                </w:rPr>
                <w:t>Second Amended and Restated Employment and Non-Competition Agreement, dated August 3, 2020, between the Company and Rohit Kapoo</w:t>
              </w:r>
            </w:hyperlink>
          </w:p>
        </w:tc>
      </w:tr>
      <w:tr>
        <w:trPr>
          <w:trHeight w:val="148"/>
        </w:trPr>
        <w:tc>
          <w:tcPr>
            <w:tcW w:w="108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2"/>
              </w:rPr>
            </w:pPr>
            <w:hyperlink r:id="rId84">
              <w:r>
                <w:rPr>
                  <w:rFonts w:ascii="Arial" w:cs="Arial" w:eastAsia="Arial" w:hAnsi="Arial"/>
                  <w:sz w:val="17"/>
                  <w:szCs w:val="17"/>
                  <w:color w:val="0000FF"/>
                  <w:w w:val="92"/>
                </w:rPr>
                <w:t>(incorporated by reference to Exhibit 10.1 to the Company’s Quarterly Report on Form 10-Q (File No. 1-33089) filed on October 29, 2020).</w:t>
              </w:r>
            </w:hyperlink>
          </w:p>
        </w:tc>
        <w:tc>
          <w:tcPr>
            <w:tcW w:w="2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7"/>
                <w:szCs w:val="17"/>
                <w:color w:val="auto"/>
              </w:rPr>
              <w:t>10.2+</w:t>
            </w:r>
          </w:p>
        </w:tc>
        <w:tc>
          <w:tcPr>
            <w:tcW w:w="9860" w:type="dxa"/>
            <w:vAlign w:val="bottom"/>
            <w:gridSpan w:val="12"/>
          </w:tcPr>
          <w:p>
            <w:pPr>
              <w:spacing w:after="0"/>
              <w:rPr>
                <w:rFonts w:ascii="Arial" w:cs="Arial" w:eastAsia="Arial" w:hAnsi="Arial"/>
                <w:sz w:val="17"/>
                <w:szCs w:val="17"/>
                <w:color w:val="0000FF"/>
                <w:w w:val="92"/>
              </w:rPr>
            </w:pPr>
            <w:hyperlink r:id="rId84">
              <w:r>
                <w:rPr>
                  <w:rFonts w:ascii="Arial" w:cs="Arial" w:eastAsia="Arial" w:hAnsi="Arial"/>
                  <w:sz w:val="17"/>
                  <w:szCs w:val="17"/>
                  <w:color w:val="0000FF"/>
                  <w:w w:val="92"/>
                </w:rPr>
                <w:t>Amendment to Second Amended and Restated Employment and Non-Competition Agreement, dated August 12, 2022, between the Company</w:t>
              </w:r>
            </w:hyperlink>
          </w:p>
        </w:tc>
      </w:tr>
      <w:tr>
        <w:trPr>
          <w:trHeight w:val="148"/>
        </w:trPr>
        <w:tc>
          <w:tcPr>
            <w:tcW w:w="1080" w:type="dxa"/>
            <w:vAlign w:val="bottom"/>
          </w:tcPr>
          <w:p>
            <w:pPr>
              <w:spacing w:after="0"/>
              <w:rPr>
                <w:sz w:val="12"/>
                <w:szCs w:val="12"/>
                <w:color w:val="auto"/>
              </w:rPr>
            </w:pPr>
          </w:p>
        </w:tc>
        <w:tc>
          <w:tcPr>
            <w:tcW w:w="9840" w:type="dxa"/>
            <w:vAlign w:val="bottom"/>
            <w:tcBorders>
              <w:top w:val="single" w:sz="8" w:color="0000FF"/>
              <w:bottom w:val="single" w:sz="8" w:color="0000FF"/>
            </w:tcBorders>
            <w:gridSpan w:val="11"/>
          </w:tcPr>
          <w:p>
            <w:pPr>
              <w:spacing w:after="0" w:line="148" w:lineRule="exact"/>
              <w:rPr>
                <w:rFonts w:ascii="Arial" w:cs="Arial" w:eastAsia="Arial" w:hAnsi="Arial"/>
                <w:sz w:val="17"/>
                <w:szCs w:val="17"/>
                <w:color w:val="0000FF"/>
                <w:w w:val="93"/>
              </w:rPr>
            </w:pPr>
            <w:hyperlink r:id="rId84">
              <w:r>
                <w:rPr>
                  <w:rFonts w:ascii="Arial" w:cs="Arial" w:eastAsia="Arial" w:hAnsi="Arial"/>
                  <w:sz w:val="17"/>
                  <w:szCs w:val="17"/>
                  <w:color w:val="0000FF"/>
                  <w:w w:val="93"/>
                </w:rPr>
                <w:t>Rohit Kapoor (incorporated by reference to Exhibit 10.1 to the Company’s Quarterly Report on Form 10-Q (File No. 1-33089) filed on Octobe</w:t>
              </w:r>
            </w:hyperlink>
          </w:p>
        </w:tc>
        <w:tc>
          <w:tcPr>
            <w:tcW w:w="20" w:type="dxa"/>
            <w:vAlign w:val="bottom"/>
          </w:tcPr>
          <w:p>
            <w:pPr>
              <w:spacing w:after="0"/>
              <w:rPr>
                <w:sz w:val="12"/>
                <w:szCs w:val="12"/>
                <w:color w:val="auto"/>
              </w:rPr>
            </w:pPr>
          </w:p>
        </w:tc>
      </w:tr>
      <w:tr>
        <w:trPr>
          <w:trHeight w:val="160"/>
        </w:trPr>
        <w:tc>
          <w:tcPr>
            <w:tcW w:w="1080" w:type="dxa"/>
            <w:vAlign w:val="bottom"/>
          </w:tcPr>
          <w:p>
            <w:pPr>
              <w:spacing w:after="0"/>
              <w:rPr>
                <w:sz w:val="13"/>
                <w:szCs w:val="13"/>
                <w:color w:val="auto"/>
              </w:rPr>
            </w:pPr>
          </w:p>
        </w:tc>
        <w:tc>
          <w:tcPr>
            <w:tcW w:w="700" w:type="dxa"/>
            <w:vAlign w:val="bottom"/>
            <w:tcBorders>
              <w:bottom w:val="single" w:sz="8" w:color="0000FF"/>
            </w:tcBorders>
          </w:tcPr>
          <w:p>
            <w:pPr>
              <w:spacing w:after="0" w:line="161" w:lineRule="exact"/>
              <w:rPr>
                <w:rFonts w:ascii="Arial" w:cs="Arial" w:eastAsia="Arial" w:hAnsi="Arial"/>
                <w:sz w:val="17"/>
                <w:szCs w:val="17"/>
                <w:color w:val="0000FF"/>
                <w:w w:val="88"/>
              </w:rPr>
            </w:pPr>
            <w:hyperlink r:id="rId84">
              <w:r>
                <w:rPr>
                  <w:rFonts w:ascii="Arial" w:cs="Arial" w:eastAsia="Arial" w:hAnsi="Arial"/>
                  <w:sz w:val="17"/>
                  <w:szCs w:val="17"/>
                  <w:color w:val="0000FF"/>
                  <w:w w:val="88"/>
                </w:rPr>
                <w:t>27, 2022).</w:t>
              </w:r>
            </w:hyperlink>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1"/>
        </w:trPr>
        <w:tc>
          <w:tcPr>
            <w:tcW w:w="1080" w:type="dxa"/>
            <w:vAlign w:val="bottom"/>
          </w:tcPr>
          <w:p>
            <w:pPr>
              <w:ind w:left="20"/>
              <w:spacing w:after="0"/>
              <w:rPr>
                <w:sz w:val="20"/>
                <w:szCs w:val="20"/>
                <w:color w:val="auto"/>
              </w:rPr>
            </w:pPr>
            <w:r>
              <w:rPr>
                <w:rFonts w:ascii="Arial" w:cs="Arial" w:eastAsia="Arial" w:hAnsi="Arial"/>
                <w:sz w:val="17"/>
                <w:szCs w:val="17"/>
                <w:color w:val="auto"/>
              </w:rPr>
              <w:t>10.3+</w:t>
            </w:r>
          </w:p>
        </w:tc>
        <w:tc>
          <w:tcPr>
            <w:tcW w:w="9860" w:type="dxa"/>
            <w:vAlign w:val="bottom"/>
            <w:gridSpan w:val="12"/>
          </w:tcPr>
          <w:p>
            <w:pPr>
              <w:spacing w:after="0"/>
              <w:rPr>
                <w:rFonts w:ascii="Arial" w:cs="Arial" w:eastAsia="Arial" w:hAnsi="Arial"/>
                <w:sz w:val="17"/>
                <w:szCs w:val="17"/>
                <w:color w:val="0000FF"/>
                <w:w w:val="93"/>
              </w:rPr>
            </w:pPr>
            <w:hyperlink r:id="rId85">
              <w:r>
                <w:rPr>
                  <w:rFonts w:ascii="Arial" w:cs="Arial" w:eastAsia="Arial" w:hAnsi="Arial"/>
                  <w:sz w:val="17"/>
                  <w:szCs w:val="17"/>
                  <w:color w:val="0000FF"/>
                  <w:w w:val="93"/>
                </w:rPr>
                <w:t>Employment Agreement, effective as of February 3, 2020, between ExlService Holdings, Inc. and Maurizio Nicolelli (incorporated by referenc</w:t>
              </w:r>
            </w:hyperlink>
          </w:p>
        </w:tc>
      </w:tr>
      <w:tr>
        <w:trPr>
          <w:trHeight w:val="148"/>
        </w:trPr>
        <w:tc>
          <w:tcPr>
            <w:tcW w:w="1080" w:type="dxa"/>
            <w:vAlign w:val="bottom"/>
          </w:tcPr>
          <w:p>
            <w:pPr>
              <w:spacing w:after="0"/>
              <w:rPr>
                <w:sz w:val="12"/>
                <w:szCs w:val="12"/>
                <w:color w:val="auto"/>
              </w:rPr>
            </w:pPr>
          </w:p>
        </w:tc>
        <w:tc>
          <w:tcPr>
            <w:tcW w:w="9840" w:type="dxa"/>
            <w:vAlign w:val="bottom"/>
            <w:tcBorders>
              <w:top w:val="single" w:sz="8" w:color="0000FF"/>
            </w:tcBorders>
            <w:gridSpan w:val="11"/>
          </w:tcPr>
          <w:p>
            <w:pPr>
              <w:spacing w:after="0" w:line="148" w:lineRule="exact"/>
              <w:rPr>
                <w:rFonts w:ascii="Arial" w:cs="Arial" w:eastAsia="Arial" w:hAnsi="Arial"/>
                <w:sz w:val="17"/>
                <w:szCs w:val="17"/>
                <w:color w:val="0000FF"/>
              </w:rPr>
            </w:pPr>
            <w:hyperlink r:id="rId85">
              <w:r>
                <w:rPr>
                  <w:rFonts w:ascii="Arial" w:cs="Arial" w:eastAsia="Arial" w:hAnsi="Arial"/>
                  <w:sz w:val="17"/>
                  <w:szCs w:val="17"/>
                  <w:color w:val="0000FF"/>
                </w:rPr>
                <w:t>Exhibit 10.4 to the Company’s Annual Report on Form 10-K (File No. 1-33089) filed on February 25, 2021).</w:t>
              </w:r>
            </w:hyperlink>
          </w:p>
        </w:tc>
        <w:tc>
          <w:tcPr>
            <w:tcW w:w="2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750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7"/>
                <w:szCs w:val="17"/>
                <w:color w:val="auto"/>
              </w:rPr>
              <w:t>10.4+</w:t>
            </w:r>
          </w:p>
        </w:tc>
        <w:tc>
          <w:tcPr>
            <w:tcW w:w="9860" w:type="dxa"/>
            <w:vAlign w:val="bottom"/>
            <w:gridSpan w:val="12"/>
          </w:tcPr>
          <w:p>
            <w:pPr>
              <w:spacing w:after="0"/>
              <w:rPr>
                <w:rFonts w:ascii="Arial" w:cs="Arial" w:eastAsia="Arial" w:hAnsi="Arial"/>
                <w:sz w:val="17"/>
                <w:szCs w:val="17"/>
                <w:color w:val="0000FF"/>
                <w:w w:val="92"/>
              </w:rPr>
            </w:pPr>
            <w:hyperlink r:id="rId86">
              <w:r>
                <w:rPr>
                  <w:rFonts w:ascii="Arial" w:cs="Arial" w:eastAsia="Arial" w:hAnsi="Arial"/>
                  <w:sz w:val="17"/>
                  <w:szCs w:val="17"/>
                  <w:color w:val="0000FF"/>
                  <w:w w:val="92"/>
                </w:rPr>
                <w:t>Employment Agreement, dated as of September 15, 2014, between ExlService Holdings, Inc. and Nalin Kumar Miglani (incorporated by refere</w:t>
              </w:r>
            </w:hyperlink>
          </w:p>
        </w:tc>
      </w:tr>
      <w:tr>
        <w:trPr>
          <w:trHeight w:val="148"/>
        </w:trPr>
        <w:tc>
          <w:tcPr>
            <w:tcW w:w="1080" w:type="dxa"/>
            <w:vAlign w:val="bottom"/>
          </w:tcPr>
          <w:p>
            <w:pPr>
              <w:spacing w:after="0"/>
              <w:rPr>
                <w:sz w:val="12"/>
                <w:szCs w:val="12"/>
                <w:color w:val="auto"/>
              </w:rPr>
            </w:pPr>
          </w:p>
        </w:tc>
        <w:tc>
          <w:tcPr>
            <w:tcW w:w="9840" w:type="dxa"/>
            <w:vAlign w:val="bottom"/>
            <w:tcBorders>
              <w:top w:val="single" w:sz="8" w:color="0000FF"/>
            </w:tcBorders>
            <w:gridSpan w:val="11"/>
          </w:tcPr>
          <w:p>
            <w:pPr>
              <w:spacing w:after="0" w:line="148" w:lineRule="exact"/>
              <w:rPr>
                <w:rFonts w:ascii="Arial" w:cs="Arial" w:eastAsia="Arial" w:hAnsi="Arial"/>
                <w:sz w:val="17"/>
                <w:szCs w:val="17"/>
                <w:color w:val="0000FF"/>
              </w:rPr>
            </w:pPr>
            <w:hyperlink r:id="rId86">
              <w:r>
                <w:rPr>
                  <w:rFonts w:ascii="Arial" w:cs="Arial" w:eastAsia="Arial" w:hAnsi="Arial"/>
                  <w:sz w:val="17"/>
                  <w:szCs w:val="17"/>
                  <w:color w:val="0000FF"/>
                </w:rPr>
                <w:t>to Exhibit 10.1 to the Company’s Quarterly Report on Form 10-Q (File No. 1-33089) filed on April 29, 2016).</w:t>
              </w:r>
            </w:hyperlink>
          </w:p>
        </w:tc>
        <w:tc>
          <w:tcPr>
            <w:tcW w:w="2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1" w:lineRule="exact"/>
        <w:rPr>
          <w:sz w:val="20"/>
          <w:szCs w:val="20"/>
          <w:color w:val="auto"/>
        </w:rPr>
      </w:pPr>
    </w:p>
    <w:p>
      <w:pPr>
        <w:sectPr>
          <w:pgSz w:w="11900" w:h="16838" w:orient="portrait"/>
          <w:cols w:equalWidth="0" w:num="1">
            <w:col w:w="11340"/>
          </w:cols>
          <w:pgMar w:left="320" w:top="353" w:right="239" w:bottom="1440" w:gutter="0" w:footer="0" w:header="0"/>
        </w:sectPr>
      </w:pPr>
    </w:p>
    <w:p>
      <w:pPr>
        <w:ind w:left="440"/>
        <w:spacing w:after="0"/>
        <w:rPr>
          <w:sz w:val="20"/>
          <w:szCs w:val="20"/>
          <w:color w:val="auto"/>
        </w:rPr>
      </w:pPr>
      <w:r>
        <w:rPr>
          <w:rFonts w:ascii="Arial" w:cs="Arial" w:eastAsia="Arial" w:hAnsi="Arial"/>
          <w:sz w:val="15"/>
          <w:szCs w:val="15"/>
          <w:color w:val="auto"/>
        </w:rPr>
        <w:t>10.5+</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10.6+</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br w:type="column"/>
      </w:r>
    </w:p>
    <w:p>
      <w:pPr>
        <w:spacing w:after="0" w:line="264" w:lineRule="auto"/>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Employment Agreement, dated April 28, 2001, between ExlService Holdings, Inc. and Vikas Bhalla (incorporated by reference to Exhibit 10.6</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the Company’s Annual Report on Form 10-K (File No. 1-33089) filed on February 25, 2021).</w:t>
        </w:r>
      </w:hyperlink>
    </w:p>
    <w:p>
      <w:pPr>
        <w:spacing w:after="0" w:line="73" w:lineRule="exact"/>
        <w:rPr>
          <w:sz w:val="20"/>
          <w:szCs w:val="20"/>
          <w:color w:val="auto"/>
        </w:rPr>
      </w:pPr>
    </w:p>
    <w:p>
      <w:pPr>
        <w:ind w:right="160"/>
        <w:spacing w:after="0" w:line="264" w:lineRule="auto"/>
        <w:rPr>
          <w:rFonts w:ascii="Arial" w:cs="Arial" w:eastAsia="Arial" w:hAnsi="Arial"/>
          <w:sz w:val="17"/>
          <w:szCs w:val="17"/>
          <w:u w:val="single" w:color="auto"/>
          <w:color w:val="0000FF"/>
        </w:rPr>
      </w:pPr>
      <w:hyperlink r:id="rId88">
        <w:r>
          <w:rPr>
            <w:rFonts w:ascii="Arial" w:cs="Arial" w:eastAsia="Arial" w:hAnsi="Arial"/>
            <w:sz w:val="17"/>
            <w:szCs w:val="17"/>
            <w:u w:val="single" w:color="auto"/>
            <w:color w:val="0000FF"/>
          </w:rPr>
          <w:t>Employment Agreement, effective November 5, 2018, between ExlService Holdings, Inc. and Samuel Meckey (incorporated by reference to</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Exhibit 10.7 to the Company’s Annual Report on Form 10-K (File No. 1-33089).</w:t>
        </w:r>
      </w:hyperlink>
    </w:p>
    <w:p>
      <w:pPr>
        <w:spacing w:after="0" w:line="60" w:lineRule="exact"/>
        <w:rPr>
          <w:sz w:val="20"/>
          <w:szCs w:val="20"/>
          <w:color w:val="auto"/>
        </w:rPr>
      </w:pPr>
    </w:p>
    <w:p>
      <w:pPr>
        <w:ind w:right="280"/>
        <w:spacing w:after="0" w:line="236" w:lineRule="auto"/>
        <w:rPr>
          <w:rFonts w:ascii="Arial" w:cs="Arial" w:eastAsia="Arial" w:hAnsi="Arial"/>
          <w:sz w:val="17"/>
          <w:szCs w:val="17"/>
          <w:u w:val="single" w:color="auto"/>
          <w:color w:val="0000FF"/>
        </w:rPr>
      </w:pPr>
      <w:hyperlink r:id="rId89">
        <w:r>
          <w:rPr>
            <w:rFonts w:ascii="Arial" w:cs="Arial" w:eastAsia="Arial" w:hAnsi="Arial"/>
            <w:sz w:val="17"/>
            <w:szCs w:val="17"/>
            <w:u w:val="single" w:color="auto"/>
            <w:color w:val="0000FF"/>
          </w:rPr>
          <w:t>ExlService Holdings, Inc. 2006 Omnibus Plan (incorporated by reference to Exhibit 10.20 of Amendment 3 to the Company’s Registration</w:t>
        </w:r>
      </w:hyperlink>
      <w:r>
        <w:rPr>
          <w:rFonts w:ascii="Arial" w:cs="Arial" w:eastAsia="Arial" w:hAnsi="Arial"/>
          <w:sz w:val="17"/>
          <w:szCs w:val="17"/>
          <w:u w:val="single" w:color="auto"/>
          <w:color w:val="0000FF"/>
        </w:rPr>
        <w:t xml:space="preserve"> </w:t>
      </w:r>
      <w:hyperlink r:id="rId89">
        <w:r>
          <w:rPr>
            <w:rFonts w:ascii="Arial" w:cs="Arial" w:eastAsia="Arial" w:hAnsi="Arial"/>
            <w:sz w:val="17"/>
            <w:szCs w:val="17"/>
            <w:u w:val="single" w:color="auto"/>
            <w:color w:val="0000FF"/>
          </w:rPr>
          <w:t>Statement on Form S-1 (Registration No. 333-121001) filed July 28, 2006).</w:t>
        </w:r>
      </w:hyperlink>
    </w:p>
    <w:p>
      <w:pPr>
        <w:spacing w:after="0" w:line="51" w:lineRule="exact"/>
        <w:rPr>
          <w:sz w:val="20"/>
          <w:szCs w:val="20"/>
          <w:color w:val="auto"/>
        </w:rPr>
      </w:pPr>
    </w:p>
    <w:p>
      <w:pPr>
        <w:sectPr>
          <w:pgSz w:w="11900" w:h="16838" w:orient="portrait"/>
          <w:cols w:equalWidth="0" w:num="2">
            <w:col w:w="840" w:space="660"/>
            <w:col w:w="9840"/>
          </w:cols>
          <w:pgMar w:left="320" w:top="353"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500" w:type="dxa"/>
            <w:vAlign w:val="bottom"/>
          </w:tcPr>
          <w:p>
            <w:pPr>
              <w:ind w:left="440"/>
              <w:spacing w:after="0"/>
              <w:rPr>
                <w:sz w:val="20"/>
                <w:szCs w:val="20"/>
                <w:color w:val="auto"/>
              </w:rPr>
            </w:pPr>
            <w:r>
              <w:rPr>
                <w:rFonts w:ascii="Arial" w:cs="Arial" w:eastAsia="Arial" w:hAnsi="Arial"/>
                <w:sz w:val="17"/>
                <w:szCs w:val="17"/>
                <w:color w:val="auto"/>
              </w:rPr>
              <w:t>10.8+</w:t>
            </w:r>
          </w:p>
        </w:tc>
        <w:tc>
          <w:tcPr>
            <w:tcW w:w="9860" w:type="dxa"/>
            <w:vAlign w:val="bottom"/>
            <w:gridSpan w:val="10"/>
          </w:tcPr>
          <w:p>
            <w:pPr>
              <w:spacing w:after="0"/>
              <w:rPr>
                <w:rFonts w:ascii="Arial" w:cs="Arial" w:eastAsia="Arial" w:hAnsi="Arial"/>
                <w:sz w:val="17"/>
                <w:szCs w:val="17"/>
                <w:color w:val="0000FF"/>
                <w:w w:val="92"/>
              </w:rPr>
            </w:pPr>
            <w:hyperlink r:id="rId90">
              <w:r>
                <w:rPr>
                  <w:rFonts w:ascii="Arial" w:cs="Arial" w:eastAsia="Arial" w:hAnsi="Arial"/>
                  <w:sz w:val="17"/>
                  <w:szCs w:val="17"/>
                  <w:color w:val="0000FF"/>
                  <w:w w:val="92"/>
                </w:rPr>
                <w:t>Form of Non-Qualified Stock Option Agreement under the 2006 Omnibus Award Plan (incorporated by reference to Exhibit 10.32 of Amendm</w:t>
              </w:r>
            </w:hyperlink>
          </w:p>
        </w:tc>
      </w:tr>
      <w:tr>
        <w:trPr>
          <w:trHeight w:val="148"/>
        </w:trPr>
        <w:tc>
          <w:tcPr>
            <w:tcW w:w="1500" w:type="dxa"/>
            <w:vAlign w:val="bottom"/>
          </w:tcPr>
          <w:p>
            <w:pPr>
              <w:spacing w:after="0"/>
              <w:rPr>
                <w:sz w:val="12"/>
                <w:szCs w:val="12"/>
                <w:color w:val="auto"/>
              </w:rPr>
            </w:pPr>
          </w:p>
        </w:tc>
        <w:tc>
          <w:tcPr>
            <w:tcW w:w="9840" w:type="dxa"/>
            <w:vAlign w:val="bottom"/>
            <w:tcBorders>
              <w:top w:val="single" w:sz="8" w:color="0000FF"/>
            </w:tcBorders>
            <w:gridSpan w:val="9"/>
          </w:tcPr>
          <w:p>
            <w:pPr>
              <w:spacing w:after="0" w:line="148" w:lineRule="exact"/>
              <w:rPr>
                <w:rFonts w:ascii="Arial" w:cs="Arial" w:eastAsia="Arial" w:hAnsi="Arial"/>
                <w:sz w:val="17"/>
                <w:szCs w:val="17"/>
                <w:color w:val="0000FF"/>
              </w:rPr>
            </w:pPr>
            <w:hyperlink r:id="rId90">
              <w:r>
                <w:rPr>
                  <w:rFonts w:ascii="Arial" w:cs="Arial" w:eastAsia="Arial" w:hAnsi="Arial"/>
                  <w:sz w:val="17"/>
                  <w:szCs w:val="17"/>
                  <w:color w:val="0000FF"/>
                </w:rPr>
                <w:t>5 to the Company’s Registration Statement on Form S-1 (Registration No. 333-121001) filed October 4, 2006).</w:t>
              </w:r>
            </w:hyperlink>
          </w:p>
        </w:tc>
        <w:tc>
          <w:tcPr>
            <w:tcW w:w="20" w:type="dxa"/>
            <w:vAlign w:val="bottom"/>
          </w:tcPr>
          <w:p>
            <w:pPr>
              <w:spacing w:after="0"/>
              <w:rPr>
                <w:sz w:val="12"/>
                <w:szCs w:val="12"/>
                <w:color w:val="auto"/>
              </w:rPr>
            </w:pPr>
          </w:p>
        </w:tc>
      </w:tr>
      <w:tr>
        <w:trPr>
          <w:trHeight w:val="20"/>
        </w:trPr>
        <w:tc>
          <w:tcPr>
            <w:tcW w:w="1500" w:type="dxa"/>
            <w:vAlign w:val="bottom"/>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264"/>
        </w:trPr>
        <w:tc>
          <w:tcPr>
            <w:tcW w:w="1500" w:type="dxa"/>
            <w:vAlign w:val="bottom"/>
          </w:tcPr>
          <w:p>
            <w:pPr>
              <w:ind w:left="440"/>
              <w:spacing w:after="0"/>
              <w:rPr>
                <w:sz w:val="20"/>
                <w:szCs w:val="20"/>
                <w:color w:val="auto"/>
              </w:rPr>
            </w:pPr>
            <w:r>
              <w:rPr>
                <w:rFonts w:ascii="Arial" w:cs="Arial" w:eastAsia="Arial" w:hAnsi="Arial"/>
                <w:sz w:val="17"/>
                <w:szCs w:val="17"/>
                <w:color w:val="auto"/>
              </w:rPr>
              <w:t>10.9+</w:t>
            </w:r>
          </w:p>
        </w:tc>
        <w:tc>
          <w:tcPr>
            <w:tcW w:w="9860" w:type="dxa"/>
            <w:vAlign w:val="bottom"/>
            <w:gridSpan w:val="10"/>
          </w:tcPr>
          <w:p>
            <w:pPr>
              <w:spacing w:after="0"/>
              <w:rPr>
                <w:rFonts w:ascii="Arial" w:cs="Arial" w:eastAsia="Arial" w:hAnsi="Arial"/>
                <w:sz w:val="17"/>
                <w:szCs w:val="17"/>
                <w:color w:val="0000FF"/>
                <w:w w:val="96"/>
              </w:rPr>
            </w:pPr>
            <w:hyperlink r:id="rId91">
              <w:r>
                <w:rPr>
                  <w:rFonts w:ascii="Arial" w:cs="Arial" w:eastAsia="Arial" w:hAnsi="Arial"/>
                  <w:sz w:val="17"/>
                  <w:szCs w:val="17"/>
                  <w:color w:val="0000FF"/>
                  <w:w w:val="96"/>
                </w:rPr>
                <w:t>ExlService Holdings, Inc. 2006 Omnibus India Subplan 2 (incorporated by reference to Exhibit 10.38 of Amendment 6 to the Company’s</w:t>
              </w:r>
            </w:hyperlink>
          </w:p>
        </w:tc>
      </w:tr>
      <w:tr>
        <w:trPr>
          <w:trHeight w:val="148"/>
        </w:trPr>
        <w:tc>
          <w:tcPr>
            <w:tcW w:w="1500" w:type="dxa"/>
            <w:vAlign w:val="bottom"/>
          </w:tcPr>
          <w:p>
            <w:pPr>
              <w:spacing w:after="0"/>
              <w:rPr>
                <w:sz w:val="12"/>
                <w:szCs w:val="12"/>
                <w:color w:val="auto"/>
              </w:rPr>
            </w:pPr>
          </w:p>
        </w:tc>
        <w:tc>
          <w:tcPr>
            <w:tcW w:w="9480" w:type="dxa"/>
            <w:vAlign w:val="bottom"/>
            <w:tcBorders>
              <w:top w:val="single" w:sz="8" w:color="0000FF"/>
            </w:tcBorders>
            <w:gridSpan w:val="7"/>
          </w:tcPr>
          <w:p>
            <w:pPr>
              <w:spacing w:after="0" w:line="148" w:lineRule="exact"/>
              <w:rPr>
                <w:rFonts w:ascii="Arial" w:cs="Arial" w:eastAsia="Arial" w:hAnsi="Arial"/>
                <w:sz w:val="17"/>
                <w:szCs w:val="17"/>
                <w:color w:val="0000FF"/>
              </w:rPr>
            </w:pPr>
            <w:hyperlink r:id="rId91">
              <w:r>
                <w:rPr>
                  <w:rFonts w:ascii="Arial" w:cs="Arial" w:eastAsia="Arial" w:hAnsi="Arial"/>
                  <w:sz w:val="17"/>
                  <w:szCs w:val="17"/>
                  <w:color w:val="0000FF"/>
                </w:rPr>
                <w:t>Registration Statement on Form S-1 (Registration No. 333-121001) filed October 17, 2006).</w:t>
              </w:r>
            </w:hyperlink>
          </w:p>
        </w:tc>
        <w:tc>
          <w:tcPr>
            <w:tcW w:w="380" w:type="dxa"/>
            <w:vAlign w:val="bottom"/>
            <w:gridSpan w:val="3"/>
          </w:tcPr>
          <w:p>
            <w:pPr>
              <w:spacing w:after="0"/>
              <w:rPr>
                <w:sz w:val="12"/>
                <w:szCs w:val="12"/>
                <w:color w:val="auto"/>
              </w:rPr>
            </w:pPr>
          </w:p>
        </w:tc>
      </w:tr>
      <w:tr>
        <w:trPr>
          <w:trHeight w:val="20"/>
        </w:trPr>
        <w:tc>
          <w:tcPr>
            <w:tcW w:w="1500" w:type="dxa"/>
            <w:vAlign w:val="bottom"/>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64"/>
        </w:trPr>
        <w:tc>
          <w:tcPr>
            <w:tcW w:w="1500" w:type="dxa"/>
            <w:vAlign w:val="bottom"/>
          </w:tcPr>
          <w:p>
            <w:pPr>
              <w:ind w:left="440"/>
              <w:spacing w:after="0"/>
              <w:rPr>
                <w:sz w:val="20"/>
                <w:szCs w:val="20"/>
                <w:color w:val="auto"/>
              </w:rPr>
            </w:pPr>
            <w:r>
              <w:rPr>
                <w:rFonts w:ascii="Arial" w:cs="Arial" w:eastAsia="Arial" w:hAnsi="Arial"/>
                <w:sz w:val="17"/>
                <w:szCs w:val="17"/>
                <w:color w:val="auto"/>
              </w:rPr>
              <w:t>10.10+</w:t>
            </w:r>
          </w:p>
        </w:tc>
        <w:tc>
          <w:tcPr>
            <w:tcW w:w="9860" w:type="dxa"/>
            <w:vAlign w:val="bottom"/>
            <w:gridSpan w:val="10"/>
          </w:tcPr>
          <w:p>
            <w:pPr>
              <w:spacing w:after="0"/>
              <w:rPr>
                <w:rFonts w:ascii="Arial" w:cs="Arial" w:eastAsia="Arial" w:hAnsi="Arial"/>
                <w:sz w:val="17"/>
                <w:szCs w:val="17"/>
                <w:color w:val="0000FF"/>
                <w:w w:val="96"/>
              </w:rPr>
            </w:pPr>
            <w:hyperlink r:id="rId92">
              <w:r>
                <w:rPr>
                  <w:rFonts w:ascii="Arial" w:cs="Arial" w:eastAsia="Arial" w:hAnsi="Arial"/>
                  <w:sz w:val="17"/>
                  <w:szCs w:val="17"/>
                  <w:color w:val="0000FF"/>
                  <w:w w:val="96"/>
                </w:rPr>
                <w:t>Form of Non-Qualified Stock Option Agreement under the 2006 Omnibus India Subplan 2 (incorporated by reference to Exhibit 10.39 of</w:t>
              </w:r>
            </w:hyperlink>
          </w:p>
        </w:tc>
      </w:tr>
      <w:tr>
        <w:trPr>
          <w:trHeight w:val="148"/>
        </w:trPr>
        <w:tc>
          <w:tcPr>
            <w:tcW w:w="1500" w:type="dxa"/>
            <w:vAlign w:val="bottom"/>
          </w:tcPr>
          <w:p>
            <w:pPr>
              <w:spacing w:after="0"/>
              <w:rPr>
                <w:sz w:val="12"/>
                <w:szCs w:val="12"/>
                <w:color w:val="auto"/>
              </w:rPr>
            </w:pPr>
          </w:p>
        </w:tc>
        <w:tc>
          <w:tcPr>
            <w:tcW w:w="9460" w:type="dxa"/>
            <w:vAlign w:val="bottom"/>
            <w:tcBorders>
              <w:top w:val="single" w:sz="8" w:color="0000FF"/>
            </w:tcBorders>
            <w:gridSpan w:val="6"/>
          </w:tcPr>
          <w:p>
            <w:pPr>
              <w:spacing w:after="0" w:line="148" w:lineRule="exact"/>
              <w:rPr>
                <w:rFonts w:ascii="Arial" w:cs="Arial" w:eastAsia="Arial" w:hAnsi="Arial"/>
                <w:sz w:val="17"/>
                <w:szCs w:val="17"/>
                <w:color w:val="0000FF"/>
              </w:rPr>
            </w:pPr>
            <w:hyperlink r:id="rId92">
              <w:r>
                <w:rPr>
                  <w:rFonts w:ascii="Arial" w:cs="Arial" w:eastAsia="Arial" w:hAnsi="Arial"/>
                  <w:sz w:val="17"/>
                  <w:szCs w:val="17"/>
                  <w:color w:val="0000FF"/>
                </w:rPr>
                <w:t>Amendment 5 to the Company’s Registration Statement on Form S-1 (Registration No. 333-121001) filed October 4, 2006).</w:t>
              </w:r>
            </w:hyperlink>
          </w:p>
        </w:tc>
        <w:tc>
          <w:tcPr>
            <w:tcW w:w="400" w:type="dxa"/>
            <w:vAlign w:val="bottom"/>
            <w:gridSpan w:val="4"/>
          </w:tcPr>
          <w:p>
            <w:pPr>
              <w:spacing w:after="0"/>
              <w:rPr>
                <w:sz w:val="12"/>
                <w:szCs w:val="12"/>
                <w:color w:val="auto"/>
              </w:rPr>
            </w:pPr>
          </w:p>
        </w:tc>
      </w:tr>
      <w:tr>
        <w:trPr>
          <w:trHeight w:val="20"/>
        </w:trPr>
        <w:tc>
          <w:tcPr>
            <w:tcW w:w="1500" w:type="dxa"/>
            <w:vAlign w:val="bottom"/>
          </w:tcPr>
          <w:p>
            <w:pPr>
              <w:spacing w:after="0" w:line="20" w:lineRule="exact"/>
              <w:rPr>
                <w:sz w:val="1"/>
                <w:szCs w:val="1"/>
                <w:color w:val="auto"/>
              </w:rPr>
            </w:pPr>
          </w:p>
        </w:tc>
        <w:tc>
          <w:tcPr>
            <w:tcW w:w="708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64"/>
        </w:trPr>
        <w:tc>
          <w:tcPr>
            <w:tcW w:w="1500" w:type="dxa"/>
            <w:vAlign w:val="bottom"/>
          </w:tcPr>
          <w:p>
            <w:pPr>
              <w:ind w:left="440"/>
              <w:spacing w:after="0"/>
              <w:rPr>
                <w:sz w:val="20"/>
                <w:szCs w:val="20"/>
                <w:color w:val="auto"/>
              </w:rPr>
            </w:pPr>
            <w:r>
              <w:rPr>
                <w:rFonts w:ascii="Arial" w:cs="Arial" w:eastAsia="Arial" w:hAnsi="Arial"/>
                <w:sz w:val="17"/>
                <w:szCs w:val="17"/>
                <w:color w:val="auto"/>
              </w:rPr>
              <w:t>10.11+</w:t>
            </w:r>
          </w:p>
        </w:tc>
        <w:tc>
          <w:tcPr>
            <w:tcW w:w="9860" w:type="dxa"/>
            <w:vAlign w:val="bottom"/>
            <w:gridSpan w:val="10"/>
          </w:tcPr>
          <w:p>
            <w:pPr>
              <w:spacing w:after="0"/>
              <w:rPr>
                <w:rFonts w:ascii="Arial" w:cs="Arial" w:eastAsia="Arial" w:hAnsi="Arial"/>
                <w:sz w:val="17"/>
                <w:szCs w:val="17"/>
                <w:color w:val="0000FF"/>
                <w:w w:val="97"/>
              </w:rPr>
            </w:pPr>
            <w:hyperlink r:id="rId93">
              <w:r>
                <w:rPr>
                  <w:rFonts w:ascii="Arial" w:cs="Arial" w:eastAsia="Arial" w:hAnsi="Arial"/>
                  <w:sz w:val="17"/>
                  <w:szCs w:val="17"/>
                  <w:color w:val="0000FF"/>
                  <w:w w:val="97"/>
                </w:rPr>
                <w:t>Amendment to ExlService Holdings, Inc. 2006 Omnibus Award Plan (incorporated by reference to Exhibit 10.43 of Amendment 5 to the</w:t>
              </w:r>
            </w:hyperlink>
          </w:p>
        </w:tc>
      </w:tr>
      <w:tr>
        <w:trPr>
          <w:trHeight w:val="148"/>
        </w:trPr>
        <w:tc>
          <w:tcPr>
            <w:tcW w:w="1500" w:type="dxa"/>
            <w:vAlign w:val="bottom"/>
          </w:tcPr>
          <w:p>
            <w:pPr>
              <w:spacing w:after="0"/>
              <w:rPr>
                <w:sz w:val="12"/>
                <w:szCs w:val="12"/>
                <w:color w:val="auto"/>
              </w:rPr>
            </w:pPr>
          </w:p>
        </w:tc>
        <w:tc>
          <w:tcPr>
            <w:tcW w:w="9400" w:type="dxa"/>
            <w:vAlign w:val="bottom"/>
            <w:tcBorders>
              <w:top w:val="single" w:sz="8" w:color="0000FF"/>
            </w:tcBorders>
            <w:gridSpan w:val="5"/>
          </w:tcPr>
          <w:p>
            <w:pPr>
              <w:spacing w:after="0" w:line="148" w:lineRule="exact"/>
              <w:rPr>
                <w:rFonts w:ascii="Arial" w:cs="Arial" w:eastAsia="Arial" w:hAnsi="Arial"/>
                <w:sz w:val="17"/>
                <w:szCs w:val="17"/>
                <w:color w:val="0000FF"/>
              </w:rPr>
            </w:pPr>
            <w:hyperlink r:id="rId93">
              <w:r>
                <w:rPr>
                  <w:rFonts w:ascii="Arial" w:cs="Arial" w:eastAsia="Arial" w:hAnsi="Arial"/>
                  <w:sz w:val="17"/>
                  <w:szCs w:val="17"/>
                  <w:color w:val="0000FF"/>
                </w:rPr>
                <w:t>Company’s Registration Statement on Form S-1 (Registration No. 333-121001) filed October 4, 2006).</w:t>
              </w:r>
            </w:hyperlink>
          </w:p>
        </w:tc>
        <w:tc>
          <w:tcPr>
            <w:tcW w:w="460" w:type="dxa"/>
            <w:vAlign w:val="bottom"/>
            <w:gridSpan w:val="5"/>
          </w:tcPr>
          <w:p>
            <w:pPr>
              <w:spacing w:after="0"/>
              <w:rPr>
                <w:sz w:val="12"/>
                <w:szCs w:val="12"/>
                <w:color w:val="auto"/>
              </w:rPr>
            </w:pPr>
          </w:p>
        </w:tc>
      </w:tr>
      <w:tr>
        <w:trPr>
          <w:trHeight w:val="868"/>
        </w:trPr>
        <w:tc>
          <w:tcPr>
            <w:tcW w:w="1500" w:type="dxa"/>
            <w:vAlign w:val="bottom"/>
          </w:tcPr>
          <w:p>
            <w:pPr>
              <w:spacing w:after="0"/>
              <w:rPr>
                <w:sz w:val="24"/>
                <w:szCs w:val="24"/>
                <w:color w:val="auto"/>
              </w:rPr>
            </w:pPr>
          </w:p>
        </w:tc>
        <w:tc>
          <w:tcPr>
            <w:tcW w:w="6340" w:type="dxa"/>
            <w:vAlign w:val="bottom"/>
            <w:tcBorders>
              <w:top w:val="single" w:sz="8" w:color="0000FF"/>
            </w:tcBorders>
          </w:tcPr>
          <w:p>
            <w:pPr>
              <w:ind w:left="4040"/>
              <w:spacing w:after="0"/>
              <w:rPr>
                <w:sz w:val="20"/>
                <w:szCs w:val="20"/>
                <w:color w:val="auto"/>
              </w:rPr>
            </w:pPr>
            <w:r>
              <w:rPr>
                <w:rFonts w:ascii="Arial" w:cs="Arial" w:eastAsia="Arial" w:hAnsi="Arial"/>
                <w:sz w:val="17"/>
                <w:szCs w:val="17"/>
                <w:color w:val="auto"/>
              </w:rPr>
              <w:t>56</w:t>
            </w:r>
          </w:p>
        </w:tc>
        <w:tc>
          <w:tcPr>
            <w:tcW w:w="7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1500" w:type="dxa"/>
            <w:vAlign w:val="bottom"/>
            <w:tcBorders>
              <w:bottom w:val="single" w:sz="8" w:color="9A9A9A"/>
            </w:tcBorders>
          </w:tcPr>
          <w:p>
            <w:pPr>
              <w:spacing w:after="0"/>
              <w:rPr>
                <w:sz w:val="9"/>
                <w:szCs w:val="9"/>
                <w:color w:val="auto"/>
              </w:rPr>
            </w:pPr>
          </w:p>
        </w:tc>
        <w:tc>
          <w:tcPr>
            <w:tcW w:w="6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53"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10.12+</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10.13+</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36" w:lineRule="auto"/>
        <w:rPr>
          <w:rFonts w:ascii="Arial" w:cs="Arial" w:eastAsia="Arial" w:hAnsi="Arial"/>
          <w:sz w:val="17"/>
          <w:szCs w:val="17"/>
          <w:u w:val="single" w:color="auto"/>
          <w:color w:val="0000FF"/>
        </w:rPr>
      </w:pPr>
      <w:hyperlink r:id="rId96">
        <w:r>
          <w:rPr>
            <w:rFonts w:ascii="Arial" w:cs="Arial" w:eastAsia="Arial" w:hAnsi="Arial"/>
            <w:sz w:val="17"/>
            <w:szCs w:val="17"/>
            <w:u w:val="single" w:color="auto"/>
            <w:color w:val="0000FF"/>
          </w:rPr>
          <w:t>Amendment No. 2 to ExlService Holdings, Inc. 2006 Omnibus Award Plan (incorporated by reference to Exhibit 10.46 of Amendment 6 to the</w:t>
        </w:r>
      </w:hyperlink>
      <w:r>
        <w:rPr>
          <w:rFonts w:ascii="Arial" w:cs="Arial" w:eastAsia="Arial" w:hAnsi="Arial"/>
          <w:sz w:val="17"/>
          <w:szCs w:val="17"/>
          <w:u w:val="single" w:color="auto"/>
          <w:color w:val="0000FF"/>
        </w:rPr>
        <w:t xml:space="preserve"> </w:t>
      </w:r>
      <w:hyperlink r:id="rId96">
        <w:r>
          <w:rPr>
            <w:rFonts w:ascii="Arial" w:cs="Arial" w:eastAsia="Arial" w:hAnsi="Arial"/>
            <w:sz w:val="17"/>
            <w:szCs w:val="17"/>
            <w:u w:val="single" w:color="auto"/>
            <w:color w:val="0000FF"/>
          </w:rPr>
          <w:t>Registration Statement on Form S-1 (Registration No. 333-121001) filed October 17, 2006).</w:t>
        </w:r>
      </w:hyperlink>
    </w:p>
    <w:p>
      <w:pPr>
        <w:spacing w:after="0" w:line="67" w:lineRule="exact"/>
        <w:rPr>
          <w:sz w:val="20"/>
          <w:szCs w:val="20"/>
          <w:color w:val="auto"/>
        </w:rPr>
      </w:pPr>
    </w:p>
    <w:p>
      <w:pPr>
        <w:ind w:right="560"/>
        <w:spacing w:after="0" w:line="236" w:lineRule="auto"/>
        <w:rPr>
          <w:rFonts w:ascii="Arial" w:cs="Arial" w:eastAsia="Arial" w:hAnsi="Arial"/>
          <w:sz w:val="17"/>
          <w:szCs w:val="17"/>
          <w:u w:val="single" w:color="auto"/>
          <w:color w:val="0000FF"/>
        </w:rPr>
      </w:pPr>
      <w:hyperlink r:id="rId97">
        <w:r>
          <w:rPr>
            <w:rFonts w:ascii="Arial" w:cs="Arial" w:eastAsia="Arial" w:hAnsi="Arial"/>
            <w:sz w:val="17"/>
            <w:szCs w:val="17"/>
            <w:u w:val="single" w:color="auto"/>
            <w:color w:val="0000FF"/>
          </w:rPr>
          <w:t>Amendment No. 3 to ExlService Holdings, Inc. 2006 Omnibus Award Plan (incorporated by reference to Exhibit 4.6 to the Company’s</w:t>
        </w:r>
      </w:hyperlink>
      <w:r>
        <w:rPr>
          <w:rFonts w:ascii="Arial" w:cs="Arial" w:eastAsia="Arial" w:hAnsi="Arial"/>
          <w:sz w:val="17"/>
          <w:szCs w:val="17"/>
          <w:u w:val="single" w:color="auto"/>
          <w:color w:val="0000FF"/>
        </w:rPr>
        <w:t xml:space="preserve"> </w:t>
      </w:r>
      <w:hyperlink r:id="rId97">
        <w:r>
          <w:rPr>
            <w:rFonts w:ascii="Arial" w:cs="Arial" w:eastAsia="Arial" w:hAnsi="Arial"/>
            <w:sz w:val="17"/>
            <w:szCs w:val="17"/>
            <w:u w:val="single" w:color="auto"/>
            <w:color w:val="0000FF"/>
          </w:rPr>
          <w:t>Registration Statement on Form S-8 (Registration No. 333-157076) filed February 2, 2009).</w:t>
        </w:r>
      </w:hyperlink>
    </w:p>
    <w:p>
      <w:pPr>
        <w:spacing w:after="0" w:line="105" w:lineRule="exact"/>
        <w:rPr>
          <w:sz w:val="20"/>
          <w:szCs w:val="20"/>
          <w:color w:val="auto"/>
        </w:rPr>
      </w:pPr>
    </w:p>
    <w:p>
      <w:pPr>
        <w:ind w:right="540"/>
        <w:spacing w:after="0" w:line="236" w:lineRule="auto"/>
        <w:rPr>
          <w:rFonts w:ascii="Arial" w:cs="Arial" w:eastAsia="Arial" w:hAnsi="Arial"/>
          <w:sz w:val="17"/>
          <w:szCs w:val="17"/>
          <w:u w:val="single" w:color="auto"/>
          <w:color w:val="0000FF"/>
        </w:rPr>
      </w:pPr>
      <w:hyperlink r:id="rId98">
        <w:r>
          <w:rPr>
            <w:rFonts w:ascii="Arial" w:cs="Arial" w:eastAsia="Arial" w:hAnsi="Arial"/>
            <w:sz w:val="17"/>
            <w:szCs w:val="17"/>
            <w:u w:val="single" w:color="auto"/>
            <w:color w:val="0000FF"/>
          </w:rPr>
          <w:t>Form of Restricted Stock Unit Agreement (U.S.) under the 2006 Omnibus Award Plan (incorporated by reference to Exhibit 10.1 to the</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Company’s Quarterly Report on Form 10-Q (File No. 1-33089) filed on May 1, 2014).</w:t>
        </w:r>
      </w:hyperlink>
    </w:p>
    <w:p>
      <w:pPr>
        <w:spacing w:after="0" w:line="77" w:lineRule="exact"/>
        <w:rPr>
          <w:sz w:val="20"/>
          <w:szCs w:val="20"/>
          <w:color w:val="auto"/>
        </w:rPr>
      </w:pPr>
    </w:p>
    <w:p>
      <w:pPr>
        <w:sectPr>
          <w:pgSz w:w="11900" w:h="16838" w:orient="portrait"/>
          <w:cols w:equalWidth="0" w:num="2">
            <w:col w:w="1300" w:space="200"/>
            <w:col w:w="9840"/>
          </w:cols>
          <w:pgMar w:left="320" w:top="353"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1500" w:type="dxa"/>
            <w:vAlign w:val="bottom"/>
          </w:tcPr>
          <w:p>
            <w:pPr>
              <w:ind w:left="440"/>
              <w:spacing w:after="0"/>
              <w:rPr>
                <w:sz w:val="20"/>
                <w:szCs w:val="20"/>
                <w:color w:val="auto"/>
              </w:rPr>
            </w:pPr>
            <w:r>
              <w:rPr>
                <w:rFonts w:ascii="Arial" w:cs="Arial" w:eastAsia="Arial" w:hAnsi="Arial"/>
                <w:sz w:val="17"/>
                <w:szCs w:val="17"/>
                <w:color w:val="auto"/>
              </w:rPr>
              <w:t>10.15+</w:t>
            </w:r>
          </w:p>
        </w:tc>
        <w:tc>
          <w:tcPr>
            <w:tcW w:w="9900" w:type="dxa"/>
            <w:vAlign w:val="bottom"/>
            <w:gridSpan w:val="21"/>
          </w:tcPr>
          <w:p>
            <w:pPr>
              <w:spacing w:after="0"/>
              <w:rPr>
                <w:rFonts w:ascii="Arial" w:cs="Arial" w:eastAsia="Arial" w:hAnsi="Arial"/>
                <w:sz w:val="17"/>
                <w:szCs w:val="17"/>
                <w:color w:val="0000FF"/>
                <w:w w:val="92"/>
              </w:rPr>
            </w:pPr>
            <w:hyperlink r:id="rId99">
              <w:r>
                <w:rPr>
                  <w:rFonts w:ascii="Arial" w:cs="Arial" w:eastAsia="Arial" w:hAnsi="Arial"/>
                  <w:sz w:val="17"/>
                  <w:szCs w:val="17"/>
                  <w:color w:val="0000FF"/>
                  <w:w w:val="92"/>
                </w:rPr>
                <w:t>ExlService Holdings, Inc. 2015 Amendment and Restatement of the 2006 Omnibus Award Plan (incorporated by reference to Exhibit 10.1 to th</w:t>
              </w:r>
            </w:hyperlink>
          </w:p>
        </w:tc>
      </w:tr>
      <w:tr>
        <w:trPr>
          <w:trHeight w:val="148"/>
        </w:trPr>
        <w:tc>
          <w:tcPr>
            <w:tcW w:w="1500" w:type="dxa"/>
            <w:vAlign w:val="bottom"/>
          </w:tcPr>
          <w:p>
            <w:pPr>
              <w:spacing w:after="0"/>
              <w:rPr>
                <w:sz w:val="12"/>
                <w:szCs w:val="12"/>
                <w:color w:val="auto"/>
              </w:rPr>
            </w:pPr>
          </w:p>
        </w:tc>
        <w:tc>
          <w:tcPr>
            <w:tcW w:w="582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2"/>
              </w:rPr>
            </w:pPr>
            <w:hyperlink r:id="rId99">
              <w:r>
                <w:rPr>
                  <w:rFonts w:ascii="Arial" w:cs="Arial" w:eastAsia="Arial" w:hAnsi="Arial"/>
                  <w:sz w:val="17"/>
                  <w:szCs w:val="17"/>
                  <w:color w:val="0000FF"/>
                  <w:w w:val="92"/>
                </w:rPr>
                <w:t>Company’s Current Report on Form 8-K (File No. 1-33089) filed on June 25, 2015).</w:t>
              </w:r>
            </w:hyperlink>
          </w:p>
        </w:tc>
        <w:tc>
          <w:tcPr>
            <w:tcW w:w="40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r>
      <w:tr>
        <w:trPr>
          <w:trHeight w:val="302"/>
        </w:trPr>
        <w:tc>
          <w:tcPr>
            <w:tcW w:w="1500" w:type="dxa"/>
            <w:vAlign w:val="bottom"/>
          </w:tcPr>
          <w:p>
            <w:pPr>
              <w:ind w:left="440"/>
              <w:spacing w:after="0"/>
              <w:rPr>
                <w:sz w:val="20"/>
                <w:szCs w:val="20"/>
                <w:color w:val="auto"/>
              </w:rPr>
            </w:pPr>
            <w:r>
              <w:rPr>
                <w:rFonts w:ascii="Arial" w:cs="Arial" w:eastAsia="Arial" w:hAnsi="Arial"/>
                <w:sz w:val="17"/>
                <w:szCs w:val="17"/>
                <w:color w:val="auto"/>
              </w:rPr>
              <w:t>10.16+</w:t>
            </w:r>
          </w:p>
        </w:tc>
        <w:tc>
          <w:tcPr>
            <w:tcW w:w="9820" w:type="dxa"/>
            <w:vAlign w:val="bottom"/>
            <w:tcBorders>
              <w:bottom w:val="single" w:sz="8" w:color="0000FF"/>
            </w:tcBorders>
            <w:gridSpan w:val="17"/>
          </w:tcPr>
          <w:p>
            <w:pPr>
              <w:spacing w:after="0"/>
              <w:rPr>
                <w:rFonts w:ascii="Arial" w:cs="Arial" w:eastAsia="Arial" w:hAnsi="Arial"/>
                <w:sz w:val="17"/>
                <w:szCs w:val="17"/>
                <w:color w:val="0000FF"/>
                <w:w w:val="92"/>
              </w:rPr>
            </w:pPr>
            <w:hyperlink r:id="rId100">
              <w:r>
                <w:rPr>
                  <w:rFonts w:ascii="Arial" w:cs="Arial" w:eastAsia="Arial" w:hAnsi="Arial"/>
                  <w:sz w:val="17"/>
                  <w:szCs w:val="17"/>
                  <w:color w:val="0000FF"/>
                  <w:w w:val="92"/>
                </w:rPr>
                <w:t>Form of Restricted Stock Unit Agreement (U.S.) under the ExlService Holdings, Inc. 2015 Amendment and Restatement of the 2006 Omnibus</w:t>
              </w:r>
            </w:hyperlink>
          </w:p>
        </w:tc>
        <w:tc>
          <w:tcPr>
            <w:tcW w:w="80" w:type="dxa"/>
            <w:vAlign w:val="bottom"/>
            <w:gridSpan w:val="4"/>
          </w:tcPr>
          <w:p>
            <w:pPr>
              <w:spacing w:after="0"/>
              <w:rPr>
                <w:sz w:val="24"/>
                <w:szCs w:val="24"/>
                <w:color w:val="auto"/>
              </w:rPr>
            </w:pPr>
          </w:p>
        </w:tc>
      </w:tr>
      <w:tr>
        <w:trPr>
          <w:trHeight w:val="148"/>
        </w:trPr>
        <w:tc>
          <w:tcPr>
            <w:tcW w:w="1500" w:type="dxa"/>
            <w:vAlign w:val="bottom"/>
          </w:tcPr>
          <w:p>
            <w:pPr>
              <w:spacing w:after="0"/>
              <w:rPr>
                <w:sz w:val="12"/>
                <w:szCs w:val="12"/>
                <w:color w:val="auto"/>
              </w:rPr>
            </w:pPr>
          </w:p>
        </w:tc>
        <w:tc>
          <w:tcPr>
            <w:tcW w:w="9900" w:type="dxa"/>
            <w:vAlign w:val="bottom"/>
            <w:gridSpan w:val="21"/>
          </w:tcPr>
          <w:p>
            <w:pPr>
              <w:spacing w:after="0" w:line="148" w:lineRule="exact"/>
              <w:rPr>
                <w:rFonts w:ascii="Arial" w:cs="Arial" w:eastAsia="Arial" w:hAnsi="Arial"/>
                <w:sz w:val="17"/>
                <w:szCs w:val="17"/>
                <w:color w:val="0000FF"/>
                <w:w w:val="93"/>
              </w:rPr>
            </w:pPr>
            <w:hyperlink r:id="rId100">
              <w:r>
                <w:rPr>
                  <w:rFonts w:ascii="Arial" w:cs="Arial" w:eastAsia="Arial" w:hAnsi="Arial"/>
                  <w:sz w:val="17"/>
                  <w:szCs w:val="17"/>
                  <w:color w:val="0000FF"/>
                  <w:w w:val="93"/>
                </w:rPr>
                <w:t>Award Plan (incorporated by reference to Exhibit 10.1 to the Company’s Quarterly Report on Form 10-Q (File No. 1-33089) filed on October 2</w:t>
              </w:r>
            </w:hyperlink>
          </w:p>
        </w:tc>
      </w:tr>
      <w:tr>
        <w:trPr>
          <w:trHeight w:val="160"/>
        </w:trPr>
        <w:tc>
          <w:tcPr>
            <w:tcW w:w="15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61" w:lineRule="exact"/>
              <w:rPr>
                <w:rFonts w:ascii="Arial" w:cs="Arial" w:eastAsia="Arial" w:hAnsi="Arial"/>
                <w:sz w:val="17"/>
                <w:szCs w:val="17"/>
                <w:color w:val="0000FF"/>
                <w:w w:val="87"/>
              </w:rPr>
            </w:pPr>
            <w:hyperlink r:id="rId100">
              <w:r>
                <w:rPr>
                  <w:rFonts w:ascii="Arial" w:cs="Arial" w:eastAsia="Arial" w:hAnsi="Arial"/>
                  <w:sz w:val="17"/>
                  <w:szCs w:val="17"/>
                  <w:color w:val="0000FF"/>
                  <w:w w:val="87"/>
                </w:rPr>
                <w:t>2016).</w:t>
              </w:r>
            </w:hyperlink>
          </w:p>
        </w:tc>
        <w:tc>
          <w:tcPr>
            <w:tcW w:w="1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89"/>
        </w:trPr>
        <w:tc>
          <w:tcPr>
            <w:tcW w:w="1500" w:type="dxa"/>
            <w:vAlign w:val="bottom"/>
          </w:tcPr>
          <w:p>
            <w:pPr>
              <w:ind w:left="440"/>
              <w:spacing w:after="0"/>
              <w:rPr>
                <w:sz w:val="20"/>
                <w:szCs w:val="20"/>
                <w:color w:val="auto"/>
              </w:rPr>
            </w:pPr>
            <w:r>
              <w:rPr>
                <w:rFonts w:ascii="Arial" w:cs="Arial" w:eastAsia="Arial" w:hAnsi="Arial"/>
                <w:sz w:val="17"/>
                <w:szCs w:val="17"/>
                <w:color w:val="auto"/>
              </w:rPr>
              <w:t>10.17+</w:t>
            </w:r>
          </w:p>
        </w:tc>
        <w:tc>
          <w:tcPr>
            <w:tcW w:w="9900" w:type="dxa"/>
            <w:vAlign w:val="bottom"/>
            <w:gridSpan w:val="21"/>
          </w:tcPr>
          <w:p>
            <w:pPr>
              <w:spacing w:after="0"/>
              <w:rPr>
                <w:rFonts w:ascii="Arial" w:cs="Arial" w:eastAsia="Arial" w:hAnsi="Arial"/>
                <w:sz w:val="17"/>
                <w:szCs w:val="17"/>
                <w:color w:val="0000FF"/>
                <w:w w:val="92"/>
              </w:rPr>
            </w:pPr>
            <w:hyperlink r:id="rId101">
              <w:r>
                <w:rPr>
                  <w:rFonts w:ascii="Arial" w:cs="Arial" w:eastAsia="Arial" w:hAnsi="Arial"/>
                  <w:sz w:val="17"/>
                  <w:szCs w:val="17"/>
                  <w:color w:val="0000FF"/>
                  <w:w w:val="92"/>
                </w:rPr>
                <w:t>Form of Restricted Stock Unit Agreement (U.S.) under the ExlService Holdings, Inc. 2015 Amendment and Restatement of the 2006 Omnibus</w:t>
              </w:r>
            </w:hyperlink>
          </w:p>
        </w:tc>
      </w:tr>
      <w:tr>
        <w:trPr>
          <w:trHeight w:val="148"/>
        </w:trPr>
        <w:tc>
          <w:tcPr>
            <w:tcW w:w="1500" w:type="dxa"/>
            <w:vAlign w:val="bottom"/>
          </w:tcPr>
          <w:p>
            <w:pPr>
              <w:spacing w:after="0"/>
              <w:rPr>
                <w:sz w:val="12"/>
                <w:szCs w:val="12"/>
                <w:color w:val="auto"/>
              </w:rPr>
            </w:pPr>
          </w:p>
        </w:tc>
        <w:tc>
          <w:tcPr>
            <w:tcW w:w="9820" w:type="dxa"/>
            <w:vAlign w:val="bottom"/>
            <w:tcBorders>
              <w:top w:val="single" w:sz="8" w:color="0000FF"/>
            </w:tcBorders>
            <w:gridSpan w:val="17"/>
          </w:tcPr>
          <w:p>
            <w:pPr>
              <w:spacing w:after="0" w:line="148" w:lineRule="exact"/>
              <w:rPr>
                <w:rFonts w:ascii="Arial" w:cs="Arial" w:eastAsia="Arial" w:hAnsi="Arial"/>
                <w:sz w:val="17"/>
                <w:szCs w:val="17"/>
                <w:color w:val="0000FF"/>
                <w:w w:val="92"/>
              </w:rPr>
            </w:pPr>
            <w:hyperlink r:id="rId101">
              <w:r>
                <w:rPr>
                  <w:rFonts w:ascii="Arial" w:cs="Arial" w:eastAsia="Arial" w:hAnsi="Arial"/>
                  <w:sz w:val="17"/>
                  <w:szCs w:val="17"/>
                  <w:color w:val="0000FF"/>
                  <w:w w:val="92"/>
                </w:rPr>
                <w:t>Award Plan “(incorporated by reference to Exhibit 10.40 to the Company’s Annual Report on Form 10-K (File No. 1-33089) filed on March 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60"/>
        </w:trPr>
        <w:tc>
          <w:tcPr>
            <w:tcW w:w="15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61" w:lineRule="exact"/>
              <w:rPr>
                <w:rFonts w:ascii="Arial" w:cs="Arial" w:eastAsia="Arial" w:hAnsi="Arial"/>
                <w:sz w:val="17"/>
                <w:szCs w:val="17"/>
                <w:color w:val="0000FF"/>
                <w:w w:val="87"/>
              </w:rPr>
            </w:pPr>
            <w:hyperlink r:id="rId101">
              <w:r>
                <w:rPr>
                  <w:rFonts w:ascii="Arial" w:cs="Arial" w:eastAsia="Arial" w:hAnsi="Arial"/>
                  <w:sz w:val="17"/>
                  <w:szCs w:val="17"/>
                  <w:color w:val="0000FF"/>
                  <w:w w:val="87"/>
                </w:rPr>
                <w:t>2017).</w:t>
              </w:r>
            </w:hyperlink>
          </w:p>
        </w:tc>
        <w:tc>
          <w:tcPr>
            <w:tcW w:w="1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51"/>
        </w:trPr>
        <w:tc>
          <w:tcPr>
            <w:tcW w:w="1500" w:type="dxa"/>
            <w:vAlign w:val="bottom"/>
          </w:tcPr>
          <w:p>
            <w:pPr>
              <w:ind w:left="440"/>
              <w:spacing w:after="0"/>
              <w:rPr>
                <w:sz w:val="20"/>
                <w:szCs w:val="20"/>
                <w:color w:val="auto"/>
              </w:rPr>
            </w:pPr>
            <w:r>
              <w:rPr>
                <w:rFonts w:ascii="Arial" w:cs="Arial" w:eastAsia="Arial" w:hAnsi="Arial"/>
                <w:sz w:val="17"/>
                <w:szCs w:val="17"/>
                <w:color w:val="auto"/>
              </w:rPr>
              <w:t>10.18+</w:t>
            </w:r>
          </w:p>
        </w:tc>
        <w:tc>
          <w:tcPr>
            <w:tcW w:w="9900" w:type="dxa"/>
            <w:vAlign w:val="bottom"/>
            <w:gridSpan w:val="21"/>
          </w:tcPr>
          <w:p>
            <w:pPr>
              <w:spacing w:after="0"/>
              <w:rPr>
                <w:rFonts w:ascii="Arial" w:cs="Arial" w:eastAsia="Arial" w:hAnsi="Arial"/>
                <w:sz w:val="17"/>
                <w:szCs w:val="17"/>
                <w:color w:val="0000FF"/>
                <w:w w:val="93"/>
              </w:rPr>
            </w:pPr>
            <w:hyperlink r:id="rId102">
              <w:r>
                <w:rPr>
                  <w:rFonts w:ascii="Arial" w:cs="Arial" w:eastAsia="Arial" w:hAnsi="Arial"/>
                  <w:sz w:val="17"/>
                  <w:szCs w:val="17"/>
                  <w:color w:val="0000FF"/>
                  <w:w w:val="93"/>
                </w:rPr>
                <w:t>ExlService Holdings, Inc. 2018 Omnibus Incentive Plan (incorporated by reference to Exhibit 10.1 to the Company’s Current Report on Form</w:t>
              </w:r>
            </w:hyperlink>
          </w:p>
        </w:tc>
      </w:tr>
      <w:tr>
        <w:trPr>
          <w:trHeight w:val="148"/>
        </w:trPr>
        <w:tc>
          <w:tcPr>
            <w:tcW w:w="150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2"/>
              </w:rPr>
            </w:pPr>
            <w:hyperlink r:id="rId102">
              <w:r>
                <w:rPr>
                  <w:rFonts w:ascii="Arial" w:cs="Arial" w:eastAsia="Arial" w:hAnsi="Arial"/>
                  <w:sz w:val="17"/>
                  <w:szCs w:val="17"/>
                  <w:color w:val="0000FF"/>
                  <w:w w:val="92"/>
                </w:rPr>
                <w:t>(File No. 1-33089) filed on June 20, 2018).</w:t>
              </w:r>
            </w:hyperlink>
          </w:p>
        </w:tc>
        <w:tc>
          <w:tcPr>
            <w:tcW w:w="690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500" w:type="dxa"/>
            <w:vAlign w:val="bottom"/>
          </w:tcPr>
          <w:p>
            <w:pPr>
              <w:ind w:left="440"/>
              <w:spacing w:after="0"/>
              <w:rPr>
                <w:sz w:val="20"/>
                <w:szCs w:val="20"/>
                <w:color w:val="auto"/>
              </w:rPr>
            </w:pPr>
            <w:r>
              <w:rPr>
                <w:rFonts w:ascii="Arial" w:cs="Arial" w:eastAsia="Arial" w:hAnsi="Arial"/>
                <w:sz w:val="17"/>
                <w:szCs w:val="17"/>
                <w:color w:val="auto"/>
              </w:rPr>
              <w:t>10.19+</w:t>
            </w:r>
          </w:p>
        </w:tc>
        <w:tc>
          <w:tcPr>
            <w:tcW w:w="9900" w:type="dxa"/>
            <w:vAlign w:val="bottom"/>
            <w:gridSpan w:val="21"/>
          </w:tcPr>
          <w:p>
            <w:pPr>
              <w:spacing w:after="0"/>
              <w:rPr>
                <w:rFonts w:ascii="Arial" w:cs="Arial" w:eastAsia="Arial" w:hAnsi="Arial"/>
                <w:sz w:val="17"/>
                <w:szCs w:val="17"/>
                <w:color w:val="0000FF"/>
                <w:w w:val="95"/>
              </w:rPr>
            </w:pPr>
            <w:hyperlink r:id="rId103">
              <w:r>
                <w:rPr>
                  <w:rFonts w:ascii="Arial" w:cs="Arial" w:eastAsia="Arial" w:hAnsi="Arial"/>
                  <w:sz w:val="17"/>
                  <w:szCs w:val="17"/>
                  <w:color w:val="0000FF"/>
                  <w:w w:val="95"/>
                </w:rPr>
                <w:t>Form of Restricted Stock Unit Agreement (applicable to U.S. Executive Officers) under the 2018 Omnibus Incentive Plan (incorporated by</w:t>
              </w:r>
            </w:hyperlink>
          </w:p>
        </w:tc>
      </w:tr>
      <w:tr>
        <w:trPr>
          <w:trHeight w:val="148"/>
        </w:trPr>
        <w:tc>
          <w:tcPr>
            <w:tcW w:w="1500" w:type="dxa"/>
            <w:vAlign w:val="bottom"/>
          </w:tcPr>
          <w:p>
            <w:pPr>
              <w:spacing w:after="0"/>
              <w:rPr>
                <w:sz w:val="12"/>
                <w:szCs w:val="12"/>
                <w:color w:val="auto"/>
              </w:rPr>
            </w:pPr>
          </w:p>
        </w:tc>
        <w:tc>
          <w:tcPr>
            <w:tcW w:w="958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103">
              <w:r>
                <w:rPr>
                  <w:rFonts w:ascii="Arial" w:cs="Arial" w:eastAsia="Arial" w:hAnsi="Arial"/>
                  <w:sz w:val="17"/>
                  <w:szCs w:val="17"/>
                  <w:color w:val="0000FF"/>
                </w:rPr>
                <w:t>reference to Exhibit 10.2 to the Company’s Quarterly Report on Form 10-Q (File No. 1-33089) filed on April 29, 2021).</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500" w:type="dxa"/>
            <w:vAlign w:val="bottom"/>
          </w:tcPr>
          <w:p>
            <w:pPr>
              <w:ind w:left="440"/>
              <w:spacing w:after="0"/>
              <w:rPr>
                <w:sz w:val="20"/>
                <w:szCs w:val="20"/>
                <w:color w:val="auto"/>
              </w:rPr>
            </w:pPr>
            <w:r>
              <w:rPr>
                <w:rFonts w:ascii="Arial" w:cs="Arial" w:eastAsia="Arial" w:hAnsi="Arial"/>
                <w:sz w:val="17"/>
                <w:szCs w:val="17"/>
                <w:color w:val="auto"/>
              </w:rPr>
              <w:t>10.20+</w:t>
            </w:r>
          </w:p>
        </w:tc>
        <w:tc>
          <w:tcPr>
            <w:tcW w:w="9900" w:type="dxa"/>
            <w:vAlign w:val="bottom"/>
            <w:gridSpan w:val="21"/>
          </w:tcPr>
          <w:p>
            <w:pPr>
              <w:spacing w:after="0"/>
              <w:rPr>
                <w:rFonts w:ascii="Arial" w:cs="Arial" w:eastAsia="Arial" w:hAnsi="Arial"/>
                <w:sz w:val="17"/>
                <w:szCs w:val="17"/>
                <w:color w:val="0000FF"/>
                <w:w w:val="93"/>
              </w:rPr>
            </w:pPr>
            <w:hyperlink r:id="rId104">
              <w:r>
                <w:rPr>
                  <w:rFonts w:ascii="Arial" w:cs="Arial" w:eastAsia="Arial" w:hAnsi="Arial"/>
                  <w:sz w:val="17"/>
                  <w:szCs w:val="17"/>
                  <w:color w:val="0000FF"/>
                  <w:w w:val="93"/>
                </w:rPr>
                <w:t>Form of Restricted Stock Unit Agreement (applicable to International Executive Officers) under the 2018 Omnibus Incentive Plan (incorporate</w:t>
              </w:r>
            </w:hyperlink>
          </w:p>
        </w:tc>
      </w:tr>
      <w:tr>
        <w:trPr>
          <w:trHeight w:val="148"/>
        </w:trPr>
        <w:tc>
          <w:tcPr>
            <w:tcW w:w="1500" w:type="dxa"/>
            <w:vAlign w:val="bottom"/>
          </w:tcPr>
          <w:p>
            <w:pPr>
              <w:spacing w:after="0"/>
              <w:rPr>
                <w:sz w:val="12"/>
                <w:szCs w:val="12"/>
                <w:color w:val="auto"/>
              </w:rPr>
            </w:pPr>
          </w:p>
        </w:tc>
        <w:tc>
          <w:tcPr>
            <w:tcW w:w="8480" w:type="dxa"/>
            <w:vAlign w:val="bottom"/>
            <w:tcBorders>
              <w:top w:val="single" w:sz="8" w:color="0000FF"/>
              <w:bottom w:val="single" w:sz="8" w:color="0000FF"/>
            </w:tcBorders>
            <w:gridSpan w:val="12"/>
          </w:tcPr>
          <w:p>
            <w:pPr>
              <w:spacing w:after="0" w:line="148" w:lineRule="exact"/>
              <w:rPr>
                <w:rFonts w:ascii="Arial" w:cs="Arial" w:eastAsia="Arial" w:hAnsi="Arial"/>
                <w:sz w:val="17"/>
                <w:szCs w:val="17"/>
                <w:color w:val="0000FF"/>
                <w:w w:val="93"/>
              </w:rPr>
            </w:pPr>
            <w:hyperlink r:id="rId104">
              <w:r>
                <w:rPr>
                  <w:rFonts w:ascii="Arial" w:cs="Arial" w:eastAsia="Arial" w:hAnsi="Arial"/>
                  <w:sz w:val="17"/>
                  <w:szCs w:val="17"/>
                  <w:color w:val="0000FF"/>
                  <w:w w:val="93"/>
                </w:rPr>
                <w:t>by reference to Exhibit 10.3 to the Company’s Quarterly Report on Form 10-Q (File No. 1-33089) filed on April 29, 2021).</w:t>
              </w:r>
            </w:hyperlink>
          </w:p>
        </w:tc>
        <w:tc>
          <w:tcPr>
            <w:tcW w:w="140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500" w:type="dxa"/>
            <w:vAlign w:val="bottom"/>
          </w:tcPr>
          <w:p>
            <w:pPr>
              <w:ind w:left="440"/>
              <w:spacing w:after="0"/>
              <w:rPr>
                <w:sz w:val="20"/>
                <w:szCs w:val="20"/>
                <w:color w:val="auto"/>
              </w:rPr>
            </w:pPr>
            <w:r>
              <w:rPr>
                <w:rFonts w:ascii="Arial" w:cs="Arial" w:eastAsia="Arial" w:hAnsi="Arial"/>
                <w:sz w:val="17"/>
                <w:szCs w:val="17"/>
                <w:color w:val="auto"/>
              </w:rPr>
              <w:t>10.21+</w:t>
            </w:r>
          </w:p>
        </w:tc>
        <w:tc>
          <w:tcPr>
            <w:tcW w:w="9900" w:type="dxa"/>
            <w:vAlign w:val="bottom"/>
            <w:gridSpan w:val="21"/>
          </w:tcPr>
          <w:p>
            <w:pPr>
              <w:spacing w:after="0"/>
              <w:rPr>
                <w:rFonts w:ascii="Arial" w:cs="Arial" w:eastAsia="Arial" w:hAnsi="Arial"/>
                <w:sz w:val="17"/>
                <w:szCs w:val="17"/>
                <w:color w:val="0000FF"/>
                <w:w w:val="93"/>
              </w:rPr>
            </w:pPr>
            <w:hyperlink r:id="rId105">
              <w:r>
                <w:rPr>
                  <w:rFonts w:ascii="Arial" w:cs="Arial" w:eastAsia="Arial" w:hAnsi="Arial"/>
                  <w:sz w:val="17"/>
                  <w:szCs w:val="17"/>
                  <w:color w:val="0000FF"/>
                  <w:w w:val="93"/>
                </w:rPr>
                <w:t>Form of Restricted Stock Unit Agreement (Directors) under the 2018 Omnibus Incentive Plan (incorporated by reference to Exhibit 10.4 to the</w:t>
              </w:r>
            </w:hyperlink>
          </w:p>
        </w:tc>
      </w:tr>
      <w:tr>
        <w:trPr>
          <w:trHeight w:val="148"/>
        </w:trPr>
        <w:tc>
          <w:tcPr>
            <w:tcW w:w="1500" w:type="dxa"/>
            <w:vAlign w:val="bottom"/>
          </w:tcPr>
          <w:p>
            <w:pPr>
              <w:spacing w:after="0"/>
              <w:rPr>
                <w:sz w:val="12"/>
                <w:szCs w:val="12"/>
                <w:color w:val="auto"/>
              </w:rPr>
            </w:pPr>
          </w:p>
        </w:tc>
        <w:tc>
          <w:tcPr>
            <w:tcW w:w="9840" w:type="dxa"/>
            <w:vAlign w:val="bottom"/>
            <w:tcBorders>
              <w:top w:val="single" w:sz="8" w:color="0000FF"/>
            </w:tcBorders>
            <w:gridSpan w:val="18"/>
          </w:tcPr>
          <w:p>
            <w:pPr>
              <w:spacing w:after="0" w:line="148" w:lineRule="exact"/>
              <w:rPr>
                <w:rFonts w:ascii="Arial" w:cs="Arial" w:eastAsia="Arial" w:hAnsi="Arial"/>
                <w:sz w:val="17"/>
                <w:szCs w:val="17"/>
                <w:color w:val="0000FF"/>
              </w:rPr>
            </w:pPr>
            <w:hyperlink r:id="rId105">
              <w:r>
                <w:rPr>
                  <w:rFonts w:ascii="Arial" w:cs="Arial" w:eastAsia="Arial" w:hAnsi="Arial"/>
                  <w:sz w:val="17"/>
                  <w:szCs w:val="17"/>
                  <w:color w:val="0000FF"/>
                </w:rPr>
                <w:t>Company’s Quarterly Report on Form 10-Q (File No. 1-33089) filed on April 29,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2"/>
        </w:trPr>
        <w:tc>
          <w:tcPr>
            <w:tcW w:w="1500" w:type="dxa"/>
            <w:vAlign w:val="bottom"/>
          </w:tcPr>
          <w:p>
            <w:pPr>
              <w:ind w:left="440"/>
              <w:spacing w:after="0"/>
              <w:rPr>
                <w:sz w:val="20"/>
                <w:szCs w:val="20"/>
                <w:color w:val="auto"/>
              </w:rPr>
            </w:pPr>
            <w:r>
              <w:rPr>
                <w:rFonts w:ascii="Arial" w:cs="Arial" w:eastAsia="Arial" w:hAnsi="Arial"/>
                <w:sz w:val="17"/>
                <w:szCs w:val="17"/>
                <w:color w:val="auto"/>
              </w:rPr>
              <w:t>10.22+</w:t>
            </w:r>
          </w:p>
        </w:tc>
        <w:tc>
          <w:tcPr>
            <w:tcW w:w="9900" w:type="dxa"/>
            <w:vAlign w:val="bottom"/>
            <w:gridSpan w:val="21"/>
          </w:tcPr>
          <w:p>
            <w:pPr>
              <w:spacing w:after="0"/>
              <w:rPr>
                <w:rFonts w:ascii="Arial" w:cs="Arial" w:eastAsia="Arial" w:hAnsi="Arial"/>
                <w:sz w:val="17"/>
                <w:szCs w:val="17"/>
                <w:color w:val="0000FF"/>
                <w:w w:val="92"/>
              </w:rPr>
            </w:pPr>
            <w:hyperlink r:id="rId106">
              <w:r>
                <w:rPr>
                  <w:rFonts w:ascii="Arial" w:cs="Arial" w:eastAsia="Arial" w:hAnsi="Arial"/>
                  <w:sz w:val="17"/>
                  <w:szCs w:val="17"/>
                  <w:color w:val="0000FF"/>
                  <w:w w:val="92"/>
                </w:rPr>
                <w:t>ExlService Holdings, Inc. 2022 Employee Stock Purchase Plan (incorporated by reference to Exhibit 10.1 to the Company’s Current Report on</w:t>
              </w:r>
            </w:hyperlink>
          </w:p>
        </w:tc>
      </w:tr>
      <w:tr>
        <w:trPr>
          <w:trHeight w:val="148"/>
        </w:trPr>
        <w:tc>
          <w:tcPr>
            <w:tcW w:w="1500" w:type="dxa"/>
            <w:vAlign w:val="bottom"/>
          </w:tcPr>
          <w:p>
            <w:pPr>
              <w:spacing w:after="0"/>
              <w:rPr>
                <w:sz w:val="12"/>
                <w:szCs w:val="12"/>
                <w:color w:val="auto"/>
              </w:rPr>
            </w:pPr>
          </w:p>
        </w:tc>
        <w:tc>
          <w:tcPr>
            <w:tcW w:w="364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2"/>
              </w:rPr>
            </w:pPr>
            <w:hyperlink r:id="rId106">
              <w:r>
                <w:rPr>
                  <w:rFonts w:ascii="Arial" w:cs="Arial" w:eastAsia="Arial" w:hAnsi="Arial"/>
                  <w:sz w:val="17"/>
                  <w:szCs w:val="17"/>
                  <w:color w:val="0000FF"/>
                  <w:w w:val="92"/>
                </w:rPr>
                <w:t>Form 8-K (File No. 1-33089) filed on June 22, 2022.</w:t>
              </w:r>
            </w:hyperlink>
          </w:p>
        </w:tc>
        <w:tc>
          <w:tcPr>
            <w:tcW w:w="6220" w:type="dxa"/>
            <w:vAlign w:val="bottom"/>
            <w:tcBorders>
              <w:top w:val="single" w:sz="8" w:color="0000FF"/>
            </w:tcBorders>
            <w:gridSpan w:val="1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02"/>
        </w:trPr>
        <w:tc>
          <w:tcPr>
            <w:tcW w:w="1500" w:type="dxa"/>
            <w:vAlign w:val="bottom"/>
          </w:tcPr>
          <w:p>
            <w:pPr>
              <w:ind w:left="440"/>
              <w:spacing w:after="0"/>
              <w:rPr>
                <w:sz w:val="20"/>
                <w:szCs w:val="20"/>
                <w:color w:val="auto"/>
              </w:rPr>
            </w:pPr>
            <w:r>
              <w:rPr>
                <w:rFonts w:ascii="Arial" w:cs="Arial" w:eastAsia="Arial" w:hAnsi="Arial"/>
                <w:sz w:val="17"/>
                <w:szCs w:val="17"/>
                <w:color w:val="auto"/>
              </w:rPr>
              <w:t>10.23</w:t>
            </w:r>
          </w:p>
        </w:tc>
        <w:tc>
          <w:tcPr>
            <w:tcW w:w="9900" w:type="dxa"/>
            <w:vAlign w:val="bottom"/>
            <w:gridSpan w:val="21"/>
          </w:tcPr>
          <w:p>
            <w:pPr>
              <w:spacing w:after="0"/>
              <w:rPr>
                <w:rFonts w:ascii="Arial" w:cs="Arial" w:eastAsia="Arial" w:hAnsi="Arial"/>
                <w:sz w:val="17"/>
                <w:szCs w:val="17"/>
                <w:color w:val="0000FF"/>
                <w:w w:val="91"/>
              </w:rPr>
            </w:pPr>
            <w:hyperlink r:id="rId107">
              <w:r>
                <w:rPr>
                  <w:rFonts w:ascii="Arial" w:cs="Arial" w:eastAsia="Arial" w:hAnsi="Arial"/>
                  <w:sz w:val="17"/>
                  <w:szCs w:val="17"/>
                  <w:color w:val="0000FF"/>
                  <w:w w:val="91"/>
                </w:rPr>
                <w:t>Amendment and Restatement Agreement, dated April 18, 2022, by and among the Company and the other loan parties thereto, the lenders part</w:t>
              </w:r>
            </w:hyperlink>
          </w:p>
        </w:tc>
      </w:tr>
      <w:tr>
        <w:trPr>
          <w:trHeight w:val="148"/>
        </w:trPr>
        <w:tc>
          <w:tcPr>
            <w:tcW w:w="150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20"/>
          </w:tcPr>
          <w:p>
            <w:pPr>
              <w:spacing w:after="0" w:line="148" w:lineRule="exact"/>
              <w:rPr>
                <w:rFonts w:ascii="Arial" w:cs="Arial" w:eastAsia="Arial" w:hAnsi="Arial"/>
                <w:sz w:val="17"/>
                <w:szCs w:val="17"/>
                <w:color w:val="0000FF"/>
                <w:w w:val="92"/>
              </w:rPr>
            </w:pPr>
            <w:hyperlink r:id="rId107">
              <w:r>
                <w:rPr>
                  <w:rFonts w:ascii="Arial" w:cs="Arial" w:eastAsia="Arial" w:hAnsi="Arial"/>
                  <w:sz w:val="17"/>
                  <w:szCs w:val="17"/>
                  <w:color w:val="0000FF"/>
                  <w:w w:val="92"/>
                </w:rPr>
                <w:t>thereto, and Citibank, N.A., as administrative agent (incorporated by reference to Exhibit 10.1 to the Company’s Current Report on Form 8-K (</w:t>
              </w:r>
            </w:hyperlink>
          </w:p>
        </w:tc>
        <w:tc>
          <w:tcPr>
            <w:tcW w:w="20" w:type="dxa"/>
            <w:vAlign w:val="bottom"/>
          </w:tcPr>
          <w:p>
            <w:pPr>
              <w:spacing w:after="0"/>
              <w:rPr>
                <w:sz w:val="12"/>
                <w:szCs w:val="12"/>
                <w:color w:val="auto"/>
              </w:rPr>
            </w:pPr>
          </w:p>
        </w:tc>
      </w:tr>
      <w:tr>
        <w:trPr>
          <w:trHeight w:val="160"/>
        </w:trPr>
        <w:tc>
          <w:tcPr>
            <w:tcW w:w="1500" w:type="dxa"/>
            <w:vAlign w:val="bottom"/>
          </w:tcPr>
          <w:p>
            <w:pPr>
              <w:spacing w:after="0"/>
              <w:rPr>
                <w:sz w:val="13"/>
                <w:szCs w:val="13"/>
                <w:color w:val="auto"/>
              </w:rPr>
            </w:pPr>
          </w:p>
        </w:tc>
        <w:tc>
          <w:tcPr>
            <w:tcW w:w="2600" w:type="dxa"/>
            <w:vAlign w:val="bottom"/>
            <w:tcBorders>
              <w:bottom w:val="single" w:sz="8" w:color="0000FF"/>
            </w:tcBorders>
            <w:gridSpan w:val="3"/>
          </w:tcPr>
          <w:p>
            <w:pPr>
              <w:spacing w:after="0" w:line="161" w:lineRule="exact"/>
              <w:rPr>
                <w:rFonts w:ascii="Arial" w:cs="Arial" w:eastAsia="Arial" w:hAnsi="Arial"/>
                <w:sz w:val="17"/>
                <w:szCs w:val="17"/>
                <w:color w:val="0000FF"/>
                <w:w w:val="94"/>
              </w:rPr>
            </w:pPr>
            <w:hyperlink r:id="rId107">
              <w:r>
                <w:rPr>
                  <w:rFonts w:ascii="Arial" w:cs="Arial" w:eastAsia="Arial" w:hAnsi="Arial"/>
                  <w:sz w:val="17"/>
                  <w:szCs w:val="17"/>
                  <w:color w:val="0000FF"/>
                  <w:w w:val="94"/>
                </w:rPr>
                <w:t>No. 1-33089) filed on April 20, 2022.</w:t>
              </w:r>
            </w:hyperlink>
          </w:p>
        </w:tc>
        <w:tc>
          <w:tcPr>
            <w:tcW w:w="728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89"/>
        </w:trPr>
        <w:tc>
          <w:tcPr>
            <w:tcW w:w="1500" w:type="dxa"/>
            <w:vAlign w:val="bottom"/>
          </w:tcPr>
          <w:p>
            <w:pPr>
              <w:ind w:left="440"/>
              <w:spacing w:after="0"/>
              <w:rPr>
                <w:sz w:val="20"/>
                <w:szCs w:val="20"/>
                <w:color w:val="auto"/>
              </w:rPr>
            </w:pPr>
            <w:r>
              <w:rPr>
                <w:rFonts w:ascii="Arial" w:cs="Arial" w:eastAsia="Arial" w:hAnsi="Arial"/>
                <w:sz w:val="17"/>
                <w:szCs w:val="17"/>
                <w:color w:val="auto"/>
              </w:rPr>
              <w:t>21.1</w:t>
            </w:r>
          </w:p>
        </w:tc>
        <w:tc>
          <w:tcPr>
            <w:tcW w:w="9900" w:type="dxa"/>
            <w:vAlign w:val="bottom"/>
            <w:gridSpan w:val="21"/>
          </w:tcPr>
          <w:p>
            <w:pPr>
              <w:spacing w:after="0"/>
              <w:rPr>
                <w:sz w:val="20"/>
                <w:szCs w:val="20"/>
                <w:color w:val="auto"/>
              </w:rPr>
            </w:pPr>
            <w:r>
              <w:rPr>
                <w:rFonts w:ascii="Arial" w:cs="Arial" w:eastAsia="Arial" w:hAnsi="Arial"/>
                <w:sz w:val="17"/>
                <w:szCs w:val="17"/>
                <w:color w:val="0000FF"/>
              </w:rPr>
              <w:t>Subsidiaries of the Company</w:t>
            </w:r>
            <w:r>
              <w:rPr>
                <w:rFonts w:ascii="Arial" w:cs="Arial" w:eastAsia="Arial" w:hAnsi="Arial"/>
                <w:sz w:val="17"/>
                <w:szCs w:val="17"/>
                <w:color w:val="000000"/>
              </w:rPr>
              <w:t>.</w:t>
            </w:r>
          </w:p>
        </w:tc>
      </w:tr>
      <w:tr>
        <w:trPr>
          <w:trHeight w:val="20"/>
        </w:trPr>
        <w:tc>
          <w:tcPr>
            <w:tcW w:w="15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51"/>
        </w:trPr>
        <w:tc>
          <w:tcPr>
            <w:tcW w:w="1500" w:type="dxa"/>
            <w:vAlign w:val="bottom"/>
          </w:tcPr>
          <w:p>
            <w:pPr>
              <w:ind w:left="440"/>
              <w:spacing w:after="0"/>
              <w:rPr>
                <w:sz w:val="20"/>
                <w:szCs w:val="20"/>
                <w:color w:val="auto"/>
              </w:rPr>
            </w:pPr>
            <w:r>
              <w:rPr>
                <w:rFonts w:ascii="Arial" w:cs="Arial" w:eastAsia="Arial" w:hAnsi="Arial"/>
                <w:sz w:val="17"/>
                <w:szCs w:val="17"/>
                <w:color w:val="auto"/>
              </w:rPr>
              <w:t>23.1</w:t>
            </w:r>
          </w:p>
        </w:tc>
        <w:tc>
          <w:tcPr>
            <w:tcW w:w="9900" w:type="dxa"/>
            <w:vAlign w:val="bottom"/>
            <w:gridSpan w:val="21"/>
          </w:tcPr>
          <w:p>
            <w:pPr>
              <w:spacing w:after="0"/>
              <w:rPr>
                <w:sz w:val="20"/>
                <w:szCs w:val="20"/>
                <w:color w:val="auto"/>
              </w:rPr>
            </w:pPr>
            <w:r>
              <w:rPr>
                <w:rFonts w:ascii="Arial" w:cs="Arial" w:eastAsia="Arial" w:hAnsi="Arial"/>
                <w:sz w:val="17"/>
                <w:szCs w:val="17"/>
                <w:color w:val="0000FF"/>
              </w:rPr>
              <w:t>Consent of Deloitte &amp; Touche LLP, Independent Registered Public Accounting Firm.</w:t>
            </w:r>
          </w:p>
        </w:tc>
      </w:tr>
      <w:tr>
        <w:trPr>
          <w:trHeight w:val="20"/>
        </w:trPr>
        <w:tc>
          <w:tcPr>
            <w:tcW w:w="1500" w:type="dxa"/>
            <w:vAlign w:val="bottom"/>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51"/>
        </w:trPr>
        <w:tc>
          <w:tcPr>
            <w:tcW w:w="1500" w:type="dxa"/>
            <w:vAlign w:val="bottom"/>
          </w:tcPr>
          <w:p>
            <w:pPr>
              <w:ind w:left="440"/>
              <w:spacing w:after="0"/>
              <w:rPr>
                <w:sz w:val="20"/>
                <w:szCs w:val="20"/>
                <w:color w:val="auto"/>
              </w:rPr>
            </w:pPr>
            <w:r>
              <w:rPr>
                <w:rFonts w:ascii="Arial" w:cs="Arial" w:eastAsia="Arial" w:hAnsi="Arial"/>
                <w:sz w:val="17"/>
                <w:szCs w:val="17"/>
                <w:color w:val="auto"/>
              </w:rPr>
              <w:t>31.1</w:t>
            </w:r>
          </w:p>
        </w:tc>
        <w:tc>
          <w:tcPr>
            <w:tcW w:w="9900" w:type="dxa"/>
            <w:vAlign w:val="bottom"/>
            <w:gridSpan w:val="21"/>
          </w:tcPr>
          <w:p>
            <w:pPr>
              <w:spacing w:after="0"/>
              <w:rPr>
                <w:sz w:val="20"/>
                <w:szCs w:val="20"/>
                <w:color w:val="auto"/>
              </w:rPr>
            </w:pPr>
            <w:r>
              <w:rPr>
                <w:rFonts w:ascii="Arial" w:cs="Arial" w:eastAsia="Arial" w:hAnsi="Arial"/>
                <w:sz w:val="17"/>
                <w:szCs w:val="17"/>
                <w:color w:val="0000FF"/>
                <w:w w:val="94"/>
              </w:rPr>
              <w:t>Certification of the Chief Executive Officer of ExlService Holdings, pursuant to Rule 13a-14(a) of the Exchange Act, as adopted pursuant to</w:t>
            </w:r>
          </w:p>
        </w:tc>
      </w:tr>
      <w:tr>
        <w:trPr>
          <w:trHeight w:val="148"/>
        </w:trPr>
        <w:tc>
          <w:tcPr>
            <w:tcW w:w="150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6"/>
          </w:tcPr>
          <w:p>
            <w:pPr>
              <w:spacing w:after="0" w:line="148" w:lineRule="exact"/>
              <w:rPr>
                <w:sz w:val="20"/>
                <w:szCs w:val="20"/>
                <w:color w:val="auto"/>
              </w:rPr>
            </w:pPr>
            <w:r>
              <w:rPr>
                <w:rFonts w:ascii="Arial" w:cs="Arial" w:eastAsia="Arial" w:hAnsi="Arial"/>
                <w:sz w:val="17"/>
                <w:szCs w:val="17"/>
                <w:color w:val="0000FF"/>
                <w:w w:val="91"/>
              </w:rPr>
              <w:t>Section 302 of the Sarbanes-Oxley Act of 2002.</w:t>
            </w:r>
          </w:p>
        </w:tc>
        <w:tc>
          <w:tcPr>
            <w:tcW w:w="6340" w:type="dxa"/>
            <w:vAlign w:val="bottom"/>
            <w:tcBorders>
              <w:top w:val="single" w:sz="8" w:color="0000FF"/>
            </w:tcBorders>
            <w:gridSpan w:val="9"/>
          </w:tcPr>
          <w:p>
            <w:pPr>
              <w:spacing w:after="0"/>
              <w:rPr>
                <w:sz w:val="12"/>
                <w:szCs w:val="12"/>
                <w:color w:val="auto"/>
              </w:rPr>
            </w:pPr>
          </w:p>
        </w:tc>
        <w:tc>
          <w:tcPr>
            <w:tcW w:w="240" w:type="dxa"/>
            <w:vAlign w:val="bottom"/>
            <w:gridSpan w:val="6"/>
          </w:tcPr>
          <w:p>
            <w:pPr>
              <w:spacing w:after="0"/>
              <w:rPr>
                <w:sz w:val="12"/>
                <w:szCs w:val="12"/>
                <w:color w:val="auto"/>
              </w:rPr>
            </w:pPr>
          </w:p>
        </w:tc>
      </w:tr>
      <w:tr>
        <w:trPr>
          <w:trHeight w:val="264"/>
        </w:trPr>
        <w:tc>
          <w:tcPr>
            <w:tcW w:w="1500" w:type="dxa"/>
            <w:vAlign w:val="bottom"/>
          </w:tcPr>
          <w:p>
            <w:pPr>
              <w:ind w:left="440"/>
              <w:spacing w:after="0"/>
              <w:rPr>
                <w:sz w:val="20"/>
                <w:szCs w:val="20"/>
                <w:color w:val="auto"/>
              </w:rPr>
            </w:pPr>
            <w:r>
              <w:rPr>
                <w:rFonts w:ascii="Arial" w:cs="Arial" w:eastAsia="Arial" w:hAnsi="Arial"/>
                <w:sz w:val="17"/>
                <w:szCs w:val="17"/>
                <w:color w:val="auto"/>
              </w:rPr>
              <w:t>31.2</w:t>
            </w:r>
          </w:p>
        </w:tc>
        <w:tc>
          <w:tcPr>
            <w:tcW w:w="9900" w:type="dxa"/>
            <w:vAlign w:val="bottom"/>
            <w:gridSpan w:val="21"/>
          </w:tcPr>
          <w:p>
            <w:pPr>
              <w:spacing w:after="0"/>
              <w:rPr>
                <w:sz w:val="20"/>
                <w:szCs w:val="20"/>
                <w:color w:val="auto"/>
              </w:rPr>
            </w:pPr>
            <w:r>
              <w:rPr>
                <w:rFonts w:ascii="Arial" w:cs="Arial" w:eastAsia="Arial" w:hAnsi="Arial"/>
                <w:sz w:val="17"/>
                <w:szCs w:val="17"/>
                <w:color w:val="0000FF"/>
                <w:w w:val="95"/>
              </w:rPr>
              <w:t>Certification of the Chief Financial Officer of ExlService Holdings, pursuant to Rule 13a-14(a) of the Exchange Act, as adopted pursuant to</w:t>
            </w:r>
          </w:p>
        </w:tc>
      </w:tr>
      <w:tr>
        <w:trPr>
          <w:trHeight w:val="148"/>
        </w:trPr>
        <w:tc>
          <w:tcPr>
            <w:tcW w:w="150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6"/>
          </w:tcPr>
          <w:p>
            <w:pPr>
              <w:spacing w:after="0" w:line="148" w:lineRule="exact"/>
              <w:rPr>
                <w:sz w:val="20"/>
                <w:szCs w:val="20"/>
                <w:color w:val="auto"/>
              </w:rPr>
            </w:pPr>
            <w:r>
              <w:rPr>
                <w:rFonts w:ascii="Arial" w:cs="Arial" w:eastAsia="Arial" w:hAnsi="Arial"/>
                <w:sz w:val="17"/>
                <w:szCs w:val="17"/>
                <w:color w:val="0000FF"/>
                <w:w w:val="91"/>
              </w:rPr>
              <w:t>Section 302 of the Sarbanes-Oxley Act of 2002.</w:t>
            </w:r>
          </w:p>
        </w:tc>
        <w:tc>
          <w:tcPr>
            <w:tcW w:w="6300" w:type="dxa"/>
            <w:vAlign w:val="bottom"/>
            <w:tcBorders>
              <w:top w:val="single" w:sz="8" w:color="0000FF"/>
            </w:tcBorders>
            <w:gridSpan w:val="8"/>
          </w:tcPr>
          <w:p>
            <w:pPr>
              <w:spacing w:after="0"/>
              <w:rPr>
                <w:sz w:val="12"/>
                <w:szCs w:val="12"/>
                <w:color w:val="auto"/>
              </w:rPr>
            </w:pPr>
          </w:p>
        </w:tc>
        <w:tc>
          <w:tcPr>
            <w:tcW w:w="280" w:type="dxa"/>
            <w:vAlign w:val="bottom"/>
            <w:gridSpan w:val="7"/>
          </w:tcPr>
          <w:p>
            <w:pPr>
              <w:spacing w:after="0"/>
              <w:rPr>
                <w:sz w:val="12"/>
                <w:szCs w:val="12"/>
                <w:color w:val="auto"/>
              </w:rPr>
            </w:pPr>
          </w:p>
        </w:tc>
      </w:tr>
      <w:tr>
        <w:trPr>
          <w:trHeight w:val="264"/>
        </w:trPr>
        <w:tc>
          <w:tcPr>
            <w:tcW w:w="1500" w:type="dxa"/>
            <w:vAlign w:val="bottom"/>
          </w:tcPr>
          <w:p>
            <w:pPr>
              <w:ind w:left="440"/>
              <w:spacing w:after="0"/>
              <w:rPr>
                <w:sz w:val="20"/>
                <w:szCs w:val="20"/>
                <w:color w:val="auto"/>
              </w:rPr>
            </w:pPr>
            <w:r>
              <w:rPr>
                <w:rFonts w:ascii="Arial" w:cs="Arial" w:eastAsia="Arial" w:hAnsi="Arial"/>
                <w:sz w:val="17"/>
                <w:szCs w:val="17"/>
                <w:color w:val="auto"/>
              </w:rPr>
              <w:t>32.1</w:t>
            </w:r>
          </w:p>
        </w:tc>
        <w:tc>
          <w:tcPr>
            <w:tcW w:w="9900" w:type="dxa"/>
            <w:vAlign w:val="bottom"/>
            <w:gridSpan w:val="21"/>
          </w:tcPr>
          <w:p>
            <w:pPr>
              <w:spacing w:after="0"/>
              <w:rPr>
                <w:sz w:val="20"/>
                <w:szCs w:val="20"/>
                <w:color w:val="auto"/>
              </w:rPr>
            </w:pPr>
            <w:r>
              <w:rPr>
                <w:rFonts w:ascii="Arial" w:cs="Arial" w:eastAsia="Arial" w:hAnsi="Arial"/>
                <w:sz w:val="17"/>
                <w:szCs w:val="17"/>
                <w:color w:val="0000FF"/>
                <w:w w:val="92"/>
              </w:rPr>
              <w:t>Certification of the Chief Executive Officer pursuant to Rule 13a-14(b) of the Exchange Act and 18 U.S.C. Section 1350, as adopted pursuant t</w:t>
            </w:r>
          </w:p>
        </w:tc>
      </w:tr>
      <w:tr>
        <w:trPr>
          <w:trHeight w:val="148"/>
        </w:trPr>
        <w:tc>
          <w:tcPr>
            <w:tcW w:w="150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6"/>
          </w:tcPr>
          <w:p>
            <w:pPr>
              <w:spacing w:after="0" w:line="148" w:lineRule="exact"/>
              <w:rPr>
                <w:sz w:val="20"/>
                <w:szCs w:val="20"/>
                <w:color w:val="auto"/>
              </w:rPr>
            </w:pPr>
            <w:r>
              <w:rPr>
                <w:rFonts w:ascii="Arial" w:cs="Arial" w:eastAsia="Arial" w:hAnsi="Arial"/>
                <w:sz w:val="17"/>
                <w:szCs w:val="17"/>
                <w:color w:val="0000FF"/>
                <w:w w:val="91"/>
              </w:rPr>
              <w:t>Section 906 of the Sarbanes-Oxley Act of 2002.</w:t>
            </w:r>
          </w:p>
        </w:tc>
        <w:tc>
          <w:tcPr>
            <w:tcW w:w="65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500" w:type="dxa"/>
            <w:vAlign w:val="bottom"/>
          </w:tcPr>
          <w:p>
            <w:pPr>
              <w:ind w:left="440"/>
              <w:spacing w:after="0"/>
              <w:rPr>
                <w:sz w:val="20"/>
                <w:szCs w:val="20"/>
                <w:color w:val="auto"/>
              </w:rPr>
            </w:pPr>
            <w:r>
              <w:rPr>
                <w:rFonts w:ascii="Arial" w:cs="Arial" w:eastAsia="Arial" w:hAnsi="Arial"/>
                <w:sz w:val="17"/>
                <w:szCs w:val="17"/>
                <w:color w:val="auto"/>
              </w:rPr>
              <w:t>32.2</w:t>
            </w:r>
          </w:p>
        </w:tc>
        <w:tc>
          <w:tcPr>
            <w:tcW w:w="9900" w:type="dxa"/>
            <w:vAlign w:val="bottom"/>
            <w:gridSpan w:val="21"/>
          </w:tcPr>
          <w:p>
            <w:pPr>
              <w:spacing w:after="0"/>
              <w:rPr>
                <w:sz w:val="20"/>
                <w:szCs w:val="20"/>
                <w:color w:val="auto"/>
              </w:rPr>
            </w:pPr>
            <w:r>
              <w:rPr>
                <w:rFonts w:ascii="Arial" w:cs="Arial" w:eastAsia="Arial" w:hAnsi="Arial"/>
                <w:sz w:val="17"/>
                <w:szCs w:val="17"/>
                <w:color w:val="0000FF"/>
                <w:w w:val="92"/>
              </w:rPr>
              <w:t>Certification of the Chief Financial Officer pursuant to Rule 13a-14(b) of the Exchange Act and 18 U.S.C. Section 1350, as adopted pursuant t</w:t>
            </w:r>
          </w:p>
        </w:tc>
      </w:tr>
      <w:tr>
        <w:trPr>
          <w:trHeight w:val="148"/>
        </w:trPr>
        <w:tc>
          <w:tcPr>
            <w:tcW w:w="1500" w:type="dxa"/>
            <w:vAlign w:val="bottom"/>
          </w:tcPr>
          <w:p>
            <w:pPr>
              <w:spacing w:after="0"/>
              <w:rPr>
                <w:sz w:val="12"/>
                <w:szCs w:val="12"/>
                <w:color w:val="auto"/>
              </w:rPr>
            </w:pPr>
          </w:p>
        </w:tc>
        <w:tc>
          <w:tcPr>
            <w:tcW w:w="9880" w:type="dxa"/>
            <w:vAlign w:val="bottom"/>
            <w:tcBorders>
              <w:top w:val="single" w:sz="8" w:color="0000FF"/>
            </w:tcBorders>
            <w:gridSpan w:val="20"/>
          </w:tcPr>
          <w:p>
            <w:pPr>
              <w:spacing w:after="0" w:line="148" w:lineRule="exact"/>
              <w:rPr>
                <w:sz w:val="20"/>
                <w:szCs w:val="20"/>
                <w:color w:val="auto"/>
              </w:rPr>
            </w:pPr>
            <w:r>
              <w:rPr>
                <w:rFonts w:ascii="Arial" w:cs="Arial" w:eastAsia="Arial" w:hAnsi="Arial"/>
                <w:sz w:val="17"/>
                <w:szCs w:val="17"/>
                <w:color w:val="0000FF"/>
              </w:rPr>
              <w:t>Section 906 of the Sarbanes-Oxley Act of 2002.</w:t>
            </w:r>
          </w:p>
        </w:tc>
        <w:tc>
          <w:tcPr>
            <w:tcW w:w="20" w:type="dxa"/>
            <w:vAlign w:val="bottom"/>
          </w:tcPr>
          <w:p>
            <w:pPr>
              <w:spacing w:after="0"/>
              <w:rPr>
                <w:sz w:val="12"/>
                <w:szCs w:val="12"/>
                <w:color w:val="auto"/>
              </w:rPr>
            </w:pPr>
          </w:p>
        </w:tc>
      </w:tr>
      <w:tr>
        <w:trPr>
          <w:trHeight w:val="301"/>
        </w:trPr>
        <w:tc>
          <w:tcPr>
            <w:tcW w:w="1500" w:type="dxa"/>
            <w:vAlign w:val="bottom"/>
          </w:tcPr>
          <w:p>
            <w:pPr>
              <w:ind w:left="440"/>
              <w:spacing w:after="0"/>
              <w:rPr>
                <w:sz w:val="20"/>
                <w:szCs w:val="20"/>
                <w:color w:val="auto"/>
              </w:rPr>
            </w:pPr>
            <w:r>
              <w:rPr>
                <w:rFonts w:ascii="Arial" w:cs="Arial" w:eastAsia="Arial" w:hAnsi="Arial"/>
                <w:sz w:val="17"/>
                <w:szCs w:val="17"/>
                <w:color w:val="auto"/>
              </w:rPr>
              <w:t>101.INS</w:t>
            </w:r>
          </w:p>
        </w:tc>
        <w:tc>
          <w:tcPr>
            <w:tcW w:w="330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auto"/>
              </w:rPr>
              <w:t>Inline XBRL Instance Document*</w:t>
            </w:r>
          </w:p>
        </w:tc>
        <w:tc>
          <w:tcPr>
            <w:tcW w:w="6600" w:type="dxa"/>
            <w:vAlign w:val="bottom"/>
            <w:gridSpan w:val="16"/>
          </w:tcPr>
          <w:p>
            <w:pPr>
              <w:spacing w:after="0"/>
              <w:rPr>
                <w:sz w:val="24"/>
                <w:szCs w:val="24"/>
                <w:color w:val="auto"/>
              </w:rPr>
            </w:pPr>
          </w:p>
        </w:tc>
      </w:tr>
      <w:tr>
        <w:trPr>
          <w:trHeight w:val="271"/>
        </w:trPr>
        <w:tc>
          <w:tcPr>
            <w:tcW w:w="1500" w:type="dxa"/>
            <w:vAlign w:val="bottom"/>
          </w:tcPr>
          <w:p>
            <w:pPr>
              <w:ind w:left="440"/>
              <w:spacing w:after="0"/>
              <w:rPr>
                <w:sz w:val="20"/>
                <w:szCs w:val="20"/>
                <w:color w:val="auto"/>
              </w:rPr>
            </w:pPr>
            <w:r>
              <w:rPr>
                <w:rFonts w:ascii="Arial" w:cs="Arial" w:eastAsia="Arial" w:hAnsi="Arial"/>
                <w:sz w:val="17"/>
                <w:szCs w:val="17"/>
                <w:color w:val="auto"/>
              </w:rPr>
              <w:t>101.SCH</w:t>
            </w:r>
          </w:p>
        </w:tc>
        <w:tc>
          <w:tcPr>
            <w:tcW w:w="9900" w:type="dxa"/>
            <w:vAlign w:val="bottom"/>
            <w:gridSpan w:val="21"/>
          </w:tcPr>
          <w:p>
            <w:pPr>
              <w:spacing w:after="0"/>
              <w:rPr>
                <w:sz w:val="20"/>
                <w:szCs w:val="20"/>
                <w:color w:val="auto"/>
              </w:rPr>
            </w:pPr>
            <w:r>
              <w:rPr>
                <w:rFonts w:ascii="Arial" w:cs="Arial" w:eastAsia="Arial" w:hAnsi="Arial"/>
                <w:sz w:val="17"/>
                <w:szCs w:val="17"/>
                <w:color w:val="auto"/>
              </w:rPr>
              <w:t>Inline XBRL Taxonomy Extension Schema*</w:t>
            </w:r>
          </w:p>
        </w:tc>
      </w:tr>
      <w:tr>
        <w:trPr>
          <w:trHeight w:val="271"/>
        </w:trPr>
        <w:tc>
          <w:tcPr>
            <w:tcW w:w="1500" w:type="dxa"/>
            <w:vAlign w:val="bottom"/>
          </w:tcPr>
          <w:p>
            <w:pPr>
              <w:ind w:left="440"/>
              <w:spacing w:after="0"/>
              <w:rPr>
                <w:sz w:val="20"/>
                <w:szCs w:val="20"/>
                <w:color w:val="auto"/>
              </w:rPr>
            </w:pPr>
            <w:r>
              <w:rPr>
                <w:rFonts w:ascii="Arial" w:cs="Arial" w:eastAsia="Arial" w:hAnsi="Arial"/>
                <w:sz w:val="17"/>
                <w:szCs w:val="17"/>
                <w:color w:val="auto"/>
              </w:rPr>
              <w:t>101.CAL</w:t>
            </w:r>
          </w:p>
        </w:tc>
        <w:tc>
          <w:tcPr>
            <w:tcW w:w="9900" w:type="dxa"/>
            <w:vAlign w:val="bottom"/>
            <w:gridSpan w:val="21"/>
          </w:tcPr>
          <w:p>
            <w:pPr>
              <w:spacing w:after="0"/>
              <w:rPr>
                <w:sz w:val="20"/>
                <w:szCs w:val="20"/>
                <w:color w:val="auto"/>
              </w:rPr>
            </w:pPr>
            <w:r>
              <w:rPr>
                <w:rFonts w:ascii="Arial" w:cs="Arial" w:eastAsia="Arial" w:hAnsi="Arial"/>
                <w:sz w:val="17"/>
                <w:szCs w:val="17"/>
                <w:color w:val="auto"/>
              </w:rPr>
              <w:t>Inline XBRL Taxonomy Extension Calculation Linkbase*</w:t>
            </w:r>
          </w:p>
        </w:tc>
      </w:tr>
      <w:tr>
        <w:trPr>
          <w:trHeight w:val="271"/>
        </w:trPr>
        <w:tc>
          <w:tcPr>
            <w:tcW w:w="1500" w:type="dxa"/>
            <w:vAlign w:val="bottom"/>
          </w:tcPr>
          <w:p>
            <w:pPr>
              <w:ind w:left="440"/>
              <w:spacing w:after="0"/>
              <w:rPr>
                <w:sz w:val="20"/>
                <w:szCs w:val="20"/>
                <w:color w:val="auto"/>
              </w:rPr>
            </w:pPr>
            <w:r>
              <w:rPr>
                <w:rFonts w:ascii="Arial" w:cs="Arial" w:eastAsia="Arial" w:hAnsi="Arial"/>
                <w:sz w:val="17"/>
                <w:szCs w:val="17"/>
                <w:color w:val="auto"/>
              </w:rPr>
              <w:t>101.DEF</w:t>
            </w:r>
          </w:p>
        </w:tc>
        <w:tc>
          <w:tcPr>
            <w:tcW w:w="9900" w:type="dxa"/>
            <w:vAlign w:val="bottom"/>
            <w:gridSpan w:val="21"/>
          </w:tcPr>
          <w:p>
            <w:pPr>
              <w:spacing w:after="0"/>
              <w:rPr>
                <w:sz w:val="20"/>
                <w:szCs w:val="20"/>
                <w:color w:val="auto"/>
              </w:rPr>
            </w:pPr>
            <w:r>
              <w:rPr>
                <w:rFonts w:ascii="Arial" w:cs="Arial" w:eastAsia="Arial" w:hAnsi="Arial"/>
                <w:sz w:val="17"/>
                <w:szCs w:val="17"/>
                <w:color w:val="auto"/>
              </w:rPr>
              <w:t>Inline XBRL Taxonomy Extension Definition Linkbase*</w:t>
            </w:r>
          </w:p>
        </w:tc>
      </w:tr>
      <w:tr>
        <w:trPr>
          <w:trHeight w:val="271"/>
        </w:trPr>
        <w:tc>
          <w:tcPr>
            <w:tcW w:w="1500" w:type="dxa"/>
            <w:vAlign w:val="bottom"/>
          </w:tcPr>
          <w:p>
            <w:pPr>
              <w:ind w:left="440"/>
              <w:spacing w:after="0"/>
              <w:rPr>
                <w:sz w:val="20"/>
                <w:szCs w:val="20"/>
                <w:color w:val="auto"/>
              </w:rPr>
            </w:pPr>
            <w:r>
              <w:rPr>
                <w:rFonts w:ascii="Arial" w:cs="Arial" w:eastAsia="Arial" w:hAnsi="Arial"/>
                <w:sz w:val="17"/>
                <w:szCs w:val="17"/>
                <w:color w:val="auto"/>
              </w:rPr>
              <w:t>101.LAB</w:t>
            </w:r>
          </w:p>
        </w:tc>
        <w:tc>
          <w:tcPr>
            <w:tcW w:w="9900" w:type="dxa"/>
            <w:vAlign w:val="bottom"/>
            <w:gridSpan w:val="21"/>
          </w:tcPr>
          <w:p>
            <w:pPr>
              <w:spacing w:after="0"/>
              <w:rPr>
                <w:sz w:val="20"/>
                <w:szCs w:val="20"/>
                <w:color w:val="auto"/>
              </w:rPr>
            </w:pPr>
            <w:r>
              <w:rPr>
                <w:rFonts w:ascii="Arial" w:cs="Arial" w:eastAsia="Arial" w:hAnsi="Arial"/>
                <w:sz w:val="17"/>
                <w:szCs w:val="17"/>
                <w:color w:val="auto"/>
              </w:rPr>
              <w:t>Inline XBRL Taxonomy Extension Label Linkbase*</w:t>
            </w:r>
          </w:p>
        </w:tc>
      </w:tr>
      <w:tr>
        <w:trPr>
          <w:trHeight w:val="271"/>
        </w:trPr>
        <w:tc>
          <w:tcPr>
            <w:tcW w:w="1500" w:type="dxa"/>
            <w:vAlign w:val="bottom"/>
          </w:tcPr>
          <w:p>
            <w:pPr>
              <w:ind w:left="440"/>
              <w:spacing w:after="0"/>
              <w:rPr>
                <w:sz w:val="20"/>
                <w:szCs w:val="20"/>
                <w:color w:val="auto"/>
              </w:rPr>
            </w:pPr>
            <w:r>
              <w:rPr>
                <w:rFonts w:ascii="Arial" w:cs="Arial" w:eastAsia="Arial" w:hAnsi="Arial"/>
                <w:sz w:val="17"/>
                <w:szCs w:val="17"/>
                <w:color w:val="auto"/>
              </w:rPr>
              <w:t>101.PRE</w:t>
            </w:r>
          </w:p>
        </w:tc>
        <w:tc>
          <w:tcPr>
            <w:tcW w:w="9900" w:type="dxa"/>
            <w:vAlign w:val="bottom"/>
            <w:gridSpan w:val="21"/>
          </w:tcPr>
          <w:p>
            <w:pPr>
              <w:spacing w:after="0"/>
              <w:rPr>
                <w:sz w:val="20"/>
                <w:szCs w:val="20"/>
                <w:color w:val="auto"/>
              </w:rPr>
            </w:pPr>
            <w:r>
              <w:rPr>
                <w:rFonts w:ascii="Arial" w:cs="Arial" w:eastAsia="Arial" w:hAnsi="Arial"/>
                <w:sz w:val="17"/>
                <w:szCs w:val="17"/>
                <w:color w:val="auto"/>
              </w:rPr>
              <w:t>Inline XBRL Extension Presentation Linkbase*</w:t>
            </w:r>
          </w:p>
        </w:tc>
      </w:tr>
      <w:tr>
        <w:trPr>
          <w:trHeight w:val="786"/>
        </w:trPr>
        <w:tc>
          <w:tcPr>
            <w:tcW w:w="1500" w:type="dxa"/>
            <w:vAlign w:val="bottom"/>
          </w:tcPr>
          <w:p>
            <w:pPr>
              <w:spacing w:after="0"/>
              <w:rPr>
                <w:sz w:val="24"/>
                <w:szCs w:val="24"/>
                <w:color w:val="auto"/>
              </w:rPr>
            </w:pPr>
          </w:p>
        </w:tc>
        <w:tc>
          <w:tcPr>
            <w:tcW w:w="5820" w:type="dxa"/>
            <w:vAlign w:val="bottom"/>
            <w:gridSpan w:val="8"/>
          </w:tcPr>
          <w:p>
            <w:pPr>
              <w:ind w:left="4040"/>
              <w:spacing w:after="0"/>
              <w:rPr>
                <w:sz w:val="20"/>
                <w:szCs w:val="20"/>
                <w:color w:val="auto"/>
              </w:rPr>
            </w:pPr>
            <w:r>
              <w:rPr>
                <w:rFonts w:ascii="Arial" w:cs="Arial" w:eastAsia="Arial" w:hAnsi="Arial"/>
                <w:sz w:val="17"/>
                <w:szCs w:val="17"/>
                <w:color w:val="auto"/>
              </w:rPr>
              <w:t>57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15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53"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14605</wp:posOffset>
            </wp:positionV>
            <wp:extent cx="605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605790" cy="8255"/>
                    </a:xfrm>
                    <a:prstGeom prst="rect">
                      <a:avLst/>
                    </a:prstGeom>
                    <a:noFill/>
                  </pic:spPr>
                </pic:pic>
              </a:graphicData>
            </a:graphic>
          </wp:anchor>
        </w:drawing>
      </w:r>
    </w:p>
    <w:p>
      <w:pPr>
        <w:spacing w:after="0" w:line="326" w:lineRule="exact"/>
        <w:rPr>
          <w:sz w:val="20"/>
          <w:szCs w:val="20"/>
          <w:color w:val="auto"/>
        </w:rPr>
      </w:pPr>
    </w:p>
    <w:p>
      <w:pPr>
        <w:jc w:val="both"/>
        <w:ind w:left="80" w:hanging="76"/>
        <w:spacing w:after="0" w:line="257" w:lineRule="auto"/>
        <w:rPr>
          <w:sz w:val="20"/>
          <w:szCs w:val="20"/>
          <w:color w:val="auto"/>
        </w:rPr>
      </w:pPr>
      <w:r>
        <w:rPr>
          <w:rFonts w:ascii="Arial" w:cs="Arial" w:eastAsia="Arial" w:hAnsi="Arial"/>
          <w:sz w:val="17"/>
          <w:szCs w:val="17"/>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+Indicates management contract or compensatory plan required to be filed as an Exhibit.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9740" w:type="dxa"/>
            <w:vAlign w:val="bottom"/>
            <w:gridSpan w:val="10"/>
          </w:tcPr>
          <w:p>
            <w:pPr>
              <w:spacing w:after="0"/>
              <w:rPr>
                <w:sz w:val="20"/>
                <w:szCs w:val="20"/>
                <w:color w:val="auto"/>
              </w:rPr>
            </w:pPr>
            <w:r>
              <w:rPr>
                <w:rFonts w:ascii="Arial" w:cs="Arial" w:eastAsia="Arial" w:hAnsi="Arial"/>
                <w:sz w:val="17"/>
                <w:szCs w:val="17"/>
                <w:b w:val="1"/>
                <w:bCs w:val="1"/>
                <w:color w:val="0000FF"/>
              </w:rPr>
              <w:t>Table of Contents</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559"/>
        </w:trPr>
        <w:tc>
          <w:tcPr>
            <w:tcW w:w="3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040" w:type="dxa"/>
            <w:vAlign w:val="bottom"/>
          </w:tcPr>
          <w:p>
            <w:pPr>
              <w:spacing w:after="0"/>
              <w:rPr>
                <w:sz w:val="24"/>
                <w:szCs w:val="24"/>
                <w:color w:val="auto"/>
              </w:rPr>
            </w:pPr>
          </w:p>
        </w:tc>
        <w:tc>
          <w:tcPr>
            <w:tcW w:w="6400" w:type="dxa"/>
            <w:vAlign w:val="bottom"/>
            <w:gridSpan w:val="7"/>
          </w:tcPr>
          <w:p>
            <w:pPr>
              <w:jc w:val="center"/>
              <w:ind w:right="1840"/>
              <w:spacing w:after="0"/>
              <w:rPr>
                <w:sz w:val="20"/>
                <w:szCs w:val="20"/>
                <w:color w:val="auto"/>
              </w:rPr>
            </w:pPr>
            <w:r>
              <w:rPr>
                <w:rFonts w:ascii="Arial" w:cs="Arial" w:eastAsia="Arial" w:hAnsi="Arial"/>
                <w:sz w:val="17"/>
                <w:szCs w:val="17"/>
                <w:b w:val="1"/>
                <w:bCs w:val="1"/>
                <w:color w:val="auto"/>
              </w:rPr>
              <w:t>EXLSERVICE HOLDINGS, INC.</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9"/>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400" w:type="dxa"/>
            <w:vAlign w:val="bottom"/>
            <w:gridSpan w:val="7"/>
          </w:tcPr>
          <w:p>
            <w:pPr>
              <w:jc w:val="center"/>
              <w:ind w:right="1840"/>
              <w:spacing w:after="0"/>
              <w:rPr>
                <w:sz w:val="20"/>
                <w:szCs w:val="20"/>
                <w:color w:val="auto"/>
              </w:rPr>
            </w:pPr>
            <w:r>
              <w:rPr>
                <w:rFonts w:ascii="Arial" w:cs="Arial" w:eastAsia="Arial" w:hAnsi="Arial"/>
                <w:sz w:val="17"/>
                <w:szCs w:val="17"/>
                <w:b w:val="1"/>
                <w:bCs w:val="1"/>
                <w:color w:val="auto"/>
              </w:rPr>
              <w:t>INDEX TO CONSOLIDATED FINANCIAL STATEMENTS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6"/>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85"/>
              </w:rPr>
              <w:t>Page</w:t>
            </w:r>
          </w:p>
        </w:tc>
      </w:tr>
      <w:tr>
        <w:trPr>
          <w:trHeight w:val="471"/>
        </w:trPr>
        <w:tc>
          <w:tcPr>
            <w:tcW w:w="320" w:type="dxa"/>
            <w:vAlign w:val="bottom"/>
          </w:tcPr>
          <w:p>
            <w:pPr>
              <w:spacing w:after="0"/>
              <w:rPr>
                <w:sz w:val="24"/>
                <w:szCs w:val="24"/>
                <w:color w:val="auto"/>
              </w:rPr>
            </w:pPr>
          </w:p>
        </w:tc>
        <w:tc>
          <w:tcPr>
            <w:tcW w:w="9420" w:type="dxa"/>
            <w:vAlign w:val="bottom"/>
            <w:gridSpan w:val="9"/>
          </w:tcPr>
          <w:p>
            <w:pPr>
              <w:spacing w:after="0"/>
              <w:rPr>
                <w:sz w:val="20"/>
                <w:szCs w:val="20"/>
                <w:color w:val="auto"/>
              </w:rPr>
            </w:pPr>
            <w:r>
              <w:rPr>
                <w:rFonts w:ascii="Arial" w:cs="Arial" w:eastAsia="Arial" w:hAnsi="Arial"/>
                <w:sz w:val="17"/>
                <w:szCs w:val="17"/>
                <w:color w:val="0000FF"/>
              </w:rPr>
              <w:t xml:space="preserve">Reports of Independent Registered Public Accounting Firm </w:t>
            </w:r>
            <w:r>
              <w:rPr>
                <w:rFonts w:ascii="Arial" w:cs="Arial" w:eastAsia="Arial" w:hAnsi="Arial"/>
                <w:sz w:val="17"/>
                <w:szCs w:val="17"/>
                <w:color w:val="000000"/>
              </w:rPr>
              <w:t>(PCAOB ID No. 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center"/>
              <w:ind w:right="580"/>
              <w:spacing w:after="0"/>
              <w:rPr>
                <w:sz w:val="20"/>
                <w:szCs w:val="20"/>
                <w:color w:val="auto"/>
              </w:rPr>
            </w:pPr>
            <w:r>
              <w:rPr>
                <w:rFonts w:ascii="Arial" w:cs="Arial" w:eastAsia="Arial" w:hAnsi="Arial"/>
                <w:sz w:val="17"/>
                <w:szCs w:val="17"/>
                <w:color w:val="661DE8"/>
                <w:w w:val="93"/>
              </w:rPr>
              <w:t>F-2</w:t>
            </w:r>
          </w:p>
        </w:tc>
      </w:tr>
      <w:tr>
        <w:trPr>
          <w:trHeight w:val="20"/>
        </w:trPr>
        <w:tc>
          <w:tcPr>
            <w:tcW w:w="32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9420" w:type="dxa"/>
            <w:vAlign w:val="bottom"/>
            <w:gridSpan w:val="9"/>
          </w:tcPr>
          <w:p>
            <w:pPr>
              <w:spacing w:after="0"/>
              <w:rPr>
                <w:sz w:val="20"/>
                <w:szCs w:val="20"/>
                <w:color w:val="auto"/>
              </w:rPr>
            </w:pPr>
            <w:r>
              <w:rPr>
                <w:rFonts w:ascii="Arial" w:cs="Arial" w:eastAsia="Arial" w:hAnsi="Arial"/>
                <w:sz w:val="17"/>
                <w:szCs w:val="17"/>
                <w:color w:val="0000FF"/>
              </w:rPr>
              <w:t>Consolidated Balance Sheets as of December 31, 2022 and 2021</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center"/>
              <w:ind w:right="580"/>
              <w:spacing w:after="0"/>
              <w:rPr>
                <w:sz w:val="20"/>
                <w:szCs w:val="20"/>
                <w:color w:val="auto"/>
              </w:rPr>
            </w:pPr>
            <w:r>
              <w:rPr>
                <w:rFonts w:ascii="Arial" w:cs="Arial" w:eastAsia="Arial" w:hAnsi="Arial"/>
                <w:sz w:val="17"/>
                <w:szCs w:val="17"/>
                <w:color w:val="661DE8"/>
                <w:w w:val="93"/>
              </w:rPr>
              <w:t>F-5</w:t>
            </w:r>
          </w:p>
        </w:tc>
      </w:tr>
      <w:tr>
        <w:trPr>
          <w:trHeight w:val="20"/>
        </w:trPr>
        <w:tc>
          <w:tcPr>
            <w:tcW w:w="32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660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4"/>
              </w:rPr>
              <w:t>Consolidated Statements of Income for the years ended December 31, 2022, 2021 and 2020</w:t>
            </w:r>
          </w:p>
        </w:tc>
        <w:tc>
          <w:tcPr>
            <w:tcW w:w="2820" w:type="dxa"/>
            <w:vAlign w:val="bottom"/>
            <w:gridSpan w:val="3"/>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661DE8"/>
            </w:tcBorders>
          </w:tcPr>
          <w:p>
            <w:pPr>
              <w:jc w:val="center"/>
              <w:spacing w:after="0"/>
              <w:rPr>
                <w:sz w:val="20"/>
                <w:szCs w:val="20"/>
                <w:color w:val="auto"/>
              </w:rPr>
            </w:pPr>
            <w:r>
              <w:rPr>
                <w:rFonts w:ascii="Arial" w:cs="Arial" w:eastAsia="Arial" w:hAnsi="Arial"/>
                <w:sz w:val="17"/>
                <w:szCs w:val="17"/>
                <w:color w:val="661DE8"/>
                <w:w w:val="93"/>
              </w:rPr>
              <w:t>F-7</w:t>
            </w:r>
          </w:p>
        </w:tc>
        <w:tc>
          <w:tcPr>
            <w:tcW w:w="580" w:type="dxa"/>
            <w:vAlign w:val="bottom"/>
          </w:tcPr>
          <w:p>
            <w:pPr>
              <w:spacing w:after="0"/>
              <w:rPr>
                <w:sz w:val="21"/>
                <w:szCs w:val="21"/>
                <w:color w:val="auto"/>
              </w:rPr>
            </w:pPr>
          </w:p>
        </w:tc>
      </w:tr>
      <w:tr>
        <w:trPr>
          <w:trHeight w:val="251"/>
        </w:trPr>
        <w:tc>
          <w:tcPr>
            <w:tcW w:w="320" w:type="dxa"/>
            <w:vAlign w:val="bottom"/>
          </w:tcPr>
          <w:p>
            <w:pPr>
              <w:spacing w:after="0"/>
              <w:rPr>
                <w:sz w:val="21"/>
                <w:szCs w:val="21"/>
                <w:color w:val="auto"/>
              </w:rPr>
            </w:pPr>
          </w:p>
        </w:tc>
        <w:tc>
          <w:tcPr>
            <w:tcW w:w="942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rPr>
              <w:t>Consolidated Statements of Comprehensive Income for the years ended December 31, 2022, 2021 and 2020</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661DE8"/>
            </w:tcBorders>
          </w:tcPr>
          <w:p>
            <w:pPr>
              <w:jc w:val="center"/>
              <w:spacing w:after="0"/>
              <w:rPr>
                <w:sz w:val="20"/>
                <w:szCs w:val="20"/>
                <w:color w:val="auto"/>
              </w:rPr>
            </w:pPr>
            <w:r>
              <w:rPr>
                <w:rFonts w:ascii="Arial" w:cs="Arial" w:eastAsia="Arial" w:hAnsi="Arial"/>
                <w:sz w:val="17"/>
                <w:szCs w:val="17"/>
                <w:color w:val="661DE8"/>
                <w:w w:val="93"/>
              </w:rPr>
              <w:t>F-8</w:t>
            </w:r>
          </w:p>
        </w:tc>
        <w:tc>
          <w:tcPr>
            <w:tcW w:w="580" w:type="dxa"/>
            <w:vAlign w:val="bottom"/>
          </w:tcPr>
          <w:p>
            <w:pPr>
              <w:spacing w:after="0"/>
              <w:rPr>
                <w:sz w:val="21"/>
                <w:szCs w:val="21"/>
                <w:color w:val="auto"/>
              </w:rPr>
            </w:pPr>
          </w:p>
        </w:tc>
      </w:tr>
      <w:tr>
        <w:trPr>
          <w:trHeight w:val="251"/>
        </w:trPr>
        <w:tc>
          <w:tcPr>
            <w:tcW w:w="320" w:type="dxa"/>
            <w:vAlign w:val="bottom"/>
          </w:tcPr>
          <w:p>
            <w:pPr>
              <w:spacing w:after="0"/>
              <w:rPr>
                <w:sz w:val="21"/>
                <w:szCs w:val="21"/>
                <w:color w:val="auto"/>
              </w:rPr>
            </w:pPr>
          </w:p>
        </w:tc>
        <w:tc>
          <w:tcPr>
            <w:tcW w:w="942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rPr>
              <w:t>Consolidated Statements of Stockholders' Equity for the years ended December 31, 2022, 2021 and 2020</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661DE8"/>
            </w:tcBorders>
          </w:tcPr>
          <w:p>
            <w:pPr>
              <w:jc w:val="center"/>
              <w:spacing w:after="0"/>
              <w:rPr>
                <w:sz w:val="20"/>
                <w:szCs w:val="20"/>
                <w:color w:val="auto"/>
              </w:rPr>
            </w:pPr>
            <w:r>
              <w:rPr>
                <w:rFonts w:ascii="Arial" w:cs="Arial" w:eastAsia="Arial" w:hAnsi="Arial"/>
                <w:sz w:val="17"/>
                <w:szCs w:val="17"/>
                <w:color w:val="661DE8"/>
                <w:w w:val="93"/>
              </w:rPr>
              <w:t>F-9</w:t>
            </w:r>
          </w:p>
        </w:tc>
        <w:tc>
          <w:tcPr>
            <w:tcW w:w="580" w:type="dxa"/>
            <w:vAlign w:val="bottom"/>
          </w:tcPr>
          <w:p>
            <w:pPr>
              <w:spacing w:after="0"/>
              <w:rPr>
                <w:sz w:val="21"/>
                <w:szCs w:val="21"/>
                <w:color w:val="auto"/>
              </w:rPr>
            </w:pPr>
          </w:p>
        </w:tc>
      </w:tr>
      <w:tr>
        <w:trPr>
          <w:trHeight w:val="251"/>
        </w:trPr>
        <w:tc>
          <w:tcPr>
            <w:tcW w:w="320" w:type="dxa"/>
            <w:vAlign w:val="bottom"/>
          </w:tcPr>
          <w:p>
            <w:pPr>
              <w:spacing w:after="0"/>
              <w:rPr>
                <w:sz w:val="21"/>
                <w:szCs w:val="21"/>
                <w:color w:val="auto"/>
              </w:rPr>
            </w:pPr>
          </w:p>
        </w:tc>
        <w:tc>
          <w:tcPr>
            <w:tcW w:w="942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rPr>
              <w:t>Consolidated Statements of Cash Flows for the years ended December 31, 2022, 2021 and 2020</w:t>
            </w:r>
          </w:p>
        </w:tc>
        <w:tc>
          <w:tcPr>
            <w:tcW w:w="540" w:type="dxa"/>
            <w:vAlign w:val="bottom"/>
          </w:tcPr>
          <w:p>
            <w:pPr>
              <w:spacing w:after="0"/>
              <w:rPr>
                <w:sz w:val="21"/>
                <w:szCs w:val="21"/>
                <w:color w:val="auto"/>
              </w:rPr>
            </w:pPr>
          </w:p>
        </w:tc>
        <w:tc>
          <w:tcPr>
            <w:tcW w:w="300" w:type="dxa"/>
            <w:vAlign w:val="bottom"/>
            <w:tcBorders>
              <w:bottom w:val="single" w:sz="8" w:color="661DE8"/>
            </w:tcBorders>
            <w:gridSpan w:val="2"/>
          </w:tcPr>
          <w:p>
            <w:pPr>
              <w:jc w:val="center"/>
              <w:spacing w:after="0"/>
              <w:rPr>
                <w:sz w:val="20"/>
                <w:szCs w:val="20"/>
                <w:color w:val="auto"/>
              </w:rPr>
            </w:pPr>
            <w:r>
              <w:rPr>
                <w:rFonts w:ascii="Arial" w:cs="Arial" w:eastAsia="Arial" w:hAnsi="Arial"/>
                <w:sz w:val="17"/>
                <w:szCs w:val="17"/>
                <w:color w:val="661DE8"/>
                <w:w w:val="97"/>
              </w:rPr>
              <w:t>F-10</w:t>
            </w:r>
          </w:p>
        </w:tc>
        <w:tc>
          <w:tcPr>
            <w:tcW w:w="580" w:type="dxa"/>
            <w:vAlign w:val="bottom"/>
          </w:tcPr>
          <w:p>
            <w:pPr>
              <w:spacing w:after="0"/>
              <w:rPr>
                <w:sz w:val="21"/>
                <w:szCs w:val="21"/>
                <w:color w:val="auto"/>
              </w:rPr>
            </w:pPr>
          </w:p>
        </w:tc>
      </w:tr>
      <w:tr>
        <w:trPr>
          <w:trHeight w:val="251"/>
        </w:trPr>
        <w:tc>
          <w:tcPr>
            <w:tcW w:w="320" w:type="dxa"/>
            <w:vAlign w:val="bottom"/>
          </w:tcPr>
          <w:p>
            <w:pPr>
              <w:spacing w:after="0"/>
              <w:rPr>
                <w:sz w:val="21"/>
                <w:szCs w:val="21"/>
                <w:color w:val="auto"/>
              </w:rPr>
            </w:pPr>
          </w:p>
        </w:tc>
        <w:tc>
          <w:tcPr>
            <w:tcW w:w="3020" w:type="dxa"/>
            <w:vAlign w:val="bottom"/>
            <w:gridSpan w:val="2"/>
          </w:tcPr>
          <w:p>
            <w:pPr>
              <w:spacing w:after="0"/>
              <w:rPr>
                <w:sz w:val="20"/>
                <w:szCs w:val="20"/>
                <w:color w:val="auto"/>
              </w:rPr>
            </w:pPr>
            <w:r>
              <w:rPr>
                <w:rFonts w:ascii="Arial" w:cs="Arial" w:eastAsia="Arial" w:hAnsi="Arial"/>
                <w:sz w:val="17"/>
                <w:szCs w:val="17"/>
                <w:color w:val="0000FF"/>
                <w:w w:val="90"/>
              </w:rPr>
              <w:t>Notes to Consolidated Financial Statements</w:t>
            </w:r>
          </w:p>
        </w:tc>
        <w:tc>
          <w:tcPr>
            <w:tcW w:w="6400" w:type="dxa"/>
            <w:vAlign w:val="bottom"/>
            <w:gridSpan w:val="7"/>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3"/>
          </w:tcPr>
          <w:p>
            <w:pPr>
              <w:jc w:val="center"/>
              <w:ind w:right="520"/>
              <w:spacing w:after="0"/>
              <w:rPr>
                <w:sz w:val="20"/>
                <w:szCs w:val="20"/>
                <w:color w:val="auto"/>
              </w:rPr>
            </w:pPr>
            <w:r>
              <w:rPr>
                <w:rFonts w:ascii="Arial" w:cs="Arial" w:eastAsia="Arial" w:hAnsi="Arial"/>
                <w:sz w:val="17"/>
                <w:szCs w:val="17"/>
                <w:color w:val="661DE8"/>
                <w:w w:val="91"/>
              </w:rPr>
              <w:t>F-11</w:t>
            </w: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661DE8"/>
            </w:tcBorders>
          </w:tcPr>
          <w:p>
            <w:pPr>
              <w:spacing w:after="0" w:line="20" w:lineRule="exact"/>
              <w:rPr>
                <w:sz w:val="1"/>
                <w:szCs w:val="1"/>
                <w:color w:val="auto"/>
              </w:rPr>
            </w:pPr>
          </w:p>
        </w:tc>
        <w:tc>
          <w:tcPr>
            <w:tcW w:w="240" w:type="dxa"/>
            <w:vAlign w:val="bottom"/>
            <w:shd w:val="clear" w:color="auto" w:fill="661DE8"/>
          </w:tcPr>
          <w:p>
            <w:pPr>
              <w:spacing w:after="0" w:line="20" w:lineRule="exact"/>
              <w:rPr>
                <w:sz w:val="1"/>
                <w:szCs w:val="1"/>
                <w:color w:val="auto"/>
              </w:rPr>
            </w:pPr>
          </w:p>
        </w:tc>
        <w:tc>
          <w:tcPr>
            <w:tcW w:w="580" w:type="dxa"/>
            <w:vAlign w:val="bottom"/>
            <w:tcBorders>
              <w:left w:val="single" w:sz="8" w:color="661DE8"/>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344" w:right="41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ExlService Holdings, Inc.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6"/>
          <w:szCs w:val="16"/>
          <w:color w:val="auto"/>
        </w:rPr>
        <w:t>We have audited the accompanying consolidated balance sheets of ExlService Holdings, Inc. (the “Company”) as of December 31, 2022 and 2021, the related consolidated statements of income, comprehensive income,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04"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February 23, 2023, expressed an unqualified opinion on the Company's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7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 Refer to Notes 2 and 4 to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 Description</w:t>
      </w:r>
    </w:p>
    <w:p>
      <w:pPr>
        <w:spacing w:after="0" w:line="17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Revenue is recognized when services are provided to the Company’s customers, in an amount that reflects the consideration which the Company expects to be entitled to in exchange for the services provided. Revenue is measured based on consideration specified in a contract with a customer and excludes discounts and amounts collected on behalf of third parties. Revenues under time-and-material, transaction and outcome-based contracts are recognized as the services are performed. Total revenues were $1,412 million for the year ended December 31, 2022.</w:t>
      </w:r>
    </w:p>
    <w:p>
      <w:pPr>
        <w:spacing w:after="0" w:line="12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At the inception of a new contract with a customer, the Company evaluates the revenue recognition principles, including judgments in identifying performance obligations in a contract and determining the timing of revenue recognition. The Company’s contracts may be modified to add, remove or change existing performance obligations, which require judgment to evaluate and determine whether they are to be accounted for on a prospective basis either as a separate contract, or as a termination of existing contract and creation of a new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Auditing revenue recognition requires significant audit effort resulting from the number of customers and related contracts that require evaluation and auditor judgment as to whether revenue was recorded in accordance with the terms of the contracts and revenue recognition principles under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Topic 606”).</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the Critical Audit Matter Was Addressed in the Audit</w:t>
      </w:r>
    </w:p>
    <w:p>
      <w:pPr>
        <w:spacing w:after="0" w:line="17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Our audit procedures related to whether revenue was recorded in accordance with the terms of the contracts with the Company’s customers and met the criteria for revenue recognition in accordance with ASC Topic 606 included the following, among others:</w:t>
      </w:r>
    </w:p>
    <w:p>
      <w:pPr>
        <w:spacing w:after="0" w:line="113" w:lineRule="exact"/>
        <w:rPr>
          <w:sz w:val="20"/>
          <w:szCs w:val="20"/>
          <w:color w:val="auto"/>
        </w:rPr>
      </w:pPr>
    </w:p>
    <w:p>
      <w:pPr>
        <w:ind w:left="620" w:hanging="307"/>
        <w:spacing w:after="0" w:line="349" w:lineRule="auto"/>
        <w:tabs>
          <w:tab w:leader="none" w:pos="6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tested the effectiveness of internal controls over revenue, specifically management’s controls over the identification of performance obligations within the customer contracts and determining timing of revenue recognition for new customer contracts and contracts with significant scope modifications.</w:t>
      </w:r>
    </w:p>
    <w:p>
      <w:pPr>
        <w:spacing w:after="0" w:line="65" w:lineRule="exact"/>
        <w:rPr>
          <w:rFonts w:ascii="Arial" w:cs="Arial" w:eastAsia="Arial" w:hAnsi="Arial"/>
          <w:sz w:val="15"/>
          <w:szCs w:val="15"/>
          <w:color w:val="auto"/>
        </w:rPr>
      </w:pPr>
    </w:p>
    <w:p>
      <w:pPr>
        <w:ind w:left="620" w:hanging="307"/>
        <w:spacing w:after="0" w:line="312" w:lineRule="auto"/>
        <w:tabs>
          <w:tab w:leader="none" w:pos="61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selected a sample of recorded revenue transactions from new customer contracts and evaluated the appropriateness of the performance obligations identified within the customer contracts, and assessed if the revenue recognition principles applied are in accordance with ASC Topic 606.</w:t>
      </w:r>
    </w:p>
    <w:p>
      <w:pPr>
        <w:spacing w:after="0" w:line="88" w:lineRule="exact"/>
        <w:rPr>
          <w:rFonts w:ascii="Arial" w:cs="Arial" w:eastAsia="Arial" w:hAnsi="Arial"/>
          <w:sz w:val="16"/>
          <w:szCs w:val="16"/>
          <w:color w:val="auto"/>
        </w:rPr>
      </w:pPr>
    </w:p>
    <w:p>
      <w:pPr>
        <w:jc w:val="both"/>
        <w:ind w:left="620" w:hanging="307"/>
        <w:spacing w:after="0" w:line="262"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selected a sample of recorded revenue transactions related to the Company’s contracts that were modified to add, remove or change existing performance obligations and (1) assessed whether the services added to an existing contract are distinct and whether the pricing is at a standalone selling price. and (2) services added that are distinct and at standalone selling price are accounted for on a prospective basis either as a separate contract, or as a termination of existing contract and creation of a new contract.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2023</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ExlService Holdings, Inc.</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7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ExlService Holdings, Inc.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2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2022, of the Company and our report dated February 23, 2023, expressed an unqualified opinion on those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86"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73"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EXLSERVICE HOLDINGS,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7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December 31, 2022</w:t>
            </w:r>
          </w:p>
        </w:tc>
        <w:tc>
          <w:tcPr>
            <w:tcW w:w="200" w:type="dxa"/>
            <w:vAlign w:val="bottom"/>
          </w:tcPr>
          <w:p>
            <w:pPr>
              <w:spacing w:after="0"/>
              <w:rPr>
                <w:sz w:val="16"/>
                <w:szCs w:val="16"/>
                <w:color w:val="auto"/>
              </w:rPr>
            </w:pPr>
          </w:p>
        </w:tc>
        <w:tc>
          <w:tcPr>
            <w:tcW w:w="1600" w:type="dxa"/>
            <w:vAlign w:val="bottom"/>
          </w:tcPr>
          <w:p>
            <w:pPr>
              <w:jc w:val="right"/>
              <w:ind w:right="247"/>
              <w:spacing w:after="0"/>
              <w:rPr>
                <w:sz w:val="20"/>
                <w:szCs w:val="20"/>
                <w:color w:val="auto"/>
              </w:rPr>
            </w:pPr>
            <w:r>
              <w:rPr>
                <w:rFonts w:ascii="Arial" w:cs="Arial" w:eastAsia="Arial" w:hAnsi="Arial"/>
                <w:sz w:val="15"/>
                <w:szCs w:val="15"/>
                <w:b w:val="1"/>
                <w:bCs w:val="1"/>
                <w:color w:val="auto"/>
                <w:w w:val="93"/>
              </w:rPr>
              <w:t>December 31, 2021</w:t>
            </w:r>
          </w:p>
        </w:tc>
        <w:tc>
          <w:tcPr>
            <w:tcW w:w="0" w:type="dxa"/>
            <w:vAlign w:val="bottom"/>
          </w:tcPr>
          <w:p>
            <w:pPr>
              <w:spacing w:after="0"/>
              <w:rPr>
                <w:sz w:val="1"/>
                <w:szCs w:val="1"/>
                <w:color w:val="auto"/>
              </w:rPr>
            </w:pPr>
          </w:p>
        </w:tc>
      </w:tr>
      <w:tr>
        <w:trPr>
          <w:trHeight w:val="175"/>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3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118,669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135,337</w:t>
            </w:r>
          </w:p>
        </w:tc>
        <w:tc>
          <w:tcPr>
            <w:tcW w:w="0" w:type="dxa"/>
            <w:vAlign w:val="bottom"/>
          </w:tcPr>
          <w:p>
            <w:pPr>
              <w:spacing w:after="0"/>
              <w:rPr>
                <w:sz w:val="1"/>
                <w:szCs w:val="1"/>
                <w:color w:val="auto"/>
              </w:rPr>
            </w:pPr>
          </w:p>
        </w:tc>
      </w:tr>
      <w:tr>
        <w:trPr>
          <w:trHeight w:val="190"/>
        </w:trPr>
        <w:tc>
          <w:tcPr>
            <w:tcW w:w="7380" w:type="dxa"/>
            <w:vAlign w:val="bottom"/>
          </w:tcPr>
          <w:p>
            <w:pPr>
              <w:ind w:left="320"/>
              <w:spacing w:after="0"/>
              <w:rPr>
                <w:sz w:val="20"/>
                <w:szCs w:val="20"/>
                <w:color w:val="auto"/>
              </w:rPr>
            </w:pPr>
            <w:r>
              <w:rPr>
                <w:rFonts w:ascii="Arial" w:cs="Arial" w:eastAsia="Arial" w:hAnsi="Arial"/>
                <w:sz w:val="15"/>
                <w:szCs w:val="15"/>
                <w:color w:val="auto"/>
              </w:rPr>
              <w:t>Short-term investments</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179,027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179,430</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4,897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6,174</w:t>
            </w:r>
          </w:p>
        </w:tc>
        <w:tc>
          <w:tcPr>
            <w:tcW w:w="0" w:type="dxa"/>
            <w:vAlign w:val="bottom"/>
          </w:tcPr>
          <w:p>
            <w:pPr>
              <w:spacing w:after="0"/>
              <w:rPr>
                <w:sz w:val="1"/>
                <w:szCs w:val="1"/>
                <w:color w:val="auto"/>
              </w:rPr>
            </w:pPr>
          </w:p>
        </w:tc>
      </w:tr>
      <w:tr>
        <w:trPr>
          <w:trHeight w:val="190"/>
        </w:trPr>
        <w:tc>
          <w:tcPr>
            <w:tcW w:w="7380" w:type="dxa"/>
            <w:vAlign w:val="bottom"/>
          </w:tcPr>
          <w:p>
            <w:pPr>
              <w:ind w:left="32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259,222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194,232</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50,979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62,971</w:t>
            </w:r>
          </w:p>
        </w:tc>
        <w:tc>
          <w:tcPr>
            <w:tcW w:w="0" w:type="dxa"/>
            <w:vAlign w:val="bottom"/>
          </w:tcPr>
          <w:p>
            <w:pPr>
              <w:spacing w:after="0"/>
              <w:rPr>
                <w:sz w:val="1"/>
                <w:szCs w:val="1"/>
                <w:color w:val="auto"/>
              </w:rPr>
            </w:pPr>
          </w:p>
        </w:tc>
      </w:tr>
      <w:tr>
        <w:trPr>
          <w:trHeight w:val="185"/>
        </w:trPr>
        <w:tc>
          <w:tcPr>
            <w:tcW w:w="7380" w:type="dxa"/>
            <w:vAlign w:val="bottom"/>
          </w:tcPr>
          <w:p>
            <w:pPr>
              <w:ind w:left="20"/>
              <w:spacing w:after="0" w:line="170" w:lineRule="exact"/>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b w:val="1"/>
                <w:bCs w:val="1"/>
                <w:color w:val="auto"/>
              </w:rPr>
              <w:t>612,794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b w:val="1"/>
                <w:bCs w:val="1"/>
                <w:color w:val="auto"/>
              </w:rPr>
              <w:t>578,144</w:t>
            </w:r>
          </w:p>
        </w:tc>
        <w:tc>
          <w:tcPr>
            <w:tcW w:w="0" w:type="dxa"/>
            <w:vAlign w:val="bottom"/>
          </w:tcPr>
          <w:p>
            <w:pPr>
              <w:spacing w:after="0"/>
              <w:rPr>
                <w:sz w:val="1"/>
                <w:szCs w:val="1"/>
                <w:color w:val="auto"/>
              </w:rPr>
            </w:pPr>
          </w:p>
        </w:tc>
      </w:tr>
      <w:tr>
        <w:trPr>
          <w:trHeight w:val="195"/>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82,828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86,008</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55,347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76,692</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2,055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Arial" w:cs="Arial" w:eastAsia="Arial" w:hAnsi="Arial"/>
                <w:sz w:val="15"/>
                <w:szCs w:val="15"/>
                <w:color w:val="auto"/>
              </w:rPr>
              <w:t>Deferred tax assets, net</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55,791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21,404</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64,819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81,082</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405,637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403,902</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investments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34,779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3,190</w:t>
            </w:r>
          </w:p>
        </w:tc>
        <w:tc>
          <w:tcPr>
            <w:tcW w:w="0" w:type="dxa"/>
            <w:vAlign w:val="bottom"/>
          </w:tcPr>
          <w:p>
            <w:pPr>
              <w:spacing w:after="0"/>
              <w:rPr>
                <w:sz w:val="1"/>
                <w:szCs w:val="1"/>
                <w:color w:val="auto"/>
              </w:rPr>
            </w:pPr>
          </w:p>
        </w:tc>
      </w:tr>
      <w:tr>
        <w:trPr>
          <w:trHeight w:val="19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32,069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30,183</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rPr>
              <w:t>1,346,119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rPr>
              <w:t>1,282,904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380" w:type="dxa"/>
            <w:vAlign w:val="bottom"/>
          </w:tcPr>
          <w:p>
            <w:pPr>
              <w:ind w:left="320"/>
              <w:spacing w:after="0"/>
              <w:rPr>
                <w:sz w:val="20"/>
                <w:szCs w:val="20"/>
                <w:color w:val="auto"/>
              </w:rPr>
            </w:pPr>
            <w:r>
              <w:rPr>
                <w:rFonts w:ascii="Arial" w:cs="Arial" w:eastAsia="Arial" w:hAnsi="Arial"/>
                <w:sz w:val="15"/>
                <w:szCs w:val="15"/>
                <w:color w:val="auto"/>
              </w:rPr>
              <w:t>Accounts payable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7,789</w:t>
            </w:r>
          </w:p>
        </w:tc>
        <w:tc>
          <w:tcPr>
            <w:tcW w:w="10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5,647</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long-term borrowings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30,000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260,016</w:t>
            </w:r>
          </w:p>
        </w:tc>
        <w:tc>
          <w:tcPr>
            <w:tcW w:w="0" w:type="dxa"/>
            <w:vAlign w:val="bottom"/>
          </w:tcPr>
          <w:p>
            <w:pPr>
              <w:spacing w:after="0"/>
              <w:rPr>
                <w:sz w:val="1"/>
                <w:szCs w:val="1"/>
                <w:color w:val="auto"/>
              </w:rPr>
            </w:pPr>
          </w:p>
        </w:tc>
      </w:tr>
      <w:tr>
        <w:trPr>
          <w:trHeight w:val="190"/>
        </w:trPr>
        <w:tc>
          <w:tcPr>
            <w:tcW w:w="7380" w:type="dxa"/>
            <w:vAlign w:val="bottom"/>
          </w:tcPr>
          <w:p>
            <w:pPr>
              <w:ind w:left="32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18,782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Accrued employee costs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108,100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114,285</w:t>
            </w:r>
          </w:p>
        </w:tc>
        <w:tc>
          <w:tcPr>
            <w:tcW w:w="0" w:type="dxa"/>
            <w:vAlign w:val="bottom"/>
          </w:tcPr>
          <w:p>
            <w:pPr>
              <w:spacing w:after="0"/>
              <w:rPr>
                <w:sz w:val="1"/>
                <w:szCs w:val="1"/>
                <w:color w:val="auto"/>
              </w:rPr>
            </w:pPr>
          </w:p>
        </w:tc>
      </w:tr>
      <w:tr>
        <w:trPr>
          <w:trHeight w:val="190"/>
        </w:trPr>
        <w:tc>
          <w:tcPr>
            <w:tcW w:w="7380" w:type="dxa"/>
            <w:vAlign w:val="bottom"/>
          </w:tcPr>
          <w:p>
            <w:pPr>
              <w:ind w:left="320"/>
              <w:spacing w:after="0"/>
              <w:rPr>
                <w:sz w:val="20"/>
                <w:szCs w:val="20"/>
                <w:color w:val="auto"/>
              </w:rPr>
            </w:pPr>
            <w:r>
              <w:rPr>
                <w:rFonts w:ascii="Arial" w:cs="Arial" w:eastAsia="Arial" w:hAnsi="Arial"/>
                <w:sz w:val="15"/>
                <w:szCs w:val="15"/>
                <w:color w:val="auto"/>
              </w:rPr>
              <w:t>Accrued expenses and other current liabilities</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95,352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76,350</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operating lease liabilities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14,978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18,487</w:t>
            </w:r>
          </w:p>
        </w:tc>
        <w:tc>
          <w:tcPr>
            <w:tcW w:w="0" w:type="dxa"/>
            <w:vAlign w:val="bottom"/>
          </w:tcPr>
          <w:p>
            <w:pPr>
              <w:spacing w:after="0"/>
              <w:rPr>
                <w:sz w:val="1"/>
                <w:szCs w:val="1"/>
                <w:color w:val="auto"/>
              </w:rPr>
            </w:pPr>
          </w:p>
        </w:tc>
      </w:tr>
      <w:tr>
        <w:trPr>
          <w:trHeight w:val="190"/>
        </w:trPr>
        <w:tc>
          <w:tcPr>
            <w:tcW w:w="73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Income taxes payable, net</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2,945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901</w:t>
            </w:r>
          </w:p>
        </w:tc>
        <w:tc>
          <w:tcPr>
            <w:tcW w:w="0" w:type="dxa"/>
            <w:vAlign w:val="bottom"/>
          </w:tcPr>
          <w:p>
            <w:pPr>
              <w:spacing w:after="0"/>
              <w:rPr>
                <w:sz w:val="1"/>
                <w:szCs w:val="1"/>
                <w:color w:val="auto"/>
              </w:rPr>
            </w:pPr>
          </w:p>
        </w:tc>
      </w:tr>
      <w:tr>
        <w:trPr>
          <w:trHeight w:val="190"/>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rPr>
              <w:t>277,946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rPr>
              <w:t>495,686</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Arial" w:cs="Arial" w:eastAsia="Arial" w:hAnsi="Arial"/>
                <w:sz w:val="15"/>
                <w:szCs w:val="15"/>
                <w:color w:val="auto"/>
              </w:rPr>
              <w:t>Long-term borrowings, less current portion</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220,000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less current portion</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48,155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68,506</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Arial" w:cs="Arial" w:eastAsia="Arial" w:hAnsi="Arial"/>
                <w:sz w:val="15"/>
                <w:szCs w:val="15"/>
                <w:color w:val="auto"/>
              </w:rPr>
              <w:t>Deferred tax liabilities, net</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547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965</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41,292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24,591</w:t>
            </w:r>
          </w:p>
        </w:tc>
        <w:tc>
          <w:tcPr>
            <w:tcW w:w="0" w:type="dxa"/>
            <w:vAlign w:val="bottom"/>
          </w:tcPr>
          <w:p>
            <w:pPr>
              <w:spacing w:after="0"/>
              <w:rPr>
                <w:sz w:val="1"/>
                <w:szCs w:val="1"/>
                <w:color w:val="auto"/>
              </w:rPr>
            </w:pPr>
          </w:p>
        </w:tc>
      </w:tr>
      <w:tr>
        <w:trPr>
          <w:trHeight w:val="185"/>
        </w:trPr>
        <w:tc>
          <w:tcPr>
            <w:tcW w:w="738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587,940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589,748</w:t>
            </w:r>
          </w:p>
        </w:tc>
        <w:tc>
          <w:tcPr>
            <w:tcW w:w="0" w:type="dxa"/>
            <w:vAlign w:val="bottom"/>
          </w:tcPr>
          <w:p>
            <w:pPr>
              <w:spacing w:after="0"/>
              <w:rPr>
                <w:sz w:val="1"/>
                <w:szCs w:val="1"/>
                <w:color w:val="auto"/>
              </w:rPr>
            </w:pPr>
          </w:p>
        </w:tc>
      </w:tr>
      <w:tr>
        <w:trPr>
          <w:trHeight w:val="175"/>
        </w:trPr>
        <w:tc>
          <w:tcPr>
            <w:tcW w:w="738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Commitments and contingencies (Refer to Note 25)</w:t>
            </w: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Arial" w:cs="Arial" w:eastAsia="Arial" w:hAnsi="Arial"/>
                <w:sz w:val="15"/>
                <w:szCs w:val="15"/>
                <w:color w:val="auto"/>
              </w:rPr>
              <w:t>ExlService Holdings, Inc. Stockholders’ equity:</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2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7380" w:type="dxa"/>
            <w:vAlign w:val="bottom"/>
          </w:tcPr>
          <w:p>
            <w:pPr>
              <w:ind w:left="320"/>
              <w:spacing w:after="0" w:line="142" w:lineRule="exact"/>
              <w:rPr>
                <w:sz w:val="20"/>
                <w:szCs w:val="20"/>
                <w:color w:val="auto"/>
              </w:rPr>
            </w:pPr>
            <w:r>
              <w:rPr>
                <w:rFonts w:ascii="Arial" w:cs="Arial" w:eastAsia="Arial" w:hAnsi="Arial"/>
                <w:sz w:val="15"/>
                <w:szCs w:val="15"/>
                <w:color w:val="auto"/>
                <w:w w:val="91"/>
              </w:rPr>
              <w:t>Common stock, $0.001 par value; 100,000,000 shares authorized, 39,987,976 shares issued and 33,234,444 shares</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tcPr>
          <w:p>
            <w:pPr>
              <w:ind w:left="320"/>
              <w:spacing w:after="0" w:line="142" w:lineRule="exact"/>
              <w:rPr>
                <w:sz w:val="20"/>
                <w:szCs w:val="20"/>
                <w:color w:val="auto"/>
              </w:rPr>
            </w:pPr>
            <w:r>
              <w:rPr>
                <w:rFonts w:ascii="Arial" w:cs="Arial" w:eastAsia="Arial" w:hAnsi="Arial"/>
                <w:sz w:val="15"/>
                <w:szCs w:val="15"/>
                <w:color w:val="auto"/>
                <w:w w:val="96"/>
              </w:rPr>
              <w:t>outstanding as of December 31, 2022 and 39,508,340 shares issued and 33,291,482 shares outstanding as of</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380" w:type="dxa"/>
            <w:vAlign w:val="bottom"/>
          </w:tcPr>
          <w:p>
            <w:pPr>
              <w:ind w:left="320"/>
              <w:spacing w:after="0"/>
              <w:rPr>
                <w:sz w:val="20"/>
                <w:szCs w:val="20"/>
                <w:color w:val="auto"/>
              </w:rPr>
            </w:pPr>
            <w:r>
              <w:rPr>
                <w:rFonts w:ascii="Arial" w:cs="Arial" w:eastAsia="Arial" w:hAnsi="Arial"/>
                <w:sz w:val="15"/>
                <w:szCs w:val="15"/>
                <w:color w:val="auto"/>
              </w:rPr>
              <w:t>December 31, 2021</w:t>
            </w:r>
          </w:p>
        </w:tc>
        <w:tc>
          <w:tcPr>
            <w:tcW w:w="200" w:type="dxa"/>
            <w:vAlign w:val="bottom"/>
          </w:tcPr>
          <w:p>
            <w:pPr>
              <w:spacing w:after="0"/>
              <w:rPr>
                <w:sz w:val="17"/>
                <w:szCs w:val="17"/>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445,108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395,742</w:t>
            </w:r>
          </w:p>
        </w:tc>
        <w:tc>
          <w:tcPr>
            <w:tcW w:w="0" w:type="dxa"/>
            <w:vAlign w:val="bottom"/>
          </w:tcPr>
          <w:p>
            <w:pPr>
              <w:spacing w:after="0"/>
              <w:rPr>
                <w:sz w:val="1"/>
                <w:szCs w:val="1"/>
                <w:color w:val="auto"/>
              </w:rPr>
            </w:pPr>
          </w:p>
        </w:tc>
      </w:tr>
      <w:tr>
        <w:trPr>
          <w:trHeight w:val="190"/>
        </w:trPr>
        <w:tc>
          <w:tcPr>
            <w:tcW w:w="7380" w:type="dxa"/>
            <w:vAlign w:val="bottom"/>
          </w:tcPr>
          <w:p>
            <w:pPr>
              <w:ind w:left="32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6"/>
                <w:szCs w:val="16"/>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899,105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756,137</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(144,143)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(89,474)</w:t>
            </w:r>
          </w:p>
        </w:tc>
        <w:tc>
          <w:tcPr>
            <w:tcW w:w="0" w:type="dxa"/>
            <w:vAlign w:val="bottom"/>
          </w:tcPr>
          <w:p>
            <w:pPr>
              <w:spacing w:after="0"/>
              <w:rPr>
                <w:sz w:val="1"/>
                <w:szCs w:val="1"/>
                <w:color w:val="auto"/>
              </w:rPr>
            </w:pPr>
          </w:p>
        </w:tc>
      </w:tr>
      <w:tr>
        <w:trPr>
          <w:trHeight w:val="185"/>
        </w:trPr>
        <w:tc>
          <w:tcPr>
            <w:tcW w:w="7380" w:type="dxa"/>
            <w:vAlign w:val="bottom"/>
          </w:tcPr>
          <w:p>
            <w:pPr>
              <w:ind w:left="20"/>
              <w:spacing w:after="0" w:line="170" w:lineRule="exact"/>
              <w:rPr>
                <w:sz w:val="20"/>
                <w:szCs w:val="20"/>
                <w:color w:val="auto"/>
              </w:rPr>
            </w:pPr>
            <w:r>
              <w:rPr>
                <w:rFonts w:ascii="Arial" w:cs="Arial" w:eastAsia="Arial" w:hAnsi="Arial"/>
                <w:sz w:val="15"/>
                <w:szCs w:val="15"/>
                <w:b w:val="1"/>
                <w:bCs w:val="1"/>
                <w:color w:val="auto"/>
              </w:rPr>
              <w:t>Total including shares held in treasury</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1,200,110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1,062,445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0"/>
              </w:rPr>
              <w:t>Less: 6,753,532 shares as of December 31, 2022 and 6,216,858 shares as of December 31, 2021, held in treasury, at cost</w:t>
            </w: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(441,931)</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(369,289)</w:t>
            </w:r>
          </w:p>
        </w:tc>
      </w:tr>
      <w:tr>
        <w:trPr>
          <w:trHeight w:val="18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stockholders’ equity</w:t>
            </w: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758,179</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693,156</w:t>
            </w:r>
          </w:p>
        </w:tc>
      </w:tr>
      <w:tr>
        <w:trPr>
          <w:trHeight w:val="21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640" w:type="dxa"/>
            <w:vAlign w:val="bottom"/>
            <w:tcBorders>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rPr>
              <w:t>1,346,119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rPr>
              <w:t>1,282,904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4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62"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CONSOLIDATED STATEMENTS OF INCOME</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69" w:lineRule="exact"/>
        <w:rPr>
          <w:sz w:val="20"/>
          <w:szCs w:val="20"/>
          <w:color w:val="auto"/>
        </w:rPr>
      </w:pPr>
    </w:p>
    <w:p>
      <w:pPr>
        <w:ind w:left="8280"/>
        <w:spacing w:after="0"/>
        <w:rPr>
          <w:sz w:val="20"/>
          <w:szCs w:val="20"/>
          <w:color w:val="auto"/>
        </w:rPr>
      </w:pPr>
      <w:r>
        <w:rPr>
          <w:rFonts w:ascii="Arial" w:cs="Arial" w:eastAsia="Arial" w:hAnsi="Arial"/>
          <w:sz w:val="15"/>
          <w:szCs w:val="15"/>
          <w:b w:val="1"/>
          <w:bCs w:val="1"/>
          <w:color w:val="auto"/>
        </w:rPr>
        <w:t>Year ended December 31,</w: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0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13"/>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1,412,044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1,122,293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958,434</w:t>
            </w:r>
          </w:p>
        </w:tc>
      </w:tr>
      <w:tr>
        <w:trPr>
          <w:trHeight w:val="219"/>
        </w:trPr>
        <w:tc>
          <w:tcPr>
            <w:tcW w:w="700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 xml:space="preserve">Cost of revenues </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896,595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690,934</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623,936</w:t>
            </w:r>
          </w:p>
        </w:tc>
      </w:tr>
      <w:tr>
        <w:trPr>
          <w:trHeight w:val="212"/>
        </w:trPr>
        <w:tc>
          <w:tcPr>
            <w:tcW w:w="700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b w:val="1"/>
                <w:bCs w:val="1"/>
                <w:color w:val="auto"/>
              </w:rPr>
              <w:t xml:space="preserve">Gross profit </w:t>
            </w:r>
            <w:r>
              <w:rPr>
                <w:rFonts w:ascii="Arial" w:cs="Arial" w:eastAsia="Arial" w:hAnsi="Arial"/>
                <w:sz w:val="22"/>
                <w:szCs w:val="22"/>
                <w:b w:val="1"/>
                <w:bCs w:val="1"/>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515,449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431,359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334,498</w:t>
            </w:r>
          </w:p>
        </w:tc>
      </w:tr>
      <w:tr>
        <w:trPr>
          <w:trHeight w:val="198"/>
        </w:trPr>
        <w:tc>
          <w:tcPr>
            <w:tcW w:w="70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7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169,016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142,040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113,891</w:t>
            </w:r>
          </w:p>
        </w:tc>
      </w:tr>
      <w:tr>
        <w:trPr>
          <w:trHeight w:val="218"/>
        </w:trPr>
        <w:tc>
          <w:tcPr>
            <w:tcW w:w="7000" w:type="dxa"/>
            <w:vAlign w:val="bottom"/>
          </w:tcPr>
          <w:p>
            <w:pPr>
              <w:ind w:left="320"/>
              <w:spacing w:after="0"/>
              <w:rPr>
                <w:sz w:val="20"/>
                <w:szCs w:val="20"/>
                <w:color w:val="auto"/>
              </w:rPr>
            </w:pPr>
            <w:r>
              <w:rPr>
                <w:rFonts w:ascii="Arial" w:cs="Arial" w:eastAsia="Arial" w:hAnsi="Arial"/>
                <w:sz w:val="17"/>
                <w:szCs w:val="17"/>
                <w:color w:val="auto"/>
              </w:rPr>
              <w:t>Selling and marketing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97,989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84,306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60,123</w:t>
            </w:r>
          </w:p>
        </w:tc>
      </w:tr>
      <w:tr>
        <w:trPr>
          <w:trHeight w:val="220"/>
        </w:trPr>
        <w:tc>
          <w:tcPr>
            <w:tcW w:w="7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56,282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49,132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50,462</w:t>
            </w:r>
          </w:p>
        </w:tc>
      </w:tr>
      <w:tr>
        <w:trPr>
          <w:trHeight w:val="211"/>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323,287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275,478</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224,476</w:t>
            </w:r>
          </w:p>
        </w:tc>
      </w:tr>
      <w:tr>
        <w:trPr>
          <w:trHeight w:val="213"/>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192,162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155,881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110,022</w:t>
            </w:r>
          </w:p>
        </w:tc>
      </w:tr>
      <w:tr>
        <w:trPr>
          <w:trHeight w:val="218"/>
        </w:trPr>
        <w:tc>
          <w:tcPr>
            <w:tcW w:w="7000" w:type="dxa"/>
            <w:vAlign w:val="bottom"/>
          </w:tcPr>
          <w:p>
            <w:pPr>
              <w:ind w:left="20"/>
              <w:spacing w:after="0"/>
              <w:rPr>
                <w:sz w:val="20"/>
                <w:szCs w:val="20"/>
                <w:color w:val="auto"/>
              </w:rPr>
            </w:pPr>
            <w:r>
              <w:rPr>
                <w:rFonts w:ascii="Arial" w:cs="Arial" w:eastAsia="Arial" w:hAnsi="Arial"/>
                <w:sz w:val="17"/>
                <w:szCs w:val="17"/>
                <w:color w:val="auto"/>
              </w:rPr>
              <w:t>Foreign exchange gain,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4,432</w:t>
            </w:r>
          </w:p>
        </w:tc>
      </w:tr>
      <w:tr>
        <w:trPr>
          <w:trHeight w:val="220"/>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(11,190)</w:t>
            </w:r>
          </w:p>
        </w:tc>
      </w:tr>
      <w:tr>
        <w:trPr>
          <w:trHeight w:val="218"/>
        </w:trPr>
        <w:tc>
          <w:tcPr>
            <w:tcW w:w="7000" w:type="dxa"/>
            <w:vAlign w:val="bottom"/>
          </w:tcPr>
          <w:p>
            <w:pPr>
              <w:ind w:left="20"/>
              <w:spacing w:after="0"/>
              <w:rPr>
                <w:sz w:val="20"/>
                <w:szCs w:val="20"/>
                <w:color w:val="auto"/>
              </w:rPr>
            </w:pPr>
            <w:r>
              <w:rPr>
                <w:rFonts w:ascii="Arial" w:cs="Arial" w:eastAsia="Arial" w:hAnsi="Arial"/>
                <w:sz w:val="17"/>
                <w:szCs w:val="17"/>
                <w:color w:val="auto"/>
              </w:rPr>
              <w:t>Other income/(loss),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12,065</w:t>
            </w:r>
          </w:p>
        </w:tc>
      </w:tr>
      <w:tr>
        <w:trPr>
          <w:trHeight w:val="220"/>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settlement of convertible notes</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Income before income tax expense and earnings from equity affiliates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190,099</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146,561</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115,329</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47,565</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31,850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25,626</w:t>
            </w:r>
          </w:p>
        </w:tc>
      </w:tr>
      <w:tr>
        <w:trPr>
          <w:trHeight w:val="212"/>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142,534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114,711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89,703</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Gain/(loss) from equity-method investment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r>
      <w:tr>
        <w:trPr>
          <w:trHeight w:val="212"/>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142,968</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114,758</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89,476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5"/>
        </w:trPr>
        <w:tc>
          <w:tcPr>
            <w:tcW w:w="700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Earnings per share attributable to ExlService Holdings, Inc. stockholders: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8"/>
        </w:trPr>
        <w:tc>
          <w:tcPr>
            <w:tcW w:w="7000" w:type="dxa"/>
            <w:vAlign w:val="bottom"/>
          </w:tcPr>
          <w:p>
            <w:pPr>
              <w:ind w:left="320"/>
              <w:spacing w:after="0"/>
              <w:rPr>
                <w:sz w:val="20"/>
                <w:szCs w:val="20"/>
                <w:color w:val="auto"/>
              </w:rPr>
            </w:pPr>
            <w:r>
              <w:rPr>
                <w:rFonts w:ascii="Arial" w:cs="Arial" w:eastAsia="Arial" w:hAnsi="Arial"/>
                <w:sz w:val="17"/>
                <w:szCs w:val="17"/>
                <w:color w:val="auto"/>
              </w:rPr>
              <w:t>Basic</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4.29</w:t>
            </w:r>
          </w:p>
        </w:tc>
        <w:tc>
          <w:tcPr>
            <w:tcW w:w="16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3.42</w:t>
            </w:r>
          </w:p>
        </w:tc>
        <w:tc>
          <w:tcPr>
            <w:tcW w:w="16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2.61</w:t>
            </w:r>
          </w:p>
        </w:tc>
      </w:tr>
      <w:tr>
        <w:trPr>
          <w:trHeight w:val="220"/>
        </w:trPr>
        <w:tc>
          <w:tcPr>
            <w:tcW w:w="7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r>
      <w:tr>
        <w:trPr>
          <w:trHeight w:val="168"/>
        </w:trPr>
        <w:tc>
          <w:tcPr>
            <w:tcW w:w="7000" w:type="dxa"/>
            <w:vAlign w:val="bottom"/>
          </w:tcPr>
          <w:p>
            <w:pPr>
              <w:ind w:left="20"/>
              <w:spacing w:after="0" w:line="168" w:lineRule="exact"/>
              <w:rPr>
                <w:sz w:val="20"/>
                <w:szCs w:val="20"/>
                <w:color w:val="auto"/>
              </w:rPr>
            </w:pPr>
            <w:r>
              <w:rPr>
                <w:rFonts w:ascii="Arial" w:cs="Arial" w:eastAsia="Arial" w:hAnsi="Arial"/>
                <w:sz w:val="17"/>
                <w:szCs w:val="17"/>
                <w:color w:val="auto"/>
                <w:w w:val="91"/>
              </w:rPr>
              <w:t>Weighted-average number of shares used in computing earnings per share attributable to ExlService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4"/>
        </w:trPr>
        <w:tc>
          <w:tcPr>
            <w:tcW w:w="7000" w:type="dxa"/>
            <w:vAlign w:val="bottom"/>
          </w:tcPr>
          <w:p>
            <w:pPr>
              <w:ind w:left="20"/>
              <w:spacing w:after="0"/>
              <w:rPr>
                <w:sz w:val="20"/>
                <w:szCs w:val="20"/>
                <w:color w:val="auto"/>
              </w:rPr>
            </w:pPr>
            <w:r>
              <w:rPr>
                <w:rFonts w:ascii="Arial" w:cs="Arial" w:eastAsia="Arial" w:hAnsi="Arial"/>
                <w:sz w:val="17"/>
                <w:szCs w:val="17"/>
                <w:color w:val="auto"/>
              </w:rPr>
              <w:t>Holdings, Inc. stockholders: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7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33,330,317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33,549,275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34,273,388</w:t>
            </w:r>
          </w:p>
        </w:tc>
      </w:tr>
      <w:tr>
        <w:trPr>
          <w:trHeight w:val="218"/>
        </w:trPr>
        <w:tc>
          <w:tcPr>
            <w:tcW w:w="7000" w:type="dxa"/>
            <w:vAlign w:val="bottom"/>
          </w:tcPr>
          <w:p>
            <w:pPr>
              <w:ind w:left="320"/>
              <w:spacing w:after="0"/>
              <w:rPr>
                <w:sz w:val="20"/>
                <w:szCs w:val="20"/>
                <w:color w:val="auto"/>
              </w:rPr>
            </w:pPr>
            <w:r>
              <w:rPr>
                <w:rFonts w:ascii="Arial" w:cs="Arial" w:eastAsia="Arial" w:hAnsi="Arial"/>
                <w:sz w:val="17"/>
                <w:szCs w:val="17"/>
                <w:color w:val="auto"/>
              </w:rPr>
              <w:t>Diluted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33,833,858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34,244,478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34,555,164</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4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62"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right"/>
              <w:ind w:right="134"/>
              <w:spacing w:after="0"/>
              <w:rPr>
                <w:sz w:val="20"/>
                <w:szCs w:val="20"/>
                <w:color w:val="auto"/>
              </w:rPr>
            </w:pPr>
            <w:r>
              <w:rPr>
                <w:rFonts w:ascii="Arial" w:cs="Arial" w:eastAsia="Arial" w:hAnsi="Arial"/>
                <w:sz w:val="15"/>
                <w:szCs w:val="15"/>
                <w:b w:val="1"/>
                <w:bCs w:val="1"/>
                <w:color w:val="auto"/>
                <w:w w:val="94"/>
              </w:rPr>
              <w:t>Year ended December 31,</w:t>
            </w:r>
          </w:p>
        </w:tc>
        <w:tc>
          <w:tcPr>
            <w:tcW w:w="1120" w:type="dxa"/>
            <w:vAlign w:val="bottom"/>
            <w:tcBorders>
              <w:bottom w:val="single" w:sz="8" w:color="auto"/>
            </w:tcBorders>
          </w:tcPr>
          <w:p>
            <w:pPr>
              <w:spacing w:after="0"/>
              <w:rPr>
                <w:sz w:val="17"/>
                <w:szCs w:val="17"/>
                <w:color w:val="auto"/>
              </w:rPr>
            </w:pPr>
          </w:p>
        </w:tc>
      </w:tr>
      <w:tr>
        <w:trPr>
          <w:trHeight w:val="200"/>
        </w:trPr>
        <w:tc>
          <w:tcPr>
            <w:tcW w:w="6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2020</w:t>
            </w:r>
          </w:p>
        </w:tc>
      </w:tr>
      <w:tr>
        <w:trPr>
          <w:trHeight w:val="214"/>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142,968</w:t>
            </w:r>
          </w:p>
        </w:tc>
        <w:tc>
          <w:tcPr>
            <w:tcW w:w="44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89,476</w:t>
            </w:r>
          </w:p>
        </w:tc>
      </w:tr>
      <w:tr>
        <w:trPr>
          <w:trHeight w:val="219"/>
        </w:trPr>
        <w:tc>
          <w:tcPr>
            <w:tcW w:w="6880" w:type="dxa"/>
            <w:vAlign w:val="bottom"/>
          </w:tcPr>
          <w:p>
            <w:pPr>
              <w:ind w:left="60"/>
              <w:spacing w:after="0"/>
              <w:rPr>
                <w:sz w:val="20"/>
                <w:szCs w:val="20"/>
                <w:color w:val="auto"/>
              </w:rPr>
            </w:pPr>
            <w:r>
              <w:rPr>
                <w:rFonts w:ascii="Arial" w:cs="Arial" w:eastAsia="Arial" w:hAnsi="Arial"/>
                <w:sz w:val="17"/>
                <w:szCs w:val="17"/>
                <w:b w:val="1"/>
                <w:bCs w:val="1"/>
                <w:color w:val="auto"/>
              </w:rPr>
              <w:t>Other comprehensive income/(loss):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68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Unrealized gain/(loss) on cash flow hedges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12,665</w:t>
            </w:r>
          </w:p>
        </w:tc>
      </w:tr>
      <w:tr>
        <w:trPr>
          <w:trHeight w:val="218"/>
        </w:trPr>
        <w:tc>
          <w:tcPr>
            <w:tcW w:w="6880" w:type="dxa"/>
            <w:vAlign w:val="bottom"/>
          </w:tcPr>
          <w:p>
            <w:pPr>
              <w:ind w:left="540"/>
              <w:spacing w:after="0"/>
              <w:rPr>
                <w:sz w:val="20"/>
                <w:szCs w:val="20"/>
                <w:color w:val="auto"/>
              </w:rPr>
            </w:pPr>
            <w:r>
              <w:rPr>
                <w:rFonts w:ascii="Arial" w:cs="Arial" w:eastAsia="Arial" w:hAnsi="Arial"/>
                <w:sz w:val="17"/>
                <w:szCs w:val="17"/>
                <w:color w:val="auto"/>
              </w:rPr>
              <w:t>Loss on net investment hedges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8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Foreign currency translation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r>
      <w:tr>
        <w:trPr>
          <w:trHeight w:val="218"/>
        </w:trPr>
        <w:tc>
          <w:tcPr>
            <w:tcW w:w="6880" w:type="dxa"/>
            <w:vAlign w:val="bottom"/>
          </w:tcPr>
          <w:p>
            <w:pPr>
              <w:ind w:left="540"/>
              <w:spacing w:after="0"/>
              <w:rPr>
                <w:sz w:val="20"/>
                <w:szCs w:val="20"/>
                <w:color w:val="auto"/>
              </w:rPr>
            </w:pPr>
            <w:r>
              <w:rPr>
                <w:rFonts w:ascii="Arial" w:cs="Arial" w:eastAsia="Arial" w:hAnsi="Arial"/>
                <w:sz w:val="17"/>
                <w:szCs w:val="17"/>
                <w:color w:val="auto"/>
              </w:rPr>
              <w:t>Retirement benefits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(2,401)</w:t>
            </w:r>
          </w:p>
        </w:tc>
      </w:tr>
      <w:tr>
        <w:trPr>
          <w:trHeight w:val="220"/>
        </w:trPr>
        <w:tc>
          <w:tcPr>
            <w:tcW w:w="68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Reclassification adjustments: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6880" w:type="dxa"/>
            <w:vAlign w:val="bottom"/>
          </w:tcPr>
          <w:p>
            <w:pPr>
              <w:ind w:left="440"/>
              <w:spacing w:after="0" w:line="219" w:lineRule="exact"/>
              <w:rPr>
                <w:sz w:val="20"/>
                <w:szCs w:val="20"/>
                <w:color w:val="auto"/>
              </w:rPr>
            </w:pPr>
            <w:r>
              <w:rPr>
                <w:rFonts w:ascii="Arial" w:cs="Arial" w:eastAsia="Arial" w:hAnsi="Arial"/>
                <w:sz w:val="17"/>
                <w:szCs w:val="17"/>
                <w:color w:val="auto"/>
              </w:rPr>
              <w:t>(Gain)/loss on cash flow hedges</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(801)</w:t>
            </w:r>
          </w:p>
        </w:tc>
      </w:tr>
      <w:tr>
        <w:trPr>
          <w:trHeight w:val="219"/>
        </w:trPr>
        <w:tc>
          <w:tcPr>
            <w:tcW w:w="68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Retirement benefits</w:t>
            </w:r>
            <w:r>
              <w:rPr>
                <w:rFonts w:ascii="Arial" w:cs="Arial" w:eastAsia="Arial" w:hAnsi="Arial"/>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19"/>
        </w:trPr>
        <w:tc>
          <w:tcPr>
            <w:tcW w:w="688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7"/>
                <w:szCs w:val="17"/>
                <w:b w:val="1"/>
                <w:bCs w:val="1"/>
                <w:color w:val="auto"/>
              </w:rPr>
              <w:t>Income tax effects relating to above</w:t>
            </w:r>
            <w:r>
              <w:rPr>
                <w:rFonts w:ascii="Arial" w:cs="Arial" w:eastAsia="Arial" w:hAnsi="Arial"/>
                <w:sz w:val="22"/>
                <w:szCs w:val="22"/>
                <w:b w:val="1"/>
                <w:bCs w:val="1"/>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r>
      <w:tr>
        <w:trPr>
          <w:trHeight w:val="212"/>
        </w:trPr>
        <w:tc>
          <w:tcPr>
            <w:tcW w:w="688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Total other comprehensive income/(loss)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9,908</w:t>
            </w:r>
          </w:p>
        </w:tc>
      </w:tr>
      <w:tr>
        <w:trPr>
          <w:trHeight w:val="211"/>
        </w:trPr>
        <w:tc>
          <w:tcPr>
            <w:tcW w:w="6880" w:type="dxa"/>
            <w:vAlign w:val="bottom"/>
          </w:tcPr>
          <w:p>
            <w:pPr>
              <w:ind w:left="20"/>
              <w:spacing w:after="0"/>
              <w:rPr>
                <w:sz w:val="20"/>
                <w:szCs w:val="20"/>
                <w:color w:val="auto"/>
              </w:rPr>
            </w:pPr>
            <w:r>
              <w:rPr>
                <w:rFonts w:ascii="Arial" w:cs="Arial" w:eastAsia="Arial" w:hAnsi="Arial"/>
                <w:sz w:val="17"/>
                <w:szCs w:val="17"/>
                <w:b w:val="1"/>
                <w:bCs w:val="1"/>
                <w:color w:val="auto"/>
              </w:rPr>
              <w:t>Total comprehensive income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88,299</w:t>
            </w:r>
          </w:p>
        </w:tc>
        <w:tc>
          <w:tcPr>
            <w:tcW w:w="440" w:type="dxa"/>
            <w:vAlign w:val="bottom"/>
            <w:gridSpan w:val="2"/>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100,268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99,384</w:t>
            </w:r>
          </w:p>
        </w:tc>
      </w:tr>
      <w:tr>
        <w:trPr>
          <w:trHeight w:val="20"/>
        </w:trPr>
        <w:tc>
          <w:tcPr>
            <w:tcW w:w="6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540" w:hanging="537"/>
        <w:spacing w:after="0" w:line="301" w:lineRule="auto"/>
        <w:tabs>
          <w:tab w:leader="none" w:pos="540"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These are reclassified to net income and are included in cost of revenues, operating expenses and interest expense, as applicable in the consolidated statements of income. Refer to Note 17 - Derivatives and Hedge Accounting to the consolidated financial statements.</w:t>
      </w:r>
    </w:p>
    <w:p>
      <w:pPr>
        <w:spacing w:after="0" w:line="44" w:lineRule="exact"/>
        <w:rPr>
          <w:rFonts w:ascii="Arial" w:cs="Arial" w:eastAsia="Arial" w:hAnsi="Arial"/>
          <w:sz w:val="15"/>
          <w:szCs w:val="15"/>
          <w:i w:val="1"/>
          <w:iCs w:val="1"/>
          <w:color w:val="auto"/>
        </w:rPr>
      </w:pPr>
    </w:p>
    <w:p>
      <w:pPr>
        <w:ind w:left="540" w:hanging="537"/>
        <w:spacing w:after="0" w:line="283" w:lineRule="auto"/>
        <w:tabs>
          <w:tab w:leader="none" w:pos="540"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These are reclassified to net income and are included in other income/(loss), net in the consolidated statements of income. Refer to Note 20 - Employee Benefit Plans to the consolidated financial statements.</w:t>
      </w:r>
    </w:p>
    <w:p>
      <w:pPr>
        <w:spacing w:after="0" w:line="70" w:lineRule="exact"/>
        <w:rPr>
          <w:rFonts w:ascii="Arial" w:cs="Arial" w:eastAsia="Arial" w:hAnsi="Arial"/>
          <w:sz w:val="15"/>
          <w:szCs w:val="15"/>
          <w:i w:val="1"/>
          <w:iCs w:val="1"/>
          <w:color w:val="auto"/>
        </w:rPr>
      </w:pPr>
    </w:p>
    <w:p>
      <w:pPr>
        <w:ind w:left="540" w:hanging="537"/>
        <w:spacing w:after="0" w:line="283" w:lineRule="auto"/>
        <w:tabs>
          <w:tab w:leader="none" w:pos="540"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These are income tax effects recognized on cash flow hedges, retirement benefits and foreign currency translation loss. Refer to Note 22 - Income Taxes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62"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 thousands, except share count)</w:t>
      </w: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90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Accumulated Other</w:t>
            </w:r>
          </w:p>
        </w:tc>
        <w:tc>
          <w:tcPr>
            <w:tcW w:w="208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62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9"/>
                <w:szCs w:val="9"/>
                <w:color w:val="auto"/>
              </w:rPr>
            </w:pPr>
          </w:p>
        </w:tc>
        <w:tc>
          <w:tcPr>
            <w:tcW w:w="82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87"/>
              </w:rPr>
              <w:t>Comprehensive</w:t>
            </w:r>
          </w:p>
        </w:tc>
        <w:tc>
          <w:tcPr>
            <w:tcW w:w="208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62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Income/(Loss)</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38,480,654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391,240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551,903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(84,892)</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(4,295,413)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(188,289)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670,001</w:t>
            </w:r>
          </w:p>
        </w:tc>
        <w:tc>
          <w:tcPr>
            <w:tcW w:w="0" w:type="dxa"/>
            <w:vAlign w:val="bottom"/>
          </w:tcPr>
          <w:p>
            <w:pPr>
              <w:spacing w:after="0"/>
              <w:rPr>
                <w:sz w:val="1"/>
                <w:szCs w:val="1"/>
                <w:color w:val="auto"/>
              </w:rPr>
            </w:pPr>
          </w:p>
        </w:tc>
      </w:tr>
      <w:tr>
        <w:trPr>
          <w:trHeight w:val="129"/>
        </w:trPr>
        <w:tc>
          <w:tcPr>
            <w:tcW w:w="2620" w:type="dxa"/>
            <w:vAlign w:val="bottom"/>
          </w:tcPr>
          <w:p>
            <w:pPr>
              <w:ind w:left="20"/>
              <w:spacing w:after="0" w:line="129" w:lineRule="exact"/>
              <w:rPr>
                <w:sz w:val="20"/>
                <w:szCs w:val="20"/>
                <w:color w:val="auto"/>
              </w:rPr>
            </w:pPr>
            <w:r>
              <w:rPr>
                <w:rFonts w:ascii="Arial" w:cs="Arial" w:eastAsia="Arial" w:hAnsi="Arial"/>
                <w:sz w:val="14"/>
                <w:szCs w:val="14"/>
                <w:color w:val="auto"/>
              </w:rPr>
              <w:t>Stock issued against stock-based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487,398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28,235</w:t>
            </w: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(1,113,205)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(79,949)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(79,949)</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9,908</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89,476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89,476</w:t>
            </w:r>
          </w:p>
        </w:tc>
        <w:tc>
          <w:tcPr>
            <w:tcW w:w="0" w:type="dxa"/>
            <w:vAlign w:val="bottom"/>
          </w:tcPr>
          <w:p>
            <w:pPr>
              <w:spacing w:after="0"/>
              <w:rPr>
                <w:sz w:val="1"/>
                <w:szCs w:val="1"/>
                <w:color w:val="auto"/>
              </w:rPr>
            </w:pPr>
          </w:p>
        </w:tc>
      </w:tr>
      <w:tr>
        <w:trPr>
          <w:trHeight w:val="19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38,968,052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420,976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641,379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(74,984)</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(5,408,618)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(268,238)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719,172</w:t>
            </w:r>
          </w:p>
        </w:tc>
        <w:tc>
          <w:tcPr>
            <w:tcW w:w="0" w:type="dxa"/>
            <w:vAlign w:val="bottom"/>
          </w:tcPr>
          <w:p>
            <w:pPr>
              <w:spacing w:after="0"/>
              <w:rPr>
                <w:sz w:val="1"/>
                <w:szCs w:val="1"/>
                <w:color w:val="auto"/>
              </w:rPr>
            </w:pPr>
          </w:p>
        </w:tc>
      </w:tr>
      <w:tr>
        <w:trPr>
          <w:trHeight w:val="129"/>
        </w:trPr>
        <w:tc>
          <w:tcPr>
            <w:tcW w:w="2620" w:type="dxa"/>
            <w:vAlign w:val="bottom"/>
          </w:tcPr>
          <w:p>
            <w:pPr>
              <w:ind w:left="20"/>
              <w:spacing w:after="0" w:line="129" w:lineRule="exact"/>
              <w:rPr>
                <w:sz w:val="20"/>
                <w:szCs w:val="20"/>
                <w:color w:val="auto"/>
              </w:rPr>
            </w:pPr>
            <w:r>
              <w:rPr>
                <w:rFonts w:ascii="Arial" w:cs="Arial" w:eastAsia="Arial" w:hAnsi="Arial"/>
                <w:sz w:val="14"/>
                <w:szCs w:val="14"/>
                <w:color w:val="auto"/>
              </w:rPr>
              <w:t>Stock issued against stock-based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540,288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38,621</w:t>
            </w: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(1,118,634)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(118,357)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(118,357)</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treasury stock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36,742</w:t>
            </w:r>
          </w:p>
        </w:tc>
        <w:tc>
          <w:tcPr>
            <w:tcW w:w="0" w:type="dxa"/>
            <w:vAlign w:val="bottom"/>
          </w:tcPr>
          <w:p>
            <w:pPr>
              <w:spacing w:after="0"/>
              <w:rPr>
                <w:sz w:val="1"/>
                <w:szCs w:val="1"/>
                <w:color w:val="auto"/>
              </w:rPr>
            </w:pPr>
          </w:p>
        </w:tc>
      </w:tr>
      <w:tr>
        <w:trPr>
          <w:trHeight w:val="182"/>
        </w:trPr>
        <w:tc>
          <w:tcPr>
            <w:tcW w:w="2620" w:type="dxa"/>
            <w:vAlign w:val="bottom"/>
          </w:tcPr>
          <w:p>
            <w:pPr>
              <w:ind w:left="20"/>
              <w:spacing w:after="0"/>
              <w:rPr>
                <w:sz w:val="20"/>
                <w:szCs w:val="20"/>
                <w:color w:val="auto"/>
              </w:rPr>
            </w:pPr>
            <w:r>
              <w:rPr>
                <w:rFonts w:ascii="Arial" w:cs="Arial" w:eastAsia="Arial" w:hAnsi="Arial"/>
                <w:sz w:val="14"/>
                <w:szCs w:val="14"/>
                <w:color w:val="auto"/>
              </w:rPr>
              <w:t>Settlement of convertible notes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(84,000)</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(14,490)</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(14,490)</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114,758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114,758</w:t>
            </w:r>
          </w:p>
        </w:tc>
        <w:tc>
          <w:tcPr>
            <w:tcW w:w="0" w:type="dxa"/>
            <w:vAlign w:val="bottom"/>
          </w:tcPr>
          <w:p>
            <w:pPr>
              <w:spacing w:after="0"/>
              <w:rPr>
                <w:sz w:val="1"/>
                <w:szCs w:val="1"/>
                <w:color w:val="auto"/>
              </w:rPr>
            </w:pPr>
          </w:p>
        </w:tc>
      </w:tr>
      <w:tr>
        <w:trPr>
          <w:trHeight w:val="19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39,508,340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395,742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756,137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(89,474)</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(6,216,858)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(369,289)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693,156</w:t>
            </w:r>
          </w:p>
        </w:tc>
        <w:tc>
          <w:tcPr>
            <w:tcW w:w="0" w:type="dxa"/>
            <w:vAlign w:val="bottom"/>
          </w:tcPr>
          <w:p>
            <w:pPr>
              <w:spacing w:after="0"/>
              <w:rPr>
                <w:sz w:val="1"/>
                <w:szCs w:val="1"/>
                <w:color w:val="auto"/>
              </w:rPr>
            </w:pPr>
          </w:p>
        </w:tc>
      </w:tr>
      <w:tr>
        <w:trPr>
          <w:trHeight w:val="129"/>
        </w:trPr>
        <w:tc>
          <w:tcPr>
            <w:tcW w:w="2620" w:type="dxa"/>
            <w:vAlign w:val="bottom"/>
          </w:tcPr>
          <w:p>
            <w:pPr>
              <w:ind w:left="20"/>
              <w:spacing w:after="0" w:line="129" w:lineRule="exact"/>
              <w:rPr>
                <w:sz w:val="20"/>
                <w:szCs w:val="20"/>
                <w:color w:val="auto"/>
              </w:rPr>
            </w:pPr>
            <w:r>
              <w:rPr>
                <w:rFonts w:ascii="Arial" w:cs="Arial" w:eastAsia="Arial" w:hAnsi="Arial"/>
                <w:sz w:val="14"/>
                <w:szCs w:val="14"/>
                <w:color w:val="auto"/>
              </w:rPr>
              <w:t>Stock issued against stock-based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479,636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49,366</w:t>
            </w: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(536,674)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(72,642)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(72,642)</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(54,669)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(54,669)</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142,968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142,968</w:t>
            </w:r>
          </w:p>
        </w:tc>
        <w:tc>
          <w:tcPr>
            <w:tcW w:w="0" w:type="dxa"/>
            <w:vAlign w:val="bottom"/>
          </w:tcPr>
          <w:p>
            <w:pPr>
              <w:spacing w:after="0"/>
              <w:rPr>
                <w:sz w:val="1"/>
                <w:szCs w:val="1"/>
                <w:color w:val="auto"/>
              </w:rPr>
            </w:pPr>
          </w:p>
        </w:tc>
      </w:tr>
      <w:tr>
        <w:trPr>
          <w:trHeight w:val="18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39,987,976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445,108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899,105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(144,143)</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(6,753,532)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(441,931)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758,179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353" w:right="5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9"/>
        </w:trPr>
        <w:tc>
          <w:tcPr>
            <w:tcW w:w="67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8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4"/>
        </w:trPr>
        <w:tc>
          <w:tcPr>
            <w:tcW w:w="6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69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142,968</w:t>
            </w:r>
          </w:p>
        </w:tc>
        <w:tc>
          <w:tcPr>
            <w:tcW w:w="440" w:type="dxa"/>
            <w:vAlign w:val="bottom"/>
            <w:gridSpan w:val="2"/>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114,758</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89,476</w:t>
            </w:r>
          </w:p>
        </w:tc>
      </w:tr>
      <w:tr>
        <w:trPr>
          <w:trHeight w:val="20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Depreciation and amortization expense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56,102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49,656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50,513</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28,235</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Amortization of operating lease right-of-use assets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21,783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26,326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27,146</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Unrealized (gain)/loss on investments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(7,174)</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Unrealized foreign currency exchange (gain)/loss, net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(16,643)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income tax (benefit)/expense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Allowance/(reversal) for expected credit losses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Loss on settlement of convertible notes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8"/>
        </w:trPr>
        <w:tc>
          <w:tcPr>
            <w:tcW w:w="6740" w:type="dxa"/>
            <w:vAlign w:val="bottom"/>
          </w:tcPr>
          <w:p>
            <w:pPr>
              <w:ind w:left="320"/>
              <w:spacing w:after="0"/>
              <w:rPr>
                <w:sz w:val="20"/>
                <w:szCs w:val="20"/>
                <w:color w:val="auto"/>
              </w:rPr>
            </w:pPr>
            <w:r>
              <w:rPr>
                <w:rFonts w:ascii="Arial" w:cs="Arial" w:eastAsia="Arial" w:hAnsi="Arial"/>
                <w:sz w:val="14"/>
                <w:szCs w:val="14"/>
                <w:color w:val="auto"/>
              </w:rPr>
              <w:t>Fair value changes in contingent consideration</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4"/>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Amortization of non-cash interest expense related to convertible notes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Others, net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(315)</w:t>
            </w:r>
          </w:p>
        </w:tc>
      </w:tr>
      <w:tr>
        <w:trPr>
          <w:trHeight w:val="20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 net of effects of acquisitions: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Accounts receivable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(68,121)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(37,684)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24,696</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current 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(5,133)</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Income taxes payable, net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6,505</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revenue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18,222</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Accrued employee costs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46,475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335</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expenses and other liabilities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(9,895)</w:t>
            </w:r>
          </w:p>
        </w:tc>
      </w:tr>
      <w:tr>
        <w:trPr>
          <w:trHeight w:val="186"/>
        </w:trPr>
        <w:tc>
          <w:tcPr>
            <w:tcW w:w="67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Operating lease liabilities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(23,227)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(26,589)</w:t>
            </w:r>
          </w:p>
        </w:tc>
      </w:tr>
      <w:tr>
        <w:trPr>
          <w:trHeight w:val="19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166,141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184,387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202,973</w:t>
            </w:r>
          </w:p>
        </w:tc>
      </w:tr>
      <w:tr>
        <w:trPr>
          <w:trHeight w:val="32"/>
        </w:trPr>
        <w:tc>
          <w:tcPr>
            <w:tcW w:w="6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Purchases of property and equipment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(44,836)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(37,248)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(42,224)</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sale of property and equipment</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Business acquisition (net of cash and cash equivalents acquired)</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(76,831)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Purchases of investments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(212,607)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(102,462)</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Proceeds from redemption of investments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164,503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94,520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126,154</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Investment in equity affiliate</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179"/>
        </w:trPr>
        <w:tc>
          <w:tcPr>
            <w:tcW w:w="67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used for investing activities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(96,546)</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(114,270)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(18,316)</w:t>
            </w:r>
          </w:p>
        </w:tc>
      </w:tr>
      <w:tr>
        <w:trPr>
          <w:trHeight w:val="193"/>
        </w:trPr>
        <w:tc>
          <w:tcPr>
            <w:tcW w:w="6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4"/>
        </w:trPr>
        <w:tc>
          <w:tcPr>
            <w:tcW w:w="67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Principal payments of finance lease liabilities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Proceeds from borrowings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110,000</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Repayments of borrowings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(329,031)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(120,867)</w:t>
            </w:r>
          </w:p>
        </w:tc>
      </w:tr>
      <w:tr>
        <w:trPr>
          <w:trHeight w:val="184"/>
        </w:trPr>
        <w:tc>
          <w:tcPr>
            <w:tcW w:w="6740" w:type="dxa"/>
            <w:vAlign w:val="bottom"/>
          </w:tcPr>
          <w:p>
            <w:pPr>
              <w:ind w:left="320"/>
              <w:spacing w:after="0"/>
              <w:rPr>
                <w:sz w:val="20"/>
                <w:szCs w:val="20"/>
                <w:color w:val="auto"/>
              </w:rPr>
            </w:pPr>
            <w:r>
              <w:rPr>
                <w:rFonts w:ascii="Arial" w:cs="Arial" w:eastAsia="Arial" w:hAnsi="Arial"/>
                <w:sz w:val="14"/>
                <w:szCs w:val="14"/>
                <w:color w:val="auto"/>
              </w:rPr>
              <w:t>Acquisition of treasury stock</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(72,642)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(118,357)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(79,949)</w:t>
            </w:r>
          </w:p>
        </w:tc>
      </w:tr>
      <w:tr>
        <w:trPr>
          <w:trHeight w:val="203"/>
        </w:trPr>
        <w:tc>
          <w:tcPr>
            <w:tcW w:w="6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exercise of stock options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r>
      <w:tr>
        <w:trPr>
          <w:trHeight w:val="186"/>
        </w:trPr>
        <w:tc>
          <w:tcPr>
            <w:tcW w:w="6740" w:type="dxa"/>
            <w:vAlign w:val="bottom"/>
          </w:tcPr>
          <w:p>
            <w:pPr>
              <w:ind w:left="320"/>
              <w:spacing w:after="0"/>
              <w:rPr>
                <w:sz w:val="20"/>
                <w:szCs w:val="20"/>
                <w:color w:val="auto"/>
              </w:rPr>
            </w:pPr>
            <w:r>
              <w:rPr>
                <w:rFonts w:ascii="Arial" w:cs="Arial" w:eastAsia="Arial" w:hAnsi="Arial"/>
                <w:sz w:val="14"/>
                <w:szCs w:val="14"/>
                <w:color w:val="auto"/>
              </w:rPr>
              <w:t>Proceeds from ESPP contribution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67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Net cash used for financing activities</w:t>
            </w:r>
          </w:p>
        </w:tc>
        <w:tc>
          <w:tcPr>
            <w:tcW w:w="86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(81,724)</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(146,879)</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(89,564)</w:t>
            </w:r>
          </w:p>
        </w:tc>
      </w:tr>
      <w:tr>
        <w:trPr>
          <w:trHeight w:val="179"/>
        </w:trPr>
        <w:tc>
          <w:tcPr>
            <w:tcW w:w="67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3,382</w:t>
            </w:r>
          </w:p>
        </w:tc>
      </w:tr>
      <w:tr>
        <w:trPr>
          <w:trHeight w:val="19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(decrease)/increase in cash, cash equivalents and restricted cash</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(81,709)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98,475</w:t>
            </w:r>
          </w:p>
        </w:tc>
      </w:tr>
      <w:tr>
        <w:trPr>
          <w:trHeight w:val="18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the beginning of the period</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143,810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225,519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127,044</w:t>
            </w:r>
          </w:p>
        </w:tc>
      </w:tr>
      <w:tr>
        <w:trPr>
          <w:trHeight w:val="21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the end of the period</w:t>
            </w:r>
          </w:p>
        </w:tc>
        <w:tc>
          <w:tcPr>
            <w:tcW w:w="86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125,621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143,810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225,519</w:t>
            </w:r>
          </w:p>
        </w:tc>
      </w:tr>
      <w:tr>
        <w:trPr>
          <w:trHeight w:val="22"/>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6740" w:type="dxa"/>
            <w:vAlign w:val="bottom"/>
          </w:tcPr>
          <w:p>
            <w:pPr>
              <w:ind w:left="20"/>
              <w:spacing w:after="0"/>
              <w:rPr>
                <w:sz w:val="20"/>
                <w:szCs w:val="20"/>
                <w:color w:val="auto"/>
              </w:rPr>
            </w:pPr>
            <w:r>
              <w:rPr>
                <w:rFonts w:ascii="Arial" w:cs="Arial" w:eastAsia="Arial" w:hAnsi="Arial"/>
                <w:sz w:val="15"/>
                <w:szCs w:val="15"/>
                <w:color w:val="auto"/>
              </w:rPr>
              <w:t>Cash paid during the period for:</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w:t>
            </w:r>
          </w:p>
        </w:tc>
        <w:tc>
          <w:tcPr>
            <w:tcW w:w="860" w:type="dxa"/>
            <w:vAlign w:val="bottom"/>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8,189</w:t>
            </w:r>
          </w:p>
        </w:tc>
        <w:tc>
          <w:tcPr>
            <w:tcW w:w="440" w:type="dxa"/>
            <w:vAlign w:val="bottom"/>
            <w:gridSpan w:val="2"/>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7,626</w:t>
            </w:r>
          </w:p>
        </w:tc>
      </w:tr>
      <w:tr>
        <w:trPr>
          <w:trHeight w:val="203"/>
        </w:trPr>
        <w:tc>
          <w:tcPr>
            <w:tcW w:w="6740" w:type="dxa"/>
            <w:vAlign w:val="bottom"/>
          </w:tcPr>
          <w:p>
            <w:pPr>
              <w:ind w:left="20"/>
              <w:spacing w:after="0"/>
              <w:rPr>
                <w:sz w:val="20"/>
                <w:szCs w:val="20"/>
                <w:color w:val="auto"/>
              </w:rPr>
            </w:pPr>
            <w:r>
              <w:rPr>
                <w:rFonts w:ascii="Arial" w:cs="Arial" w:eastAsia="Arial" w:hAnsi="Arial"/>
                <w:sz w:val="15"/>
                <w:szCs w:val="15"/>
                <w:color w:val="auto"/>
              </w:rPr>
              <w:t>Income taxes, net of refunds</w:t>
            </w:r>
          </w:p>
        </w:tc>
        <w:tc>
          <w:tcPr>
            <w:tcW w:w="860" w:type="dxa"/>
            <w:vAlign w:val="bottom"/>
          </w:tcPr>
          <w:p>
            <w:pPr>
              <w:jc w:val="right"/>
              <w:ind w:right="69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55,592</w:t>
            </w:r>
          </w:p>
        </w:tc>
        <w:tc>
          <w:tcPr>
            <w:tcW w:w="440" w:type="dxa"/>
            <w:vAlign w:val="bottom"/>
            <w:gridSpan w:val="2"/>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49,825</w:t>
            </w:r>
          </w:p>
        </w:tc>
        <w:tc>
          <w:tcPr>
            <w:tcW w:w="100" w:type="dxa"/>
            <w:vAlign w:val="bottom"/>
          </w:tcPr>
          <w:p>
            <w:pPr>
              <w:spacing w:after="0"/>
              <w:rPr>
                <w:sz w:val="17"/>
                <w:szCs w:val="17"/>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20,571</w:t>
            </w:r>
          </w:p>
        </w:tc>
      </w:tr>
      <w:tr>
        <w:trPr>
          <w:trHeight w:val="19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6740" w:type="dxa"/>
            <w:vAlign w:val="bottom"/>
          </w:tcPr>
          <w:p>
            <w:pPr>
              <w:ind w:left="20"/>
              <w:spacing w:after="0"/>
              <w:rPr>
                <w:sz w:val="20"/>
                <w:szCs w:val="20"/>
                <w:color w:val="auto"/>
              </w:rPr>
            </w:pPr>
            <w:r>
              <w:rPr>
                <w:rFonts w:ascii="Arial" w:cs="Arial" w:eastAsia="Arial" w:hAnsi="Arial"/>
                <w:sz w:val="15"/>
                <w:szCs w:val="15"/>
                <w:color w:val="auto"/>
              </w:rPr>
              <w:t>Settlement of portion of convertible notes through issuance of treasury stock</w:t>
            </w:r>
          </w:p>
        </w:tc>
        <w:tc>
          <w:tcPr>
            <w:tcW w:w="860" w:type="dxa"/>
            <w:vAlign w:val="bottom"/>
          </w:tcPr>
          <w:p>
            <w:pPr>
              <w:jc w:val="right"/>
              <w:ind w:right="69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36,742</w:t>
            </w:r>
          </w:p>
        </w:tc>
        <w:tc>
          <w:tcPr>
            <w:tcW w:w="100" w:type="dxa"/>
            <w:vAlign w:val="bottom"/>
          </w:tcPr>
          <w:p>
            <w:pPr>
              <w:spacing w:after="0"/>
              <w:rPr>
                <w:sz w:val="17"/>
                <w:szCs w:val="17"/>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 acquired under finance lease</w:t>
            </w:r>
          </w:p>
        </w:tc>
        <w:tc>
          <w:tcPr>
            <w:tcW w:w="860" w:type="dxa"/>
            <w:vAlign w:val="bottom"/>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440" w:type="dxa"/>
            <w:vAlign w:val="bottom"/>
            <w:gridSpan w:val="2"/>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bl>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114"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159" w:lineRule="exact"/>
        <w:rPr>
          <w:sz w:val="20"/>
          <w:szCs w:val="20"/>
          <w:color w:val="auto"/>
        </w:rPr>
      </w:pPr>
    </w:p>
    <w:p>
      <w:pPr>
        <w:jc w:val="both"/>
        <w:ind w:firstLine="387"/>
        <w:spacing w:after="0" w:line="239" w:lineRule="auto"/>
        <w:rPr>
          <w:sz w:val="20"/>
          <w:szCs w:val="20"/>
          <w:color w:val="auto"/>
        </w:rPr>
      </w:pPr>
      <w:r>
        <w:rPr>
          <w:rFonts w:ascii="Arial" w:cs="Arial" w:eastAsia="Arial" w:hAnsi="Arial"/>
          <w:sz w:val="17"/>
          <w:szCs w:val="17"/>
          <w:color w:val="auto"/>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that partners with clients to improve business outcomes and unlock growth. By bringing together deep domain expertise with robust data, powerful analytics, cloud, artificial intelligence and machine learning, the Company creates agile, scalable solutions and executes complex operations for the world’s leading corporations in industries including insurance, healthcare, banking and financial services, media, and retail, among others. The Company’s data-led value creation framework enables better and faster decision making, leveraging its end-to-end data and analytics capabilities to drive improved business outcomes, and re-designing of operating models to integrate advanced technology into operational workflows. The Company embeds digital operations and solutions into clients’ businesses and introduces its data led approach to transform operations.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clients are located principally in the United States of America (“U.S.”) and the United Kingdom (“U.K.”).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Basis of Preparation and Principles of Consolidation</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consolidated financial statements have been prepared in conformity with United States generally accepted accounting principles (“U.S. GAAP”). The accompanying financial statements have been prepared on a consolidated basis and reflect the financial statements of ExlService Holdings, Inc. and all of its subsidiaries and includes the Company's share in the results of its associates.</w:t>
      </w:r>
    </w:p>
    <w:p>
      <w:pPr>
        <w:spacing w:after="0" w:line="12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1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w:t>
      </w:r>
    </w:p>
    <w:p>
      <w:pPr>
        <w:spacing w:after="0" w:line="12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Accounting policies of the respective individual subsidiaries and equity affiliates are aligned wherever necessary, so as to ensure consistency with the accounting policies that are adopted by the Company under U.S. GAAP.</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purposes of comparability, certain prior period amounts have been reclassified to conform to the current year presentation in accordance with U.S.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GAAP.</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165" w:lineRule="exact"/>
        <w:rPr>
          <w:sz w:val="20"/>
          <w:szCs w:val="20"/>
          <w:color w:val="auto"/>
        </w:rPr>
      </w:pPr>
    </w:p>
    <w:p>
      <w:pPr>
        <w:jc w:val="both"/>
        <w:ind w:firstLine="387"/>
        <w:spacing w:after="0" w:line="277"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Although these estimates are based on management’s best assessment of the current business environment, actual results may be different from those estimates. The significant estimates and assumptions that affect the consolidated financial statements include, but are not limited to, estimates of the fair value of the identifiable intangible assets and contingent consideration, purchase price allocation, including revenue projections and the discount rate applied within the discounted cash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flow model for business acquisitions, credit risk of customers,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stock-based awards, and debt instruments, assumptions used to calculate stock-based compensation expense, assumptions used to determine the incremental borrowing rate to calculate lease liabilities and right-of-use (“ROU”) assets, lease term to calculate amortization of ROU, depreciation and amortization periods, and recoverability of long-lived assets, goodwill and intangibles.</w:t>
      </w:r>
    </w:p>
    <w:p>
      <w:pPr>
        <w:spacing w:after="0" w:line="133" w:lineRule="exact"/>
        <w:rPr>
          <w:sz w:val="20"/>
          <w:szCs w:val="20"/>
          <w:color w:val="auto"/>
        </w:rPr>
      </w:pPr>
    </w:p>
    <w:p>
      <w:pPr>
        <w:ind w:left="380" w:hanging="377"/>
        <w:spacing w:after="0"/>
        <w:tabs>
          <w:tab w:leader="none" w:pos="380" w:val="left"/>
        </w:tabs>
        <w:numPr>
          <w:ilvl w:val="0"/>
          <w:numId w:val="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Foreign Currency Translation</w:t>
      </w:r>
    </w:p>
    <w:p>
      <w:pPr>
        <w:spacing w:after="0" w:line="15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functional currency of each entity in the Company is the currency of the primary economic environment in which it operates. Transactions in foreign currencies are initially recorded into functional currency at the rates of exchange prevailing on the date of the transaction. Monetary assets and liabilities denominated in foreign currencies are remeasured into functional currency at the rates of exchange prevailing at the balance sheet date. Non-monetary assets and liabilities are remeasured to the functional currency at exchange rates that prevailed on the date of inception of the transaction. All foreign exchange gains and losses arising on re-measurement are recorded in the Company's consolidated statements of income.</w:t>
      </w:r>
    </w:p>
    <w:p>
      <w:pPr>
        <w:spacing w:after="0" w:line="13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The assets and liabilities of the subsidiaries for which the functional currency is other than the U.S. dollar are translated into U.S. dollars, the reporting currency, at the rate of exchange prevailing on the balance sheet date. Revenues and expenses are translated into U.S. dollars at the exchange rates prevailing on the last business day of each month, which approximates the average monthly exchange rate. Share capital and other equity items are translated at exchange rates that prevailed on the date of inception of the transaction. Resulting translation adjustments are included in “Accumulated other comprehensive income/(loss)” in the consolidated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Revenue Recognition</w:t>
      </w:r>
    </w:p>
    <w:p>
      <w:pPr>
        <w:spacing w:after="0" w:line="165"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color w:val="auto"/>
        </w:rPr>
        <w:t>Revenue is recognized when services are provided to the Company's customers, in an amount that reflects the consideration which the Company expect to be entitled to in exchange for the services provided. The Company recognizes revenue when it satisfies a performance obligation by providing services to a customer.</w:t>
      </w:r>
    </w:p>
    <w:p>
      <w:pPr>
        <w:spacing w:after="0" w:line="66"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Revenue is measured based on consideration specified in a contract with a customer and excludes value added tax, business tax, any applicable discounts and amounts collected on behalf of third parties. Reimbursements of out-of-pocket expenses are included as a part of revenue.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Nature of Services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derives its revenues from digital operations and solutions and analytics services. The Company provides digital operations and solutions and analytics services helping businesses enhance revenue growth and improve profitability.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Type of Contracts and Basis of Recognition</w:t>
      </w:r>
    </w:p>
    <w:p>
      <w:pPr>
        <w:spacing w:after="0" w:line="165" w:lineRule="exact"/>
        <w:rPr>
          <w:sz w:val="20"/>
          <w:szCs w:val="20"/>
          <w:color w:val="auto"/>
        </w:rPr>
      </w:pPr>
    </w:p>
    <w:p>
      <w:pPr>
        <w:jc w:val="both"/>
        <w:ind w:left="700" w:hanging="387"/>
        <w:spacing w:after="0" w:line="262" w:lineRule="auto"/>
        <w:tabs>
          <w:tab w:leader="none" w:pos="688"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26" w:lineRule="exact"/>
        <w:rPr>
          <w:rFonts w:ascii="Arial" w:cs="Arial" w:eastAsia="Arial" w:hAnsi="Arial"/>
          <w:sz w:val="17"/>
          <w:szCs w:val="17"/>
          <w:color w:val="auto"/>
        </w:rPr>
      </w:pPr>
    </w:p>
    <w:p>
      <w:pPr>
        <w:jc w:val="both"/>
        <w:ind w:left="700"/>
        <w:spacing w:after="0" w:line="262" w:lineRule="auto"/>
        <w:rPr>
          <w:rFonts w:ascii="Arial" w:cs="Arial" w:eastAsia="Arial" w:hAnsi="Arial"/>
          <w:sz w:val="17"/>
          <w:szCs w:val="17"/>
          <w:color w:val="auto"/>
        </w:rPr>
      </w:pPr>
      <w:r>
        <w:rPr>
          <w:rFonts w:ascii="Arial" w:cs="Arial" w:eastAsia="Arial" w:hAnsi="Arial"/>
          <w:sz w:val="17"/>
          <w:szCs w:val="17"/>
          <w:color w:val="auto"/>
        </w:rPr>
        <w:t>b) Revenues from arrangements involving subcontracting, either in part or whole of the assigned work, are recognized after the Company’s assessment of “Principal versus agent considerations.” The Company evaluates whether it is in control of the services before the same are transferred to the customer to assess whether it is principal or agent in the arrangement. Revenues are recognized on a gross basis if the Company is in the capacity of principal and on a net basis if it falls in the capacity of an agent.</w:t>
      </w:r>
    </w:p>
    <w:p>
      <w:pPr>
        <w:spacing w:after="0" w:line="126" w:lineRule="exact"/>
        <w:rPr>
          <w:rFonts w:ascii="Arial" w:cs="Arial" w:eastAsia="Arial" w:hAnsi="Arial"/>
          <w:sz w:val="17"/>
          <w:szCs w:val="17"/>
          <w:color w:val="auto"/>
        </w:rPr>
      </w:pPr>
    </w:p>
    <w:p>
      <w:pPr>
        <w:ind w:left="700" w:hanging="387"/>
        <w:spacing w:after="0" w:line="279" w:lineRule="auto"/>
        <w:tabs>
          <w:tab w:leader="none" w:pos="697"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Revenues for the Company’s fixed-price contracts, which include business support services provided on a fixed price basis or implementation of applications or solutions, are recognized considering costs incurred to date relative to total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700"/>
        <w:spacing w:after="0" w:line="299" w:lineRule="auto"/>
        <w:rPr>
          <w:sz w:val="20"/>
          <w:szCs w:val="20"/>
          <w:color w:val="auto"/>
        </w:rPr>
      </w:pPr>
      <w:r>
        <w:rPr>
          <w:rFonts w:ascii="Arial" w:cs="Arial" w:eastAsia="Arial" w:hAnsi="Arial"/>
          <w:sz w:val="15"/>
          <w:szCs w:val="15"/>
          <w:color w:val="auto"/>
        </w:rPr>
        <w:t>estimated costs at completion to measure progress toward satisfying the Company’s performance obligations. Incurred cost represents work performed, which corresponds with, and thereby reasonably reflects transfer of control to the client. The use of this method requires significant judgment to estimate the stage of completion and/or cost required to complete the contracted scope of work, including assumptions and estimates relative to the length of time to complete the project and the nature and complexity of the work to be performed and resources engaged. The Company regularly monitors these estimates throughout the execution of the project and records changes in the period in which a change in an estimate is determined. If a change in an estimate results in a projected loss on a project, such loss is recognized in the period in which it is first identified.</w:t>
      </w:r>
    </w:p>
    <w:p>
      <w:pPr>
        <w:spacing w:after="0" w:line="103" w:lineRule="exact"/>
        <w:rPr>
          <w:sz w:val="20"/>
          <w:szCs w:val="20"/>
          <w:color w:val="auto"/>
        </w:rPr>
      </w:pPr>
    </w:p>
    <w:p>
      <w:pPr>
        <w:jc w:val="both"/>
        <w:ind w:left="700" w:hanging="387"/>
        <w:spacing w:after="0" w:line="290" w:lineRule="auto"/>
        <w:tabs>
          <w:tab w:leader="none" w:pos="693"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Revenue from the Company’s software and related services contracts, which are not significant, are primarily related to annual maintenance renewals or incremental license fees for additional users. Maintenance revenues are generally recognized on a straight-line basis over the annual contract term. Fees for incremental license without any associated services are recognized upon delivery of the related incremental license.</w:t>
      </w:r>
    </w:p>
    <w:p>
      <w:pPr>
        <w:spacing w:after="0" w:line="106" w:lineRule="exact"/>
        <w:rPr>
          <w:rFonts w:ascii="Arial" w:cs="Arial" w:eastAsia="Arial" w:hAnsi="Arial"/>
          <w:sz w:val="16"/>
          <w:szCs w:val="16"/>
          <w:color w:val="auto"/>
        </w:rPr>
      </w:pPr>
    </w:p>
    <w:p>
      <w:pPr>
        <w:jc w:val="both"/>
        <w:ind w:left="700"/>
        <w:spacing w:after="0" w:line="290" w:lineRule="auto"/>
        <w:rPr>
          <w:rFonts w:ascii="Arial" w:cs="Arial" w:eastAsia="Arial" w:hAnsi="Arial"/>
          <w:sz w:val="16"/>
          <w:szCs w:val="16"/>
          <w:color w:val="auto"/>
        </w:rPr>
      </w:pPr>
      <w:r>
        <w:rPr>
          <w:rFonts w:ascii="Arial" w:cs="Arial" w:eastAsia="Arial" w:hAnsi="Arial"/>
          <w:sz w:val="16"/>
          <w:szCs w:val="16"/>
          <w:color w:val="auto"/>
        </w:rPr>
        <w:t>To a lesser extent, certain contracts may include offerings such as sale of licenses, which may be perpetual or subscription-based. The Company recognizes revenue from distinct perpetual licenses upfront at a point in time when the software is made available to the client, whereas for a combined software license and services performance obligation, revenue is recognized over the period that the services are performed.</w:t>
      </w:r>
    </w:p>
    <w:p>
      <w:pPr>
        <w:spacing w:after="0" w:line="106" w:lineRule="exact"/>
        <w:rPr>
          <w:rFonts w:ascii="Arial" w:cs="Arial" w:eastAsia="Arial" w:hAnsi="Arial"/>
          <w:sz w:val="16"/>
          <w:szCs w:val="16"/>
          <w:color w:val="auto"/>
        </w:rPr>
      </w:pPr>
    </w:p>
    <w:p>
      <w:pPr>
        <w:ind w:left="700"/>
        <w:spacing w:after="0" w:line="279" w:lineRule="auto"/>
        <w:rPr>
          <w:rFonts w:ascii="Arial" w:cs="Arial" w:eastAsia="Arial" w:hAnsi="Arial"/>
          <w:sz w:val="16"/>
          <w:szCs w:val="16"/>
          <w:color w:val="auto"/>
        </w:rPr>
      </w:pPr>
      <w:r>
        <w:rPr>
          <w:rFonts w:ascii="Arial" w:cs="Arial" w:eastAsia="Arial" w:hAnsi="Arial"/>
          <w:sz w:val="17"/>
          <w:szCs w:val="17"/>
          <w:color w:val="auto"/>
        </w:rPr>
        <w:t>Revenue from distinct subscription based licenses is recognized over the period of service performed. Revenue from any associated maintenance or ongoing support services is recognized over the term of the contract.</w:t>
      </w:r>
    </w:p>
    <w:p>
      <w:pPr>
        <w:spacing w:after="0" w:line="99" w:lineRule="exact"/>
        <w:rPr>
          <w:rFonts w:ascii="Arial" w:cs="Arial" w:eastAsia="Arial" w:hAnsi="Arial"/>
          <w:sz w:val="16"/>
          <w:szCs w:val="16"/>
          <w:color w:val="auto"/>
        </w:rPr>
      </w:pPr>
    </w:p>
    <w:p>
      <w:pPr>
        <w:jc w:val="both"/>
        <w:ind w:left="700" w:hanging="387"/>
        <w:spacing w:after="0" w:line="260" w:lineRule="auto"/>
        <w:tabs>
          <w:tab w:leader="none" w:pos="687"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 xml:space="preserve">Revenues from reimbursement optimization services having contingent fee arrangements are recognized by the Company at the point in time when a performance obligation is satisfied, which is when it identifies an overpayment claim. In such contracts, the Company’s consideration is contingent upon the actual collections made by its customers and net of any subsequent retraction claims. Based on guidance on “variable consideration” in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Topic 606”), the Company uses its historical experience and projections to determine the expected recoveries from its customers and recognizes revenue based upon such expected recoveries. Any adjustment required due to change in estimates are recorded in the period in which such change is identified.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Modification to Contracts</w:t>
      </w:r>
    </w:p>
    <w:p>
      <w:pPr>
        <w:spacing w:after="0" w:line="16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Company’s contracts may be modified to add, remove or change existing performance obligations. The accounting for modifications to contracts involves assessing whether the services added to an existing contract are distinct and whether the pricing is at a standalone selling price. Services added that are distinct and at standalone selling price are accounted on a prospective basis either as a separate contract, or as a termination of existing contract and creation of a new contract.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Arrangements with Multiple Performance Obligations</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recognized based upon the transaction price allocated to each performance obligation based on the relative standalone selling price.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Allocation of Transaction Price to Performance Obligations</w:t>
      </w:r>
    </w:p>
    <w:p>
      <w:pPr>
        <w:spacing w:after="0" w:line="16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Consideration</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Variability in the transaction price arises primarily due to service level agreements and volume discounts.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 Company considers its experience with similar transactions and expectations regarding the contract in estimating the amount of variable consideration that should be recognized during a period.</w:t>
      </w:r>
    </w:p>
    <w:p>
      <w:pPr>
        <w:spacing w:after="0" w:line="11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 Company believes that the expected value method is most appropriate for determining the variable consideration since the Company has large number of contracts with similar nature of transactions/services.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Unbilled Receivables</w:t>
      </w:r>
    </w:p>
    <w:p>
      <w:pPr>
        <w:spacing w:after="0" w:line="165" w:lineRule="exact"/>
        <w:rPr>
          <w:sz w:val="20"/>
          <w:szCs w:val="20"/>
          <w:color w:val="auto"/>
        </w:rPr>
      </w:pPr>
    </w:p>
    <w:p>
      <w:pPr>
        <w:jc w:val="both"/>
        <w:ind w:firstLine="387"/>
        <w:spacing w:after="0" w:line="277" w:lineRule="auto"/>
        <w:rPr>
          <w:sz w:val="20"/>
          <w:szCs w:val="20"/>
          <w:color w:val="auto"/>
        </w:rPr>
      </w:pPr>
      <w:r>
        <w:rPr>
          <w:rFonts w:ascii="Arial" w:cs="Arial" w:eastAsia="Arial" w:hAnsi="Arial"/>
          <w:sz w:val="16"/>
          <w:szCs w:val="16"/>
          <w:color w:val="auto"/>
        </w:rPr>
        <w:t>Unbilled receivables represents revenues recognized for services rendered between the last billing date and the balance sheet date. Unbilled receivables also include revenues recognized from reimbursement optimization services where the Company identifies an overpayment claim. In such contracts, Company’s consideration is contingent upon and collectable only when the actual collections are made by its customers. Based on guidance on “variable consideration” in ASC Topic 606, Company use its historical experience and projections to determine the expected recoveries from its customers and recognize revenue and receivables based upon such expected recoveries. Accordingly, the amounts for which services have been performed and for which invoices have not been issued to customers on the balance sheet date, (i.e. unbilled receivables) are presented under accounts receivable, net.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 and Contract Fulfillment Costs</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Company has contract liabilities (deferred revenue) consisting of advance billings and billing in excess of revenues recognized. Deferred revenue also includes the amount for which services have been rendered but other conditions of revenue recognition are not met, for example where the Company does not have an enforceable contract.</w:t>
      </w:r>
    </w:p>
    <w:p>
      <w:pPr>
        <w:spacing w:after="0" w:line="124"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Further, the Company also defers revenues attributable to certain process transition activities, with respect to its customers where such activities do not represent separate performance obligations. Revenues related to such transition activities are classified under “Deferred revenue” and “Other non-current liabilities” in the Company’s consolidated balance sheets and are recognized ratably over the period during which the related services are performed.</w:t>
      </w:r>
    </w:p>
    <w:p>
      <w:pPr>
        <w:spacing w:after="0" w:line="10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Costs related to such transition activities are contract fulfillment costs, and thereby classified under “Other current assets” and “Other assets” in the consolidated balance sheets, and are recognized over the expected duration of the relationship with customers, under “Cost of revenues” in the consolidated statements of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Acquisition Costs</w:t>
      </w:r>
    </w:p>
    <w:p>
      <w:pPr>
        <w:spacing w:after="0" w:line="20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Direct and incremental costs incurred for acquiring contracts, such as sales commissions are contract acquisition costs and thereby classified under “Other current assets” and “Other assets” in the consolidated balance sheets. Such costs are amortized over the expected duration of the relationship with customers and recorded under Selling and marketing expenses in the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Upfront Payments Made to Customers</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Upfront payments, in nature of deal signing discount or deal signing bonuses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Out-of-Pocket Expenses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Reimbursements of out-of-pocket expenses received from clients are included as part of revenues.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 terms</w:t>
      </w:r>
    </w:p>
    <w:p>
      <w:pPr>
        <w:spacing w:after="0" w:line="165"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All contracts entered into by the Company specify the payment terms and are defined for each contract separately. Usual payment terms range between 30-60 days. The Company does not have any extended payment terms clauses in existing contracts.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The Company does not disclose the value of remaining performance obligations as a result of applying the practical expedient provided in ASC Topic 606, for contracts that meet any of the following criteria:</w:t>
      </w:r>
    </w:p>
    <w:p>
      <w:pPr>
        <w:spacing w:after="0" w:line="113" w:lineRule="exact"/>
        <w:rPr>
          <w:sz w:val="20"/>
          <w:szCs w:val="20"/>
          <w:color w:val="auto"/>
        </w:rPr>
      </w:pPr>
    </w:p>
    <w:p>
      <w:pPr>
        <w:ind w:left="600" w:hanging="287"/>
        <w:spacing w:after="0"/>
        <w:tabs>
          <w:tab w:leader="none" w:pos="6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Contracts with an original expected length of one year or less as determined under ASC Topic 606,</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Contracts for which Company recognize revenue based on the right to invoice for service performed.</w:t>
      </w:r>
    </w:p>
    <w:p>
      <w:pPr>
        <w:spacing w:after="0" w:line="165" w:lineRule="exact"/>
        <w:rPr>
          <w:rFonts w:ascii="Arial" w:cs="Arial" w:eastAsia="Arial" w:hAnsi="Arial"/>
          <w:sz w:val="17"/>
          <w:szCs w:val="17"/>
          <w:color w:val="auto"/>
        </w:rPr>
      </w:pPr>
    </w:p>
    <w:p>
      <w:pPr>
        <w:ind w:left="300" w:hanging="297"/>
        <w:spacing w:after="0"/>
        <w:tabs>
          <w:tab w:leader="none" w:pos="300"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Cash and Cash Equivalents and Restricted Cash</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Company considers all highly liquid investments purchased with an original maturity of ninety days or less to be cash equivalents. Pursuant to the Company’s investment policy, surplus funds are invested in highly-rated debt mutual funds, money market funds and time deposits to reduce its exposure to market risk with regard to these funds.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Restricted cash includes any cash and cash equivalents that are legally restricted as to withdrawal or usage.</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 xml:space="preserve">The Company invests for a term of up to three months in money market funds, which invest in instruments of various maturities in the United States. These investments are accounted for in accordance with the fair value option under ASC Topic 825, </w:t>
      </w:r>
      <w:r>
        <w:rPr>
          <w:rFonts w:ascii="Arial" w:cs="Arial" w:eastAsia="Arial" w:hAnsi="Arial"/>
          <w:sz w:val="15"/>
          <w:szCs w:val="15"/>
          <w:i w:val="1"/>
          <w:iCs w:val="1"/>
          <w:color w:val="auto"/>
        </w:rPr>
        <w:t>Financial Instruments</w:t>
      </w:r>
      <w:r>
        <w:rPr>
          <w:rFonts w:ascii="Arial" w:cs="Arial" w:eastAsia="Arial" w:hAnsi="Arial"/>
          <w:sz w:val="15"/>
          <w:szCs w:val="15"/>
          <w:color w:val="auto"/>
        </w:rPr>
        <w:t>. The fair value is represented by original cost on the acquisition date and the net asset value (“NAV”) as quoted, at each reporting period and any changes in fair value are included in other income/(loss), net. Gain or loss on the disposal of these investments is calculated using the weighted average cost of the investments sold and is included in other income/(loss), net.</w:t>
      </w:r>
    </w:p>
    <w:p>
      <w:pPr>
        <w:spacing w:after="0" w:line="9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For purposes of the statements of cash flows, the Company includes in its cash and cash-equivalent balances those amounts that have been classified as restricted cash and restricted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  Short-Term and Long-Term Investments</w:t>
      </w:r>
    </w:p>
    <w:p>
      <w:pPr>
        <w:spacing w:after="0" w:line="165"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The Company’s short-term investments consist of investments in mutual funds and those term deposits with more than three months of original maturity and less than twelve months of remaining maturity as of the reporting date, while long-term investments consist of term deposits with more than twelve months of remaining maturity as of the reporting date and investments in equity affiliate.</w:t>
      </w:r>
    </w:p>
    <w:p>
      <w:pPr>
        <w:spacing w:after="0" w:line="201"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The Company’s investments in term deposits with financial institutions are measured and recognized at amortized cost. Interest earned on such investments is included in other income/(loss), net.</w:t>
      </w:r>
    </w:p>
    <w:p>
      <w:pPr>
        <w:spacing w:after="0" w:line="190"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 xml:space="preserve">The Company’s mutual fund investments are in debt funds invested in India. These investments are accounted for in accordance with the fair value option under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The fair value is represented by original cost on the acquisition date and the net asset value (“NAV”) as quoted, at each reporting period and any changes in fair value are included in other income/(loss), net. Gain or loss on the disposal of these investments is calculated using the weighted average cost of the investments sold and is included in other income/(loss), net.</w:t>
      </w:r>
    </w:p>
    <w:p>
      <w:pPr>
        <w:spacing w:after="0" w:line="204"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7"/>
          <w:szCs w:val="17"/>
          <w:color w:val="auto"/>
        </w:rPr>
        <w:t>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 The Company periodically reviews the carrying value of its investment to determine if there has been any other than temporary decline in carrying value. The investment balance for an investee is increased or decreased for cash contribution and distributions to or from, respectively</w:t>
      </w:r>
      <w:r>
        <w:rPr>
          <w:rFonts w:ascii="Arial" w:cs="Arial" w:eastAsia="Arial" w:hAnsi="Arial"/>
          <w:sz w:val="17"/>
          <w:szCs w:val="17"/>
          <w:b w:val="1"/>
          <w:bCs w:val="1"/>
          <w:i w:val="1"/>
          <w:iCs w:val="1"/>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 Accounts Receivable and Allowance for Expected Credit Losses</w:t>
      </w:r>
    </w:p>
    <w:p>
      <w:pPr>
        <w:spacing w:after="0" w:line="165" w:lineRule="exact"/>
        <w:rPr>
          <w:sz w:val="20"/>
          <w:szCs w:val="20"/>
          <w:color w:val="auto"/>
        </w:rPr>
      </w:pPr>
    </w:p>
    <w:p>
      <w:pPr>
        <w:jc w:val="both"/>
        <w:ind w:firstLine="425"/>
        <w:spacing w:after="0" w:line="307" w:lineRule="auto"/>
        <w:rPr>
          <w:sz w:val="20"/>
          <w:szCs w:val="20"/>
          <w:color w:val="auto"/>
        </w:rPr>
      </w:pPr>
      <w:r>
        <w:rPr>
          <w:rFonts w:ascii="Arial" w:cs="Arial" w:eastAsia="Arial" w:hAnsi="Arial"/>
          <w:sz w:val="15"/>
          <w:szCs w:val="15"/>
          <w:color w:val="auto"/>
        </w:rPr>
        <w:t>Accounts receivable are recorded net of allowances for expected credit losses. 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future. Accounts receivable balances are written-off against the allowance for expected credit losses after all means of collection have been exhausted and the potential for recovery is considered remote.</w:t>
      </w:r>
    </w:p>
    <w:p>
      <w:pPr>
        <w:spacing w:after="0" w:line="190"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Accounts receivable include unbilled accounts receivable which represent revenues on contracts to be billed, in subsequent periods, as per the terms of the related contracts.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 Property and Equipment</w:t>
      </w:r>
    </w:p>
    <w:p>
      <w:pPr>
        <w:spacing w:after="0" w:line="165"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Property and equipment are stated at cost, which is generally comprised of the purchase price for such property or equipment, non-refundable duties and taxes, but excludes any discounts and/or rebates, less accumulated depreciation and impairment. Equipment held under finance leases are capitalized at the commencement of the lease at an amount equal to the lease liability, adjusted for any lease prepayments, initial direct costs and lease incentives, which usually approximate the fair value of the underlying asset. Expenditures for replacements and improvements are capitalized, if they enhance the production capacity and future benefits whereas the costs of maintenance and repairs are charged to earnings as incurred. Advances paid towards acquisition of property and equipment and the cost of property and equipment not yet placed in service before the end of the reporting period, net of impairment, if any, are classified as capital work in progress.</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is computed using the straight-line method over the estimated useful lives of the assets.</w:t>
      </w:r>
    </w:p>
    <w:p>
      <w:pPr>
        <w:spacing w:after="0" w:line="165"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Property and equipment which are abandoned and disposed other than by sale, are assessed for revision of their useful life, thereby revising the future depreciation to reflect the use of property and equipment over the remaining shortened life.</w:t>
      </w:r>
    </w:p>
    <w:p>
      <w:pPr>
        <w:spacing w:after="0" w:line="100" w:lineRule="exact"/>
        <w:rPr>
          <w:sz w:val="20"/>
          <w:szCs w:val="20"/>
          <w:color w:val="auto"/>
        </w:rPr>
      </w:pPr>
    </w:p>
    <w:p>
      <w:pPr>
        <w:jc w:val="both"/>
        <w:ind w:firstLine="387"/>
        <w:spacing w:after="0" w:line="295" w:lineRule="auto"/>
        <w:rPr>
          <w:sz w:val="20"/>
          <w:szCs w:val="20"/>
          <w:color w:val="auto"/>
        </w:rPr>
      </w:pPr>
      <w:r>
        <w:rPr>
          <w:rFonts w:ascii="Arial" w:cs="Arial" w:eastAsia="Arial" w:hAnsi="Arial"/>
          <w:sz w:val="16"/>
          <w:szCs w:val="16"/>
          <w:color w:val="auto"/>
        </w:rPr>
        <w:t>The Company reviews property and equipment for impairment whenever events or changes in circumstances indicate that the related carrying amounts may not be recoverable. The estimated useful life have been disclosed in Note 9 - Property and Equipment, net to the consolidated financial statements.</w:t>
      </w:r>
    </w:p>
    <w:p>
      <w:pPr>
        <w:spacing w:after="0" w:line="24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i w:val="1"/>
          <w:iCs w:val="1"/>
          <w:color w:val="auto"/>
        </w:rPr>
        <w:t>(i)</w:t>
      </w:r>
      <w:r>
        <w:rPr>
          <w:sz w:val="20"/>
          <w:szCs w:val="20"/>
          <w:color w:val="auto"/>
        </w:rPr>
        <w:tab/>
      </w:r>
      <w:r>
        <w:rPr>
          <w:rFonts w:ascii="Arial" w:cs="Arial" w:eastAsia="Arial" w:hAnsi="Arial"/>
          <w:sz w:val="14"/>
          <w:szCs w:val="14"/>
          <w:b w:val="1"/>
          <w:bCs w:val="1"/>
          <w:i w:val="1"/>
          <w:iCs w:val="1"/>
          <w:color w:val="auto"/>
        </w:rPr>
        <w:t>Software Development Costs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Company capitalizes certain costs related to the development or enhancements to existing software products to be sold, leased or otherwise marketed and</w:t>
      </w:r>
    </w:p>
    <w:p>
      <w:pPr>
        <w:spacing w:after="0" w:line="45" w:lineRule="exact"/>
        <w:rPr>
          <w:sz w:val="20"/>
          <w:szCs w:val="20"/>
          <w:color w:val="auto"/>
        </w:rPr>
      </w:pPr>
    </w:p>
    <w:p>
      <w:pPr>
        <w:jc w:val="both"/>
        <w:ind w:firstLine="3"/>
        <w:spacing w:after="0" w:line="255" w:lineRule="auto"/>
        <w:tabs>
          <w:tab w:leader="none" w:pos="121" w:val="left"/>
        </w:tabs>
        <w:numPr>
          <w:ilvl w:val="0"/>
          <w:numId w:val="30"/>
        </w:numPr>
        <w:rPr>
          <w:rFonts w:ascii="Arial" w:cs="Arial" w:eastAsia="Arial" w:hAnsi="Arial"/>
          <w:sz w:val="17"/>
          <w:szCs w:val="17"/>
          <w:color w:val="auto"/>
        </w:rPr>
      </w:pPr>
      <w:r>
        <w:rPr>
          <w:rFonts w:ascii="Arial" w:cs="Arial" w:eastAsia="Arial" w:hAnsi="Arial"/>
          <w:sz w:val="17"/>
          <w:szCs w:val="17"/>
          <w:color w:val="auto"/>
        </w:rPr>
        <w:t>or used for internal-use. The Company begins to capitalize costs to develop or enhance software when planning stage efforts are successfully completed, management has authorized and committed project funding, and it is probable that the project will be completed and the software will be used as intended. Costs incurred prior to meeting these criteria, together with costs incurred for training and maintenance, are expensed as incurred and recorded within “General and administrative expenses” in the Company’s consolidated statements of income. The Company exercises judgment in determining the point at which various projects may be capitalized, in assessing the ongoing value of the capitalized costs, and in determining the estimated useful lives over which the costs are amortized.</w:t>
      </w:r>
    </w:p>
    <w:p>
      <w:pPr>
        <w:spacing w:after="0" w:line="122" w:lineRule="exact"/>
        <w:rPr>
          <w:sz w:val="20"/>
          <w:szCs w:val="20"/>
          <w:color w:val="auto"/>
        </w:rPr>
      </w:pPr>
    </w:p>
    <w:p>
      <w:pPr>
        <w:jc w:val="both"/>
        <w:ind w:firstLine="387"/>
        <w:spacing w:after="0" w:line="263" w:lineRule="auto"/>
        <w:rPr>
          <w:sz w:val="20"/>
          <w:szCs w:val="20"/>
          <w:color w:val="auto"/>
        </w:rPr>
      </w:pPr>
      <w:r>
        <w:rPr>
          <w:rFonts w:ascii="Arial" w:cs="Arial" w:eastAsia="Arial" w:hAnsi="Arial"/>
          <w:sz w:val="16"/>
          <w:szCs w:val="16"/>
          <w:color w:val="auto"/>
        </w:rPr>
        <w:t>Implementation costs in cloud computing arrangements (“CCAs”), such as software as a service and other hosting arrangements are evaluated to ascertain if the arrangement includes a license to internal-use software. If a CCA does not provide a contractual right to the Company to take possession of the software at any time during the hosting period without significant penalty, and it is not feasible to either run the software on the Company’s own hardware, then implementation costs incurred are accounted for as a service contract. In case of the existence of such a contractual right to take possession of the software and the Company is able to run the software on its own hardware, then such implementation costs are capitalized as software development costs.</w:t>
      </w:r>
    </w:p>
    <w:p>
      <w:pPr>
        <w:spacing w:after="0" w:line="191"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6"/>
          <w:szCs w:val="16"/>
          <w:color w:val="auto"/>
        </w:rPr>
        <w:t>Annual amortization of internally developed software products meant for sale, lease or otherwise marketing is the greater of the amount computed using the ratio that current gross revenues for a product bear to the total of current and anticipated future gross revenues for that product or the straight-line method over the remaining estimated economic life of the software product, generally estimated to be up to 5 years from the date the product became available for use. Annual amortization of internally developed software products meant for internal-use is based on the straight-line method over the estimated useful lives of the internally developed software products. The Company amortizes capitalized implementation costs in a CCA over the life of the service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i w:val="1"/>
          <w:iCs w:val="1"/>
          <w:color w:val="auto"/>
        </w:rPr>
        <w:t>(j)</w:t>
      </w:r>
      <w:r>
        <w:rPr>
          <w:sz w:val="20"/>
          <w:szCs w:val="20"/>
          <w:color w:val="auto"/>
        </w:rPr>
        <w:tab/>
      </w:r>
      <w:r>
        <w:rPr>
          <w:rFonts w:ascii="Arial" w:cs="Arial" w:eastAsia="Arial" w:hAnsi="Arial"/>
          <w:sz w:val="14"/>
          <w:szCs w:val="14"/>
          <w:b w:val="1"/>
          <w:bCs w:val="1"/>
          <w:i w:val="1"/>
          <w:iCs w:val="1"/>
          <w:color w:val="auto"/>
        </w:rPr>
        <w:t>Business Combinations, Goodwill and Other Intangible Assets</w:t>
      </w:r>
    </w:p>
    <w:p>
      <w:pPr>
        <w:spacing w:after="0" w:line="165"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 xml:space="preserve">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requires that the acquisition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 liability resulting from contingent consideration is re-measured to fair value as of each reporting date until the contingency is resolved, whereby such changes in fair value are recognized in earnings. Under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all assets and liabilities of the acquired businesses, including goodwill, are assigned to reporting units. Acquisition related costs are expensed as incurred under general and administrative expenses.</w:t>
      </w:r>
    </w:p>
    <w:p>
      <w:pPr>
        <w:spacing w:after="0" w:line="119"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In addition, assets acquired and liabilities assumed including uncertain tax positions and tax-related valuation allowances in connection with business combinations are initially estimated as of the acquisition date. The Company subsequently re-evaluates the assets acquired and liabilities assumed, including additional assets and liabilities identified subsequent to acquisition date, with any adjustments to its preliminary estimates being recorded to goodwill within the measurement period (up to one year from the acquisition date).</w:t>
      </w:r>
    </w:p>
    <w:p>
      <w:pPr>
        <w:spacing w:after="0" w:line="140" w:lineRule="exact"/>
        <w:rPr>
          <w:sz w:val="20"/>
          <w:szCs w:val="20"/>
          <w:color w:val="auto"/>
        </w:rPr>
      </w:pPr>
    </w:p>
    <w:p>
      <w:pPr>
        <w:jc w:val="both"/>
        <w:ind w:firstLine="387"/>
        <w:spacing w:after="0" w:line="299" w:lineRule="auto"/>
        <w:rPr>
          <w:sz w:val="20"/>
          <w:szCs w:val="20"/>
          <w:color w:val="auto"/>
        </w:rPr>
      </w:pPr>
      <w:r>
        <w:rPr>
          <w:rFonts w:ascii="Arial" w:cs="Arial" w:eastAsia="Arial" w:hAnsi="Arial"/>
          <w:sz w:val="15"/>
          <w:szCs w:val="15"/>
          <w:color w:val="auto"/>
        </w:rPr>
        <w:t>Goodwill represents the cost of the acquired businesses in excess of the fair value of identifiable tangible and intangible net assets purchased in a business combination. Goodwill is not amortized but is tested for impairment at least on an annual basis, relying on a number of factors including operating results, business plans and estimated future cash flows of the reporting units to which it is assigned. The Company undertakes studies to determine the fair values of assets and liabilities acquired and allocate purchase consideration to assets and liabilities, including property and equipment, goodwill and other identifiable intangibles. The Company examines the carrying value of the goodwill annually in the fourth quarter, or more frequently, as circumstances warrant, to determine whether there are any impairment losses. The Company tests for goodwill impairment at the reporting unit level, as that term is defined in U.S. GAAP.</w:t>
      </w:r>
    </w:p>
    <w:p>
      <w:pPr>
        <w:spacing w:after="0" w:line="10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Refer to Note 10 - Business Combinations, Goodwill and Other Intangible Assets to the consolidated financial statements for discussion of the Company's goodwill impairment testing. The Company adopted Accounting Standard Update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effective January 1, 2018 in conjunction with our goodwill impairment assessment.</w:t>
      </w:r>
    </w:p>
    <w:p>
      <w:pPr>
        <w:spacing w:after="0" w:line="124" w:lineRule="exact"/>
        <w:rPr>
          <w:sz w:val="20"/>
          <w:szCs w:val="20"/>
          <w:color w:val="auto"/>
        </w:rPr>
      </w:pPr>
    </w:p>
    <w:p>
      <w:pPr>
        <w:jc w:val="both"/>
        <w:ind w:firstLine="387"/>
        <w:spacing w:after="0" w:line="272" w:lineRule="auto"/>
        <w:rPr>
          <w:sz w:val="20"/>
          <w:szCs w:val="20"/>
          <w:color w:val="auto"/>
        </w:rPr>
      </w:pPr>
      <w:r>
        <w:rPr>
          <w:rFonts w:ascii="Arial" w:cs="Arial" w:eastAsia="Arial" w:hAnsi="Arial"/>
          <w:sz w:val="16"/>
          <w:szCs w:val="16"/>
          <w:color w:val="auto"/>
        </w:rPr>
        <w:t>The goodwill quantitative impairment test involves a comparison of the fair value of a reporting unit with its carrying amount. The Company estimates the fair value of a reporting unit using a combination of the income approach, using discounted cash flow analysis (“DCF model,”) and the market approach, using market multiples for reporting units whereby the fair value is not substantially in excess of carrying value. Under the income approach, fair value is determined based on the present value of estimated future cash flows, discounted at an appropriate risk-adjusted rate. The Company uses its internal forecasts to estimate future cash flows and include an estimate of long-term future growth rates based on its most recent views of the long-term outlook for each business. Actual results may differ from those assumed in our forecasts. The discount rate is based on judgment of the specific risk inherent in the future cash flows of the respective reporting units. The variables within the discount rate, many of which are outside of the Company’s control, provide the Company’s best estimate of all assumptions applied within the DCF model. Under the market approach, the Company estimates fair value based on market multiples of revenues and earnings derived from comparable publicly-traded companies with characteristics similar to the reporting unit and comparable market transactions. The market approach is used to corroborate the results of the income approach. The estimates used to calculate the fair value of a reporting unit change from year to year based on operating results, market conditions and other factors. Changes in these estimates and assumptions could materially affect the determination of fair value for each reporting unit.</w:t>
      </w:r>
    </w:p>
    <w:p>
      <w:pPr>
        <w:spacing w:after="0" w:line="12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Determining fair value requires the use of estimates and exercise of significant judgment, including assumptions about appropriate discount rates, perpetual growth rates, amount and timing of expected future cash flows, market multiples of revenues and earnings and comparable market transactions. These estimates and judgements may not be within the control of the Company and accordingly it is reasonably possible that the estimates and judgments described above could change in future periods. There can be no assurance that operations will achieve the future cash flows reflected in the projections. If the carrying amount of the reporting unit exceeds its fair value, an impairment loss shall be recognized, in an amount equal to that excess, limited to the total amount of goodwill allocated to that reporting unit.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6"/>
          <w:szCs w:val="16"/>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definite lived intangible assets are amortized over their estimated useful lives as listed below using a straight-line method:</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Useful Lives</w:t>
            </w:r>
          </w:p>
        </w:tc>
      </w:tr>
      <w:tr>
        <w:trPr>
          <w:trHeight w:val="184"/>
        </w:trPr>
        <w:tc>
          <w:tcPr>
            <w:tcW w:w="84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r>
      <w:tr>
        <w:trPr>
          <w:trHeight w:val="218"/>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7-15</w:t>
            </w:r>
          </w:p>
        </w:tc>
      </w:tr>
      <w:tr>
        <w:trPr>
          <w:trHeight w:val="218"/>
        </w:trPr>
        <w:tc>
          <w:tcPr>
            <w:tcW w:w="8440" w:type="dxa"/>
            <w:vAlign w:val="bottom"/>
          </w:tcPr>
          <w:p>
            <w:pPr>
              <w:spacing w:after="0"/>
              <w:rPr>
                <w:sz w:val="20"/>
                <w:szCs w:val="20"/>
                <w:color w:val="auto"/>
              </w:rPr>
            </w:pPr>
            <w:r>
              <w:rPr>
                <w:rFonts w:ascii="Arial" w:cs="Arial" w:eastAsia="Arial" w:hAnsi="Arial"/>
                <w:sz w:val="17"/>
                <w:szCs w:val="17"/>
                <w:color w:val="auto"/>
              </w:rPr>
              <w:t>Developed technology</w:t>
            </w:r>
          </w:p>
        </w:tc>
        <w:tc>
          <w:tcPr>
            <w:tcW w:w="1320" w:type="dxa"/>
            <w:vAlign w:val="bottom"/>
          </w:tcPr>
          <w:p>
            <w:pPr>
              <w:jc w:val="center"/>
              <w:spacing w:after="0"/>
              <w:rPr>
                <w:sz w:val="20"/>
                <w:szCs w:val="20"/>
                <w:color w:val="auto"/>
              </w:rPr>
            </w:pPr>
            <w:r>
              <w:rPr>
                <w:rFonts w:ascii="Arial" w:cs="Arial" w:eastAsia="Arial" w:hAnsi="Arial"/>
                <w:sz w:val="17"/>
                <w:szCs w:val="17"/>
                <w:color w:val="auto"/>
                <w:w w:val="93"/>
              </w:rPr>
              <w:t>3-10</w:t>
            </w:r>
          </w:p>
        </w:tc>
      </w:tr>
      <w:tr>
        <w:trPr>
          <w:trHeight w:val="246"/>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Non-compete agreements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w:t>
            </w:r>
          </w:p>
        </w:tc>
      </w:tr>
      <w:tr>
        <w:trPr>
          <w:trHeight w:val="218"/>
        </w:trPr>
        <w:tc>
          <w:tcPr>
            <w:tcW w:w="8440" w:type="dxa"/>
            <w:vAlign w:val="bottom"/>
          </w:tcPr>
          <w:p>
            <w:pPr>
              <w:spacing w:after="0"/>
              <w:rPr>
                <w:sz w:val="20"/>
                <w:szCs w:val="20"/>
                <w:color w:val="auto"/>
              </w:rPr>
            </w:pPr>
            <w:r>
              <w:rPr>
                <w:rFonts w:ascii="Arial" w:cs="Arial" w:eastAsia="Arial" w:hAnsi="Arial"/>
                <w:sz w:val="17"/>
                <w:szCs w:val="17"/>
                <w:color w:val="auto"/>
              </w:rPr>
              <w:t>Trade names and trademarks</w:t>
            </w:r>
          </w:p>
        </w:tc>
        <w:tc>
          <w:tcPr>
            <w:tcW w:w="1320" w:type="dxa"/>
            <w:vAlign w:val="bottom"/>
          </w:tcPr>
          <w:p>
            <w:pPr>
              <w:jc w:val="center"/>
              <w:spacing w:after="0"/>
              <w:rPr>
                <w:sz w:val="20"/>
                <w:szCs w:val="20"/>
                <w:color w:val="auto"/>
              </w:rPr>
            </w:pPr>
            <w:r>
              <w:rPr>
                <w:rFonts w:ascii="Arial" w:cs="Arial" w:eastAsia="Arial" w:hAnsi="Arial"/>
                <w:sz w:val="17"/>
                <w:szCs w:val="17"/>
                <w:color w:val="auto"/>
                <w:w w:val="93"/>
              </w:rPr>
              <w:t>2-10</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 Impairment of Long-lived Assets</w:t>
      </w:r>
    </w:p>
    <w:p>
      <w:pPr>
        <w:spacing w:after="0" w:line="165"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7"/>
          <w:szCs w:val="17"/>
          <w:color w:val="auto"/>
        </w:rPr>
        <w:t>Long-lived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In turn, measurement of an impairment loss requires a determination of fair value, which is based on the best information available. The Company derives the required undiscounted cash flow estimates from its historical experience and its internal business plans. To determine fair value, the Company follows the discounted cash flow approach and uses its internal cash flow estimates discounted at an appropriate discount rate and independent appraisals, as appropriate. The impairment amount to be recognized is measured as the amount by which the carrying value of the assets exceeds their fair value.</w:t>
      </w:r>
    </w:p>
    <w:p>
      <w:pPr>
        <w:spacing w:after="0" w:line="135" w:lineRule="exact"/>
        <w:rPr>
          <w:sz w:val="20"/>
          <w:szCs w:val="20"/>
          <w:color w:val="auto"/>
        </w:rPr>
      </w:pPr>
    </w:p>
    <w:p>
      <w:pPr>
        <w:ind w:left="360" w:hanging="357"/>
        <w:spacing w:after="0"/>
        <w:tabs>
          <w:tab w:leader="none" w:pos="360"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Derivative Financial Instruments</w:t>
      </w:r>
    </w:p>
    <w:p>
      <w:pPr>
        <w:spacing w:after="0" w:line="165" w:lineRule="exact"/>
        <w:rPr>
          <w:sz w:val="20"/>
          <w:szCs w:val="20"/>
          <w:color w:val="auto"/>
        </w:rPr>
      </w:pPr>
    </w:p>
    <w:p>
      <w:pPr>
        <w:jc w:val="both"/>
        <w:ind w:firstLine="387"/>
        <w:spacing w:after="0" w:line="307" w:lineRule="auto"/>
        <w:rPr>
          <w:sz w:val="20"/>
          <w:szCs w:val="20"/>
          <w:color w:val="auto"/>
        </w:rPr>
      </w:pPr>
      <w:r>
        <w:rPr>
          <w:rFonts w:ascii="Arial" w:cs="Arial" w:eastAsia="Arial" w:hAnsi="Arial"/>
          <w:sz w:val="15"/>
          <w:szCs w:val="15"/>
          <w:color w:val="auto"/>
        </w:rPr>
        <w:t>In the normal course of business, the Company uses derivative instruments to mitigate the exposure from risk of foreign currency and interest rate fluctuations.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adhere to the Company’s treasury operations’ objectives and policies to qualify as cash flow hedges, and are with counterparties that are highly rated financial institutions.</w:t>
      </w:r>
    </w:p>
    <w:p>
      <w:pPr>
        <w:spacing w:after="0" w:line="17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Changes in the fair value of these cash flow hedges are recorded as a component of accumulated other comprehensive income/(loss) (“AOCI”), net of tax. The resultant foreign exchange gain/(loss) upon settlement of cash flow hedges of forecasted transactions are recorded in the consolidated statements of income along with the underlying hedged item in the same line as part of “Cost of revenues,” “General and administrative expenses,” “Selling and marketing expenses,” and “Depreciation and amortization expense,” as applicable. The accumulated changes in the fair value of interest rate swaps recognized in AOCI are reclassified to the consolidated statements of income and are presented as a part of “Interest expense” over the term of the contract.</w:t>
      </w:r>
    </w:p>
    <w:p>
      <w:pPr>
        <w:spacing w:after="0" w:line="19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evaluates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AOCI are reclassified to earnings.</w:t>
      </w:r>
    </w:p>
    <w:p>
      <w:pPr>
        <w:spacing w:after="0" w:line="2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also uses derivatives instruments consisting of foreign currency forward contracts to hedge intercompany balances and other monetary assets or liabilities denominated in currencies other than the functional currency, against the risk of</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foreign currency fluctuations associated with remeasurement of such assets and liabilities to functional currency. These derivatives do not qualify as fair value hedges under ASC Topic 815. Changes in the fair value of these derivatives are recognized in the consolidated statements of income and are included in foreign exchange gain, net.</w:t>
      </w:r>
    </w:p>
    <w:p>
      <w:pPr>
        <w:spacing w:after="0" w:line="188"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The Company also uses foreign currency forward contracts designated as net investment hedges to hedge the foreign currency risks related to the Company's investment in foreign subsidiaries. Fair value changes on these forward contracts and gains and losses on settlement of such forward contracts are recognized in AOCI as part of the foreign currency translation adjustments and are reclassified to consolidated statements of income when a foreign operation is disposed or partially disposed.</w:t>
      </w:r>
    </w:p>
    <w:p>
      <w:pPr>
        <w:spacing w:after="0" w:line="204" w:lineRule="exact"/>
        <w:rPr>
          <w:sz w:val="20"/>
          <w:szCs w:val="20"/>
          <w:color w:val="auto"/>
        </w:rPr>
      </w:pPr>
    </w:p>
    <w:p>
      <w:pPr>
        <w:jc w:val="both"/>
        <w:ind w:firstLine="387"/>
        <w:spacing w:after="0" w:line="261" w:lineRule="auto"/>
        <w:rPr>
          <w:sz w:val="20"/>
          <w:szCs w:val="20"/>
          <w:color w:val="auto"/>
        </w:rPr>
      </w:pPr>
      <w:r>
        <w:rPr>
          <w:rFonts w:ascii="Arial" w:cs="Arial" w:eastAsia="Arial" w:hAnsi="Arial"/>
          <w:sz w:val="16"/>
          <w:szCs w:val="16"/>
          <w:color w:val="auto"/>
        </w:rPr>
        <w:t>All of the assets and liabilities related to the Company’s forward contracts are subject to master netting arrangements with each individual counterparty. These master netting arrangements generally provide for net settlement of all outstanding contracts with the counterparty in the case of an event of default or a termination event. The Company has presented all of the assets and liabilities related to these contracts on a gross basis, with no offsets, in its consolidated statements of financial position. There is no financial collateral (including cash collateral) provided or received by the Company related to these contracts.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 Employee Benefits</w:t>
      </w:r>
    </w:p>
    <w:p>
      <w:pPr>
        <w:spacing w:after="0" w:line="16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Contributions to defined contribution plans are charged to the consolidated statements of income in the period in which services are rendered by the covered employees. Current service costs for defined benefit plans are recognized in the period to which they relate. The liability in respect of defined benefit plans is calculated annually by the Company using the projected unit credit method.</w:t>
      </w:r>
    </w:p>
    <w:p>
      <w:pPr>
        <w:spacing w:after="0" w:line="124"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The Company records annual amounts relating to its defined benefit plans based on calculations that incorporate various actuarial and other assumptions, including discount rates, mortality, assumed rates of return on plan assets, future compensation increases and attrition rates. The Company reviews its assumptions on an annual basis and makes modifications to the assumptions based on current rates and trends when it is appropriate to do so. The effect of modifications to those assumptions is recorded in other comprehensive income (loss) and amortized to net periodic benefit cost over the expected remaining period of service of the covered employees using the corridor method. The Company believes that the assumptions utilized in recording its obligations under its plans are reasonable based on its experience and market conditions. These assumptions may not be within the control of the Company and accordingly it is reasonably possible that these assumptions could change in future periods.</w:t>
      </w:r>
    </w:p>
    <w:p>
      <w:pPr>
        <w:spacing w:after="0" w:line="11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The Company includes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included in “Other income/(loss), net.” Refer to Note 20 - Employee Benefit Plans to the consolidated financial statements for details.</w:t>
      </w:r>
    </w:p>
    <w:p>
      <w:pPr>
        <w:spacing w:after="0" w:line="10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 Company recognizes its liabilities for compensated absences depending on whether the obligation is attributable to employee services already rendered, rights to compensated absences vest or accumulate and payment is probable and estimable.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 Stock-Based Compensation</w:t>
      </w:r>
    </w:p>
    <w:p>
      <w:pPr>
        <w:spacing w:after="0" w:line="153"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The Company recognizes stock-based compensation expense in the consolidated statements of income for awards of equity instruments to employees and non-employee directors based on the grant-date fair value of those awards. The Company recognizes these compensation costs on straight-line basis over the requisite service period of the award, or to the date on which retirement eligibility is achieved, if shorter. Forfeitures are accounted when the actual forfeitures occur.</w:t>
      </w:r>
    </w:p>
    <w:p>
      <w:pPr>
        <w:spacing w:after="0" w:line="140"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Under the Company’s 2018 Omnibus Incentive Plan (the “2018 Plan”), which was adopted by the Company's stockholders on June 15, 2018, which replaces and supersedes the 2015 Amendment and Restatement of the Company’s 2006 Omnibus Award Plan (the “Prior Plan”) and is effective upon the date approved by the Company’s stockholders, the Company grants performance-based restricted stock units (“PRSU”) to executive officers and other specified employees. Generally, the Company grants PRSUs that cliff vest based on an aggregated revenue target (“PU”) for a three-year period, and PRSUs that are based on market conditions (“MU”) and cliff vest upon meeting or exceeding the Company's total shareholder return relative to a group of peer companies specified under the 2018 Plan, and are measured over a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award recipient may earn up to 200% of the PRSUs granted based on the actual achievement of the respective targets. However, the features of the equity incentive compensation program are subject to change by the Compensation and Talent Management Committee of our board of directors.</w:t>
      </w:r>
    </w:p>
    <w:p>
      <w:pPr>
        <w:spacing w:after="0" w:line="113"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The fair value of each PU is determined based on the market price of one common share of the Company on the day prior to the date of grant, and the associated compensation expense is calculated on the basis that performance targets at 100% are probable of being achieved. The compensation expense for the PU is recognized on a straight-line basis over the service period, which is through the end of the third year. Over this period, the number of shares that will be issued is adjusted upward or downward based upon the probability of achievement of the performance targets. The final number of shares issued and the related compensation cost recognized as an expense will be based on a comparison of the final performance metrics to the specified targets. The expense related to the unvested PU as of December 31, 2022 was based on the Company's assessment of performance criteria for these grants that would most likely be met during the respective years of vesting against the targeted performance level.</w:t>
      </w:r>
    </w:p>
    <w:p>
      <w:pPr>
        <w:spacing w:after="0" w:line="118"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grant date fair value for the MUs is determined using a Monte Carlo simulation model and the related compensation expense is expensed on a straight-line basis over the vesting period. All compensation expense related to the MU will be recognized if the requisite performance period is fulfilled, regardless of the extent of the market condition achieved.</w:t>
      </w:r>
    </w:p>
    <w:p>
      <w:pPr>
        <w:spacing w:after="0" w:line="12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Stock-based compensation expense associated with the Company's 2022 Employee Stock Purchase Plan (“ESPP”) is measured at fair-value using a Black-Scholes option-pricing model at the commencement of each offering period and recognized over that offering period.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 Income Taxes</w:t>
      </w:r>
    </w:p>
    <w:p>
      <w:pPr>
        <w:spacing w:after="0" w:line="153"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5"/>
          <w:szCs w:val="15"/>
          <w:color w:val="auto"/>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statements of income in the period in which the change is identified. The Company releases (reclassifies) the tax effects from AOCI to the consolidated statements of income at the time of settlement of cash flows hedges and amortization of deferred actuarial gain/(loss) on retirement benefits. Deferred tax assets are reduced by a valuation allowance if, based on available evidence, it is more likely than not that some portion or all of the deferred tax assets will not be realized.</w:t>
      </w:r>
    </w:p>
    <w:p>
      <w:pPr>
        <w:spacing w:after="0" w:line="12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 Company establishes provisions for uncertain tax provisions and related interest and penalties when the Company believes those tax positions are not more likely than not of being sustained, if challenged.</w:t>
      </w:r>
    </w:p>
    <w:p>
      <w:pPr>
        <w:spacing w:after="0" w:line="11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 Company intends to indefinitely reinvest earnings from its foreign subsidiaries and has not recorded deferred tax liabilities for the indefinitely reinvested earnings.</w:t>
      </w:r>
    </w:p>
    <w:p>
      <w:pPr>
        <w:spacing w:after="0" w:line="113" w:lineRule="exact"/>
        <w:rPr>
          <w:sz w:val="20"/>
          <w:szCs w:val="20"/>
          <w:color w:val="auto"/>
        </w:rPr>
      </w:pPr>
    </w:p>
    <w:p>
      <w:pPr>
        <w:ind w:right="1920" w:firstLine="387"/>
        <w:spacing w:after="0" w:line="443" w:lineRule="auto"/>
        <w:rPr>
          <w:sz w:val="20"/>
          <w:szCs w:val="20"/>
          <w:color w:val="auto"/>
        </w:rPr>
      </w:pPr>
      <w:r>
        <w:rPr>
          <w:rFonts w:ascii="Arial" w:cs="Arial" w:eastAsia="Arial" w:hAnsi="Arial"/>
          <w:sz w:val="17"/>
          <w:szCs w:val="17"/>
          <w:color w:val="auto"/>
        </w:rPr>
        <w:t xml:space="preserve">The Company accounts for the tax effects of Global Intangible Low-Taxed Income of certain foreign subsidiaries as a period cost. </w:t>
      </w:r>
      <w:r>
        <w:rPr>
          <w:rFonts w:ascii="Arial" w:cs="Arial" w:eastAsia="Arial" w:hAnsi="Arial"/>
          <w:sz w:val="17"/>
          <w:szCs w:val="17"/>
          <w:b w:val="1"/>
          <w:bCs w:val="1"/>
          <w:i w:val="1"/>
          <w:iCs w:val="1"/>
          <w:color w:val="auto"/>
        </w:rPr>
        <w:t>(p) Concentration of Credit Risk in Financial Instruments</w:t>
      </w:r>
    </w:p>
    <w:p>
      <w:pPr>
        <w:jc w:val="both"/>
        <w:ind w:firstLine="387"/>
        <w:spacing w:after="0" w:line="257"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time deposits, mutual fund investments, accounts receivable and derivative financial instruments. By their nature, all such financial instruments involve risks including the credit risks of non-performance by counterparties. Pursuant to the Company’s investment policy, surplus funds are maintained as cash equivalents and short-term investments, and are invested in highly-rated mutual funds, money market funds and time deposits, placed with highly rated financial institutions to reduce its exposure to market risk with regard to these funds. The Company’s exposure to credit risk on account receivable is influenced mainly by the individual characteristic of each customer and the concentration of risk from the top few customer</w:t>
      </w:r>
      <w:r>
        <w:rPr>
          <w:rFonts w:ascii="Arial" w:cs="Arial" w:eastAsia="Arial" w:hAnsi="Arial"/>
          <w:sz w:val="13"/>
          <w:szCs w:val="13"/>
          <w:color w:val="auto"/>
        </w:rPr>
        <w:t>s.</w:t>
      </w:r>
      <w:r>
        <w:rPr>
          <w:rFonts w:ascii="Arial" w:cs="Arial" w:eastAsia="Arial" w:hAnsi="Arial"/>
          <w:sz w:val="17"/>
          <w:szCs w:val="17"/>
          <w:color w:val="auto"/>
        </w:rPr>
        <w:t xml:space="preserve"> To mitigate this risk the Company evaluates the creditworthiness of its clients in conjunction with its revenue recognition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processes as well as through its ongoing collectability assessment processes for accounts receivable. The Company does not enter into or trade financial instruments, including derivative financial instruments, for speculative purposes.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 Fair value measurements</w:t>
      </w:r>
    </w:p>
    <w:p>
      <w:pPr>
        <w:spacing w:after="0" w:line="16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as against assumptions specific to the entity. In addition, the fair value of liabilities should include consideration of non-performance risk, including the Company’s own credit risk. The fair value hierarchy consists of the following three levels:</w:t>
      </w:r>
    </w:p>
    <w:p>
      <w:pPr>
        <w:spacing w:after="0" w:line="118" w:lineRule="exact"/>
        <w:rPr>
          <w:sz w:val="20"/>
          <w:szCs w:val="20"/>
          <w:color w:val="auto"/>
        </w:rPr>
      </w:pPr>
    </w:p>
    <w:p>
      <w:pPr>
        <w:ind w:left="620" w:hanging="307"/>
        <w:spacing w:after="0"/>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Level I — Quoted prices for identical instruments in active markets.</w:t>
      </w:r>
    </w:p>
    <w:p>
      <w:pPr>
        <w:spacing w:after="0" w:line="11" w:lineRule="exact"/>
        <w:rPr>
          <w:rFonts w:ascii="Arial" w:cs="Arial" w:eastAsia="Arial" w:hAnsi="Arial"/>
          <w:sz w:val="17"/>
          <w:szCs w:val="17"/>
          <w:color w:val="auto"/>
        </w:rPr>
      </w:pPr>
    </w:p>
    <w:p>
      <w:pPr>
        <w:ind w:left="620" w:hanging="307"/>
        <w:spacing w:after="0" w:line="237" w:lineRule="auto"/>
        <w:tabs>
          <w:tab w:leader="none" w:pos="616" w:val="left"/>
        </w:tabs>
        <w:numPr>
          <w:ilvl w:val="1"/>
          <w:numId w:val="32"/>
        </w:numPr>
        <w:rPr>
          <w:rFonts w:ascii="Arial" w:cs="Arial" w:eastAsia="Arial" w:hAnsi="Arial"/>
          <w:sz w:val="17"/>
          <w:szCs w:val="17"/>
          <w:color w:val="auto"/>
        </w:rPr>
      </w:pPr>
      <w:r>
        <w:rPr>
          <w:rFonts w:ascii="Arial" w:cs="Arial" w:eastAsia="Arial" w:hAnsi="Arial"/>
          <w:sz w:val="17"/>
          <w:szCs w:val="17"/>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ind w:left="620" w:hanging="307"/>
        <w:spacing w:after="0"/>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Level III — Instruments whose significant value drivers are unobservable.</w:t>
      </w:r>
    </w:p>
    <w:p>
      <w:pPr>
        <w:spacing w:after="0" w:line="151" w:lineRule="exact"/>
        <w:rPr>
          <w:rFonts w:ascii="Arial" w:cs="Arial" w:eastAsia="Arial" w:hAnsi="Arial"/>
          <w:sz w:val="17"/>
          <w:szCs w:val="17"/>
          <w:color w:val="auto"/>
        </w:rPr>
      </w:pPr>
    </w:p>
    <w:p>
      <w:pPr>
        <w:ind w:left="300" w:hanging="297"/>
        <w:spacing w:after="0"/>
        <w:tabs>
          <w:tab w:leader="none" w:pos="300"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Leases</w:t>
      </w:r>
    </w:p>
    <w:p>
      <w:pPr>
        <w:spacing w:after="0" w:line="153" w:lineRule="exact"/>
        <w:rPr>
          <w:sz w:val="20"/>
          <w:szCs w:val="20"/>
          <w:color w:val="auto"/>
        </w:rPr>
      </w:pPr>
    </w:p>
    <w:p>
      <w:pPr>
        <w:jc w:val="both"/>
        <w:ind w:firstLine="387"/>
        <w:spacing w:after="0" w:line="269" w:lineRule="auto"/>
        <w:rPr>
          <w:sz w:val="20"/>
          <w:szCs w:val="20"/>
          <w:color w:val="auto"/>
        </w:rPr>
      </w:pPr>
      <w:r>
        <w:rPr>
          <w:rFonts w:ascii="Arial" w:cs="Arial" w:eastAsia="Arial" w:hAnsi="Arial"/>
          <w:sz w:val="15"/>
          <w:szCs w:val="15"/>
          <w:color w:val="auto"/>
        </w:rPr>
        <w:t>The Company determines if an arrangement is a lease at inception of the contract. The Company’s assessment is based on whether: (1) the contract involves the use of a distinct identified asset, (2) the Company obtains the right to substantially all the economic benefit from the use of the asset throughout the term of the contract, and (3) the Company has the right to direct the use of the asset. A lease is classified as a finance lease if any one of the following criteria are met: (1) the lease transfers ownership of the asset by the end of the lease term, (2) the lease contains an option to purchase the asset that is reasonably certain to be exercised,</w:t>
      </w:r>
    </w:p>
    <w:p>
      <w:pPr>
        <w:spacing w:after="0" w:line="1" w:lineRule="exact"/>
        <w:rPr>
          <w:sz w:val="20"/>
          <w:szCs w:val="20"/>
          <w:color w:val="auto"/>
        </w:rPr>
      </w:pPr>
    </w:p>
    <w:p>
      <w:pPr>
        <w:ind w:firstLine="3"/>
        <w:spacing w:after="0" w:line="246" w:lineRule="auto"/>
        <w:tabs>
          <w:tab w:leader="none" w:pos="2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lease term is for a major part of the remaining useful life of the asset or (4) the present value of the lease payments equals or exceeds substantially all of the fair value of the asset.</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Operating leases are recorded in “Operating lease right-of-use assets,” “Current portion of operating lease liabilities” and “Operating lease liabilities, less</w:t>
      </w:r>
    </w:p>
    <w:p>
      <w:pPr>
        <w:spacing w:after="0" w:line="4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current portion” in the Company's consolidated balance sheets. Long-lived assets underlying finance leases are recorded in “Property and equipment” and the current and non-current portion of finance lease liabilities are presented within “Accrued expenses and other current liabilities” and “other non-current liabilities,” respectively, in the Company's consolidated balance sheets.</w:t>
      </w:r>
    </w:p>
    <w:p>
      <w:pPr>
        <w:spacing w:after="0" w:line="131" w:lineRule="exact"/>
        <w:rPr>
          <w:sz w:val="20"/>
          <w:szCs w:val="20"/>
          <w:color w:val="auto"/>
        </w:rPr>
      </w:pPr>
    </w:p>
    <w:p>
      <w:pPr>
        <w:jc w:val="both"/>
        <w:ind w:firstLine="387"/>
        <w:spacing w:after="0" w:line="274" w:lineRule="auto"/>
        <w:rPr>
          <w:sz w:val="20"/>
          <w:szCs w:val="20"/>
          <w:color w:val="auto"/>
        </w:rPr>
      </w:pPr>
      <w:r>
        <w:rPr>
          <w:rFonts w:ascii="Arial" w:cs="Arial" w:eastAsia="Arial" w:hAnsi="Arial"/>
          <w:sz w:val="15"/>
          <w:szCs w:val="15"/>
          <w:color w:val="auto"/>
        </w:rPr>
        <w:t>ROU assets represent the Company’s right to use an underlying asset during the lease term and lease liabilities represent the Company’s obligation to make lease payments arising from the lease arrangement. Lease liabilities are recognized at commencement date based on the present value of lease payments over the lease term. Operating lease ROU assets are recognized at commencement date in an amount equal to lease liability, adjusted for any lease prepayments, initial direct costs, and lease incentives. For leases in which the rate implicit in the lease is not readily determinable, the Company uses its incremental borrowing rate based on the information available at commencement date for determining the present value of lease payments. The Company determines the incremental borrowing rate by adjusting the benchmark reference rates with appropriate financing spreads applicable to the respective geographies where the leases are entered and lease specific adjustments for the effects of collateral. Lease terms includes the effects of options to extend or terminate the lease when it is reasonably certain at commencement of the lease that the Company will exercise that option. Lease expense for operating lease arrangements is recognized on a straight-line basis over the lease term. The Company evaluates lease agreements to determine lease and non-lease components, which are accounted for separately.</w:t>
      </w:r>
    </w:p>
    <w:p>
      <w:pPr>
        <w:spacing w:after="0" w:line="20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Lease payments that depend on factors other than an index or rate are considered variable lease payments and are excluded from the operating lease assets and liabilities and are recognized as expense in the period in which the obligation is incurred. Lease payments include payments for common area maintenance, utilities such as electricity, heating and water, among others, and property taxes, and other similar payments paid to the landlord, which are treated as non-lease component.</w:t>
      </w:r>
    </w:p>
    <w:p>
      <w:pPr>
        <w:spacing w:after="0" w:line="126"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 xml:space="preserve">The Company accounts for lease-related concessions in accordance with guidance in Topic 842, </w:t>
      </w:r>
      <w:r>
        <w:rPr>
          <w:rFonts w:ascii="Arial" w:cs="Arial" w:eastAsia="Arial" w:hAnsi="Arial"/>
          <w:sz w:val="17"/>
          <w:szCs w:val="17"/>
          <w:i w:val="1"/>
          <w:iCs w:val="1"/>
          <w:color w:val="auto"/>
        </w:rPr>
        <w:t>Leases</w:t>
      </w:r>
      <w:r>
        <w:rPr>
          <w:rFonts w:ascii="Arial" w:cs="Arial" w:eastAsia="Arial" w:hAnsi="Arial"/>
          <w:sz w:val="17"/>
          <w:szCs w:val="17"/>
          <w:color w:val="auto"/>
        </w:rPr>
        <w:t>, to determine, on a lease-by-lease basis, whether the concession provided by lessor should be accounted for as a lease modification.</w:t>
      </w:r>
    </w:p>
    <w:p>
      <w:pPr>
        <w:spacing w:after="0" w:line="11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 Company accounts for a modification as a separate contract when it grants an additional right of use not included in the original lease and the increase is commensurate with the standalone price for the additional right of use, adjusted for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circumstances of the particular contract. Modifications which are not accounted for as a separate contract are reassessed as of the effective date of the modification based on its modified terms and conditions and the facts and circumstances as of that date. Upon modification, the Company remeasures the lease liability to reflect changes to the remaining lease payments and discount rates and recognizes the amount of the remeasurement of the lease liability as an adjustment to the ROU assets. However, if the carrying amount of the ROU assets is reduced to zero as a result of modification, any remaining amount of the remeasurement is recognized as an expense in consolidated statements of income.</w:t>
      </w:r>
    </w:p>
    <w:p>
      <w:pPr>
        <w:spacing w:after="0" w:line="13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The Company reviews ROU assets for impairment whenever events or changes in circumstances indicate that the related carrying amount may not be recoverable.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  Government Grants</w:t>
      </w:r>
    </w:p>
    <w:p>
      <w:pPr>
        <w:spacing w:after="0" w:line="165"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Government grants are recognized at their fair value when there is a reasonable assurance that the conditions attached to them have been satisfied and the grants have been received. Government grants relating to income are recognized as a reduction of expenses in the consolidated statements of income. Government grants relating to a property and equipment are recognized as a reduction from the cost of acquisition of such property and equipment. The grant is subsequently measured in the consolidated statements of income over the life of the property and equipment in the form of reduced depreciation expense.</w:t>
      </w:r>
    </w:p>
    <w:p>
      <w:pPr>
        <w:spacing w:after="0" w:line="112"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i w:val="1"/>
          <w:iCs w:val="1"/>
          <w:color w:val="auto"/>
        </w:rPr>
        <w:t>(t)</w:t>
      </w:r>
      <w:r>
        <w:rPr>
          <w:sz w:val="20"/>
          <w:szCs w:val="20"/>
          <w:color w:val="auto"/>
        </w:rPr>
        <w:tab/>
      </w:r>
      <w:r>
        <w:rPr>
          <w:rFonts w:ascii="Arial" w:cs="Arial" w:eastAsia="Arial" w:hAnsi="Arial"/>
          <w:sz w:val="15"/>
          <w:szCs w:val="15"/>
          <w:b w:val="1"/>
          <w:bCs w:val="1"/>
          <w:i w:val="1"/>
          <w:iCs w:val="1"/>
          <w:color w:val="auto"/>
        </w:rPr>
        <w:t>Earnings per share</w:t>
      </w:r>
    </w:p>
    <w:p>
      <w:pPr>
        <w:spacing w:after="0" w:line="165" w:lineRule="exact"/>
        <w:rPr>
          <w:sz w:val="20"/>
          <w:szCs w:val="20"/>
          <w:color w:val="auto"/>
        </w:rPr>
      </w:pPr>
    </w:p>
    <w:p>
      <w:pPr>
        <w:jc w:val="both"/>
        <w:ind w:firstLine="387"/>
        <w:spacing w:after="0" w:line="302" w:lineRule="auto"/>
        <w:rPr>
          <w:sz w:val="20"/>
          <w:szCs w:val="20"/>
          <w:color w:val="auto"/>
        </w:rPr>
      </w:pPr>
      <w:r>
        <w:rPr>
          <w:rFonts w:ascii="Arial" w:cs="Arial" w:eastAsia="Arial" w:hAnsi="Arial"/>
          <w:sz w:val="15"/>
          <w:szCs w:val="15"/>
          <w:color w:val="auto"/>
        </w:rPr>
        <w:t>Basic earnings per share is computed using the weighted average number of common shares outstanding, adjusted for outstanding shares that are subject to repurchase during the period. Diluted earnings per share is computed using the weighted average number of common and dilutive common equivalent shares outstanding during the period. For the purposes of calculating diluted earnings per share, the treasury stock method is used for stock-based awards and outstanding convertible notes except where the results would be anti-dilutive.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0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Company calculates the dilutive effect of convertible notes using the treasury stock method through the maturity date of the convertible notes, if it has the intent and ability to settle the principal amount of the outstanding convertible notes in cash. Under the treasury stock method, the convertible notes shall have a dilutive impact related to the conversion premium, if any, on diluted earnings per share to the extent the issuance is dilutive based on the average market price of our common stock for a reporting period being greater the conversion price.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 Commitments and contingencies</w:t>
      </w:r>
    </w:p>
    <w:p>
      <w:pPr>
        <w:spacing w:after="0" w:line="153" w:lineRule="exact"/>
        <w:rPr>
          <w:sz w:val="20"/>
          <w:szCs w:val="20"/>
          <w:color w:val="auto"/>
        </w:rPr>
      </w:pPr>
    </w:p>
    <w:p>
      <w:pPr>
        <w:jc w:val="both"/>
        <w:ind w:firstLine="387"/>
        <w:spacing w:after="0" w:line="244"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recognized when it is probable that a liability has been incurred and the amount of the assessment and/or remediation can be reasonably estimated. A disclosure for a contingent liability is made when there is a possible obligation that may require an outflow of resources. When there is a possible obligation or a present obligation in respect of which the likelihood of outflow of resources is remote, no provision or disclosure is made. Legal costs incurred in connection with such liabilities are expensed as incurred. Capital commitments are disclosed in the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  Recent Accounting Pronouncements</w:t>
      </w:r>
    </w:p>
    <w:p>
      <w:pPr>
        <w:spacing w:after="0" w:line="153" w:lineRule="exact"/>
        <w:rPr>
          <w:sz w:val="20"/>
          <w:szCs w:val="20"/>
          <w:color w:val="auto"/>
        </w:rPr>
      </w:pPr>
    </w:p>
    <w:p>
      <w:pPr>
        <w:jc w:val="both"/>
        <w:ind w:firstLine="387"/>
        <w:spacing w:after="0" w:line="239" w:lineRule="auto"/>
        <w:rPr>
          <w:sz w:val="20"/>
          <w:szCs w:val="20"/>
          <w:color w:val="auto"/>
        </w:rPr>
      </w:pPr>
      <w:r>
        <w:rPr>
          <w:rFonts w:ascii="Arial" w:cs="Arial" w:eastAsia="Arial" w:hAnsi="Arial"/>
          <w:sz w:val="17"/>
          <w:szCs w:val="17"/>
          <w:color w:val="auto"/>
        </w:rPr>
        <w:t xml:space="preserve">In October 2021, FASB (“Financial Accounting Standard Board”) issued ASU No. 2021-08, </w:t>
      </w:r>
      <w:r>
        <w:rPr>
          <w:rFonts w:ascii="Arial" w:cs="Arial" w:eastAsia="Arial" w:hAnsi="Arial"/>
          <w:sz w:val="17"/>
          <w:szCs w:val="17"/>
          <w:i w:val="1"/>
          <w:iCs w:val="1"/>
          <w:color w:val="auto"/>
        </w:rPr>
        <w:t>Business Combinations (“ASC Topic 805”)</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 Assets and Contract Liabilities from Contracts with Customers</w:t>
      </w:r>
      <w:r>
        <w:rPr>
          <w:rFonts w:ascii="Arial" w:cs="Arial" w:eastAsia="Arial" w:hAnsi="Arial"/>
          <w:sz w:val="17"/>
          <w:szCs w:val="17"/>
          <w:color w:val="auto"/>
        </w:rPr>
        <w:t>. This ASU provides guidance in ASC Topic 805 to require the acquirer entity to recognize</w:t>
      </w:r>
      <w:r>
        <w:rPr>
          <w:rFonts w:ascii="Arial" w:cs="Arial" w:eastAsia="Arial" w:hAnsi="Arial"/>
          <w:sz w:val="17"/>
          <w:szCs w:val="17"/>
          <w:i w:val="1"/>
          <w:iCs w:val="1"/>
          <w:color w:val="auto"/>
        </w:rPr>
        <w:t xml:space="preserve"> </w:t>
      </w:r>
      <w:r>
        <w:rPr>
          <w:rFonts w:ascii="Arial" w:cs="Arial" w:eastAsia="Arial" w:hAnsi="Arial"/>
          <w:sz w:val="17"/>
          <w:szCs w:val="17"/>
          <w:color w:val="auto"/>
        </w:rPr>
        <w:t>and measure contract assets and contract liabilities acquired in a business combination in accordance with ASC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ASU is effective for fiscal years beginning after December 15, 2022. An entity may early adopt the ASU including adoption in an interim period, with retrospective application to all business combinations within the fiscal year that includes such interim period. The adoption of this ASU will not have a material impact on the Company’s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  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6"/>
          <w:szCs w:val="16"/>
          <w:color w:val="auto"/>
        </w:rPr>
        <w:t xml:space="preserve">In March 2020, FASB issued ASU No.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ASU provides optional guidance for a limited period of time to ease potential accounting impacts associated with transitioning away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reference rates that are expected to be discontinued, such as interbank offered rates and London Inter-Bank Offered Rate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In December 2022, FASB issued ASU No. 2022-06,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xml:space="preserve">: </w:t>
      </w:r>
      <w:r>
        <w:rPr>
          <w:rFonts w:ascii="Arial" w:cs="Arial" w:eastAsia="Arial" w:hAnsi="Arial"/>
          <w:sz w:val="16"/>
          <w:szCs w:val="16"/>
          <w:i w:val="1"/>
          <w:iCs w:val="1"/>
          <w:color w:val="auto"/>
        </w:rPr>
        <w:t>Deferral of the Sunset Date of Topic 848</w:t>
      </w:r>
      <w:r>
        <w:rPr>
          <w:rFonts w:ascii="Arial" w:cs="Arial" w:eastAsia="Arial" w:hAnsi="Arial"/>
          <w:sz w:val="16"/>
          <w:szCs w:val="16"/>
          <w:color w:val="auto"/>
        </w:rPr>
        <w:t>, to defer the sunset date of Topic 848 until December 31, 2024. The adoption of these ASUs did not have a material impact on the Company’s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Segment and Geographical Information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is a provider of data analytics and digital operations and solutions.</w:t>
      </w:r>
    </w:p>
    <w:p>
      <w:pPr>
        <w:spacing w:after="0" w:line="165"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1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11" w:lineRule="exact"/>
        <w:rPr>
          <w:sz w:val="20"/>
          <w:szCs w:val="20"/>
          <w:color w:val="auto"/>
        </w:rPr>
      </w:pPr>
    </w:p>
    <w:p>
      <w:pPr>
        <w:jc w:val="both"/>
        <w:ind w:firstLine="309"/>
        <w:spacing w:after="0" w:line="250" w:lineRule="auto"/>
        <w:rPr>
          <w:sz w:val="20"/>
          <w:szCs w:val="20"/>
          <w:color w:val="auto"/>
        </w:rPr>
      </w:pPr>
      <w:r>
        <w:rPr>
          <w:rFonts w:ascii="Arial" w:cs="Arial" w:eastAsia="Arial" w:hAnsi="Arial"/>
          <w:sz w:val="17"/>
          <w:szCs w:val="17"/>
          <w:color w:val="auto"/>
        </w:rPr>
        <w:t>The December 2021 and June 2022 acquisitions of Clairvoyant AI, Inc. (“Clairvoyant”) and Inbound Media Group, LLC (“Inbound”), respectively, are both included in the Analytics reportable segment. Refer to Note 10 - Business Combinations, Goodwill and Other Intangible Assets to the consolidated financial statements for further details.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Revenues and cost of revenues for the years ended December 31, 2022, 2021 and 2020, respectively, for each of the reportable segments,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2022</w:t>
            </w: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Insurance</w:t>
            </w: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Healthcare</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260"/>
              <w:spacing w:after="0" w:line="168" w:lineRule="exact"/>
              <w:rPr>
                <w:sz w:val="20"/>
                <w:szCs w:val="20"/>
                <w:color w:val="auto"/>
              </w:rPr>
            </w:pPr>
            <w:r>
              <w:rPr>
                <w:rFonts w:ascii="Arial" w:cs="Arial" w:eastAsia="Arial" w:hAnsi="Arial"/>
                <w:sz w:val="15"/>
                <w:szCs w:val="15"/>
                <w:b w:val="1"/>
                <w:bCs w:val="1"/>
                <w:color w:val="auto"/>
                <w:w w:val="95"/>
              </w:rPr>
              <w:t>Emerging</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rPr>
              <w:t>Analytics</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1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23"/>
        </w:trPr>
        <w:tc>
          <w:tcPr>
            <w:tcW w:w="5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5"/>
                <w:szCs w:val="15"/>
                <w:b w:val="1"/>
                <w:bCs w:val="1"/>
                <w:color w:val="auto"/>
                <w:w w:val="86"/>
              </w:rPr>
              <w:t>Business</w:t>
            </w:r>
          </w:p>
        </w:tc>
        <w:tc>
          <w:tcPr>
            <w:tcW w:w="20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506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gridSpan w:val="2"/>
            <w:vMerge w:val="continue"/>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color w:val="auto"/>
              </w:rPr>
              <w:t>Revenues, net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448,704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97,351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218,638</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647,351</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1,412,044</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287,734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70,951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128,017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409,893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896,595</w:t>
            </w:r>
          </w:p>
        </w:tc>
        <w:tc>
          <w:tcPr>
            <w:tcW w:w="0" w:type="dxa"/>
            <w:vAlign w:val="bottom"/>
          </w:tcPr>
          <w:p>
            <w:pPr>
              <w:spacing w:after="0"/>
              <w:rPr>
                <w:sz w:val="1"/>
                <w:szCs w:val="1"/>
                <w:color w:val="auto"/>
              </w:rPr>
            </w:pPr>
          </w:p>
        </w:tc>
      </w:tr>
      <w:tr>
        <w:trPr>
          <w:trHeight w:val="212"/>
        </w:trPr>
        <w:tc>
          <w:tcPr>
            <w:tcW w:w="5060" w:type="dxa"/>
            <w:vAlign w:val="bottom"/>
          </w:tcPr>
          <w:p>
            <w:pPr>
              <w:ind w:left="20"/>
              <w:spacing w:after="0" w:line="212"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160,970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26,400</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237,458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515,449</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323,287</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color w:val="auto"/>
              </w:rPr>
              <w:t>Foreign exchange gain, net, interest expense and other loss, net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(2,063)</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47,565</w:t>
            </w:r>
          </w:p>
        </w:tc>
        <w:tc>
          <w:tcPr>
            <w:tcW w:w="0" w:type="dxa"/>
            <w:vAlign w:val="bottom"/>
          </w:tcPr>
          <w:p>
            <w:pPr>
              <w:spacing w:after="0"/>
              <w:rPr>
                <w:sz w:val="1"/>
                <w:szCs w:val="1"/>
                <w:color w:val="auto"/>
              </w:rPr>
            </w:pPr>
          </w:p>
        </w:tc>
      </w:tr>
      <w:tr>
        <w:trPr>
          <w:trHeight w:val="21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from equity-method investment</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3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142,968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 xml:space="preserve"> Exclusive of depreciation and amortization expense.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0" w:type="dxa"/>
            <w:vAlign w:val="bottom"/>
          </w:tcPr>
          <w:p>
            <w:pPr>
              <w:spacing w:after="0"/>
              <w:rPr>
                <w:sz w:val="17"/>
                <w:szCs w:val="17"/>
                <w:color w:val="auto"/>
              </w:rPr>
            </w:pPr>
          </w:p>
        </w:tc>
        <w:tc>
          <w:tcPr>
            <w:tcW w:w="39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9"/>
          </w:tcPr>
          <w:p>
            <w:pPr>
              <w:jc w:val="right"/>
              <w:ind w:right="223"/>
              <w:spacing w:after="0"/>
              <w:rPr>
                <w:sz w:val="20"/>
                <w:szCs w:val="20"/>
                <w:color w:val="auto"/>
              </w:rPr>
            </w:pPr>
            <w:r>
              <w:rPr>
                <w:rFonts w:ascii="Arial" w:cs="Arial" w:eastAsia="Arial" w:hAnsi="Arial"/>
                <w:sz w:val="14"/>
                <w:szCs w:val="14"/>
                <w:b w:val="1"/>
                <w:bCs w:val="1"/>
                <w:color w:val="auto"/>
              </w:rPr>
              <w:t>Year ended December 31, 2021</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3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rPr>
              <w:t>Insurance</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20" w:type="dxa"/>
            <w:vAlign w:val="bottom"/>
            <w:gridSpan w:val="4"/>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rPr>
              <w:t>Healthcare</w:t>
            </w:r>
          </w:p>
        </w:tc>
        <w:tc>
          <w:tcPr>
            <w:tcW w:w="1120" w:type="dxa"/>
            <w:vAlign w:val="bottom"/>
            <w:gridSpan w:val="4"/>
            <w:shd w:val="clear" w:color="auto" w:fill="CCEEFF"/>
          </w:tcPr>
          <w:p>
            <w:pPr>
              <w:jc w:val="right"/>
              <w:ind w:right="123"/>
              <w:spacing w:after="0" w:line="155" w:lineRule="exact"/>
              <w:rPr>
                <w:sz w:val="20"/>
                <w:szCs w:val="20"/>
                <w:color w:val="auto"/>
              </w:rPr>
            </w:pPr>
            <w:r>
              <w:rPr>
                <w:rFonts w:ascii="Arial" w:cs="Arial" w:eastAsia="Arial" w:hAnsi="Arial"/>
                <w:sz w:val="15"/>
                <w:szCs w:val="15"/>
                <w:b w:val="1"/>
                <w:bCs w:val="1"/>
                <w:color w:val="auto"/>
              </w:rPr>
              <w:t>Emerging</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Analytics</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23"/>
        </w:trPr>
        <w:tc>
          <w:tcPr>
            <w:tcW w:w="380" w:type="dxa"/>
            <w:vAlign w:val="bottom"/>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3"/>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20" w:type="dxa"/>
            <w:vAlign w:val="bottom"/>
            <w:gridSpan w:val="4"/>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83"/>
              </w:rPr>
              <w:t>Business</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gridSpan w:val="4"/>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80" w:type="dxa"/>
            <w:vAlign w:val="bottom"/>
          </w:tcPr>
          <w:p>
            <w:pPr>
              <w:spacing w:after="0"/>
              <w:rPr>
                <w:sz w:val="7"/>
                <w:szCs w:val="7"/>
                <w:color w:val="auto"/>
              </w:rPr>
            </w:pPr>
          </w:p>
        </w:tc>
        <w:tc>
          <w:tcPr>
            <w:tcW w:w="39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gridSpan w:val="3"/>
            <w:vMerge w:val="continue"/>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7"/>
                <w:szCs w:val="17"/>
                <w:color w:val="auto"/>
              </w:rPr>
              <w:t>Revenues, net</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381,999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112,386</w:t>
            </w:r>
          </w:p>
        </w:tc>
        <w:tc>
          <w:tcPr>
            <w:tcW w:w="100" w:type="dxa"/>
            <w:vAlign w:val="bottom"/>
          </w:tcPr>
          <w:p>
            <w:pPr>
              <w:spacing w:after="0"/>
              <w:rPr>
                <w:sz w:val="18"/>
                <w:szCs w:val="18"/>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167,236</w:t>
            </w:r>
          </w:p>
        </w:tc>
        <w:tc>
          <w:tcPr>
            <w:tcW w:w="600" w:type="dxa"/>
            <w:vAlign w:val="bottom"/>
            <w:gridSpan w:val="3"/>
          </w:tcPr>
          <w:p>
            <w:pPr>
              <w:jc w:val="right"/>
              <w:ind w:right="283"/>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7"/>
                <w:szCs w:val="17"/>
                <w:color w:val="auto"/>
                <w:w w:val="87"/>
              </w:rPr>
              <w:t>460,672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1,122,2</w:t>
            </w: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39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239,529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91,737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7"/>
              </w:rPr>
              <w:t>289,908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690,9</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920" w:type="dxa"/>
            <w:vAlign w:val="bottom"/>
          </w:tcPr>
          <w:p>
            <w:pPr>
              <w:ind w:left="20"/>
              <w:spacing w:after="0" w:line="212"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142,470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42,626</w:t>
            </w:r>
          </w:p>
        </w:tc>
        <w:tc>
          <w:tcPr>
            <w:tcW w:w="100" w:type="dxa"/>
            <w:vAlign w:val="bottom"/>
          </w:tcPr>
          <w:p>
            <w:pPr>
              <w:spacing w:after="0"/>
              <w:rPr>
                <w:sz w:val="18"/>
                <w:szCs w:val="18"/>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75,499</w:t>
            </w:r>
          </w:p>
        </w:tc>
        <w:tc>
          <w:tcPr>
            <w:tcW w:w="600" w:type="dxa"/>
            <w:vAlign w:val="bottom"/>
            <w:gridSpan w:val="3"/>
          </w:tcPr>
          <w:p>
            <w:pPr>
              <w:jc w:val="right"/>
              <w:ind w:right="283"/>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7"/>
                <w:szCs w:val="17"/>
                <w:color w:val="auto"/>
                <w:w w:val="87"/>
              </w:rPr>
              <w:t>170,764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431,3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0" w:type="dxa"/>
            <w:vAlign w:val="bottom"/>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275,4</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5260" w:type="dxa"/>
            <w:vAlign w:val="bottom"/>
            <w:gridSpan w:val="5"/>
          </w:tcPr>
          <w:p>
            <w:pPr>
              <w:ind w:left="20"/>
              <w:spacing w:after="0" w:line="168" w:lineRule="exact"/>
              <w:rPr>
                <w:sz w:val="20"/>
                <w:szCs w:val="20"/>
                <w:color w:val="auto"/>
              </w:rPr>
            </w:pPr>
            <w:r>
              <w:rPr>
                <w:rFonts w:ascii="Arial" w:cs="Arial" w:eastAsia="Arial" w:hAnsi="Arial"/>
                <w:sz w:val="17"/>
                <w:szCs w:val="17"/>
                <w:color w:val="auto"/>
              </w:rPr>
              <w:t>Loss on settlement of convertible notes, foreign exchange gain, net,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Arial" w:cs="Arial" w:eastAsia="Arial" w:hAnsi="Arial"/>
                <w:sz w:val="17"/>
                <w:szCs w:val="17"/>
                <w:color w:val="auto"/>
              </w:rPr>
              <w:t>interest expense and other income, net</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from equity-method investment</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7"/>
                <w:szCs w:val="17"/>
                <w:color w:val="auto"/>
              </w:rPr>
              <w:t xml:space="preserve"> Exclusive of depreciation and amortization expense.</w:t>
            </w: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3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0" w:type="dxa"/>
            <w:vAlign w:val="bottom"/>
          </w:tcPr>
          <w:p>
            <w:pPr>
              <w:spacing w:after="0"/>
              <w:rPr>
                <w:sz w:val="7"/>
                <w:szCs w:val="7"/>
                <w:color w:val="auto"/>
              </w:rPr>
            </w:pPr>
          </w:p>
        </w:tc>
        <w:tc>
          <w:tcPr>
            <w:tcW w:w="39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gridSpan w:val="9"/>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80" w:type="dxa"/>
            <w:vAlign w:val="bottom"/>
            <w:tcBorders>
              <w:bottom w:val="single" w:sz="8" w:color="CCEEFF"/>
            </w:tcBorders>
          </w:tcPr>
          <w:p>
            <w:pPr>
              <w:spacing w:after="0"/>
              <w:rPr>
                <w:sz w:val="15"/>
                <w:szCs w:val="15"/>
                <w:color w:val="auto"/>
              </w:rPr>
            </w:pPr>
          </w:p>
        </w:tc>
        <w:tc>
          <w:tcPr>
            <w:tcW w:w="39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9"/>
          </w:tcPr>
          <w:p>
            <w:pPr>
              <w:jc w:val="right"/>
              <w:ind w:right="363"/>
              <w:spacing w:after="0"/>
              <w:rPr>
                <w:sz w:val="20"/>
                <w:szCs w:val="20"/>
                <w:color w:val="auto"/>
              </w:rPr>
            </w:pPr>
            <w:r>
              <w:rPr>
                <w:rFonts w:ascii="Arial" w:cs="Arial" w:eastAsia="Arial" w:hAnsi="Arial"/>
                <w:sz w:val="14"/>
                <w:szCs w:val="14"/>
                <w:b w:val="1"/>
                <w:bCs w:val="1"/>
                <w:color w:val="auto"/>
                <w:w w:val="88"/>
              </w:rPr>
              <w:t>Year ended December 31, 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Insurance</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96"/>
              </w:rPr>
              <w:t>Healthcare</w:t>
            </w:r>
          </w:p>
        </w:tc>
        <w:tc>
          <w:tcPr>
            <w:tcW w:w="1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5"/>
                <w:szCs w:val="15"/>
                <w:b w:val="1"/>
                <w:bCs w:val="1"/>
                <w:color w:val="auto"/>
                <w:w w:val="89"/>
              </w:rPr>
              <w:t>Emerging Business</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tcBorders>
              <w:bottom w:val="single" w:sz="8" w:color="auto"/>
            </w:tcBorders>
            <w:gridSpan w:val="4"/>
            <w:shd w:val="clear" w:color="auto" w:fill="CCEEFF"/>
          </w:tcPr>
          <w:p>
            <w:pPr>
              <w:jc w:val="right"/>
              <w:ind w:right="243"/>
              <w:spacing w:after="0"/>
              <w:rPr>
                <w:sz w:val="20"/>
                <w:szCs w:val="20"/>
                <w:color w:val="auto"/>
              </w:rPr>
            </w:pPr>
            <w:r>
              <w:rPr>
                <w:rFonts w:ascii="Arial" w:cs="Arial" w:eastAsia="Arial" w:hAnsi="Arial"/>
                <w:sz w:val="15"/>
                <w:szCs w:val="15"/>
                <w:b w:val="1"/>
                <w:bCs w:val="1"/>
                <w:color w:val="auto"/>
              </w:rPr>
              <w:t>Analytics</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3"/>
            <w:shd w:val="clear" w:color="auto" w:fill="CCEEFF"/>
          </w:tcPr>
          <w:p>
            <w:pPr>
              <w:jc w:val="right"/>
              <w:ind w:right="415"/>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00" w:type="dxa"/>
            <w:vAlign w:val="bottom"/>
            <w:gridSpan w:val="2"/>
          </w:tcPr>
          <w:p>
            <w:pPr>
              <w:ind w:left="20"/>
              <w:spacing w:after="0"/>
              <w:rPr>
                <w:sz w:val="20"/>
                <w:szCs w:val="20"/>
                <w:color w:val="auto"/>
              </w:rPr>
            </w:pPr>
            <w:r>
              <w:rPr>
                <w:rFonts w:ascii="Arial" w:cs="Arial" w:eastAsia="Arial" w:hAnsi="Arial"/>
                <w:sz w:val="17"/>
                <w:szCs w:val="17"/>
                <w:color w:val="auto"/>
              </w:rPr>
              <w:t>Revenues, net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341,770</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101,315</w:t>
            </w:r>
          </w:p>
        </w:tc>
        <w:tc>
          <w:tcPr>
            <w:tcW w:w="340" w:type="dxa"/>
            <w:vAlign w:val="bottom"/>
            <w:gridSpan w:val="3"/>
          </w:tcPr>
          <w:p>
            <w:pPr>
              <w:ind w:left="16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rPr>
              <w:t>152,670</w:t>
            </w:r>
          </w:p>
        </w:tc>
        <w:tc>
          <w:tcPr>
            <w:tcW w:w="820" w:type="dxa"/>
            <w:vAlign w:val="bottom"/>
            <w:gridSpan w:val="3"/>
          </w:tcPr>
          <w:p>
            <w:pPr>
              <w:jc w:val="right"/>
              <w:ind w:right="523"/>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spacing w:after="0"/>
              <w:rPr>
                <w:sz w:val="20"/>
                <w:szCs w:val="20"/>
                <w:color w:val="auto"/>
              </w:rPr>
            </w:pPr>
            <w:r>
              <w:rPr>
                <w:rFonts w:ascii="Arial" w:cs="Arial" w:eastAsia="Arial" w:hAnsi="Arial"/>
                <w:sz w:val="17"/>
                <w:szCs w:val="17"/>
                <w:color w:val="auto"/>
                <w:w w:val="91"/>
              </w:rPr>
              <w:t>362,679</w:t>
            </w:r>
          </w:p>
        </w:tc>
        <w:tc>
          <w:tcPr>
            <w:tcW w:w="64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958,434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231,884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73,143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89,459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1"/>
              </w:rPr>
              <w:t>229,450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623,936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109,886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28,172</w:t>
            </w:r>
          </w:p>
        </w:tc>
        <w:tc>
          <w:tcPr>
            <w:tcW w:w="340" w:type="dxa"/>
            <w:vAlign w:val="bottom"/>
            <w:gridSpan w:val="3"/>
          </w:tcPr>
          <w:p>
            <w:pPr>
              <w:ind w:left="16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rPr>
              <w:t>63,211</w:t>
            </w:r>
          </w:p>
        </w:tc>
        <w:tc>
          <w:tcPr>
            <w:tcW w:w="820" w:type="dxa"/>
            <w:vAlign w:val="bottom"/>
            <w:gridSpan w:val="3"/>
          </w:tcPr>
          <w:p>
            <w:pPr>
              <w:jc w:val="right"/>
              <w:ind w:right="523"/>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spacing w:after="0"/>
              <w:rPr>
                <w:sz w:val="20"/>
                <w:szCs w:val="20"/>
                <w:color w:val="auto"/>
              </w:rPr>
            </w:pPr>
            <w:r>
              <w:rPr>
                <w:rFonts w:ascii="Arial" w:cs="Arial" w:eastAsia="Arial" w:hAnsi="Arial"/>
                <w:sz w:val="17"/>
                <w:szCs w:val="17"/>
                <w:color w:val="auto"/>
                <w:w w:val="91"/>
              </w:rPr>
              <w:t>133,229</w:t>
            </w:r>
          </w:p>
        </w:tc>
        <w:tc>
          <w:tcPr>
            <w:tcW w:w="64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334,498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224,476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40"/>
          </w:cols>
          <w:pgMar w:left="320" w:top="121" w:right="239" w:bottom="1440" w:gutter="0" w:footer="0" w:header="0"/>
        </w:sectPr>
      </w:pPr>
    </w:p>
    <w:p>
      <w:pPr>
        <w:ind w:left="20" w:right="2280"/>
        <w:spacing w:after="0" w:line="236" w:lineRule="auto"/>
        <w:rPr>
          <w:sz w:val="20"/>
          <w:szCs w:val="20"/>
          <w:color w:val="auto"/>
        </w:rPr>
      </w:pPr>
      <w:r>
        <w:rPr>
          <w:rFonts w:ascii="Arial" w:cs="Arial" w:eastAsia="Arial" w:hAnsi="Arial"/>
          <w:sz w:val="17"/>
          <w:szCs w:val="17"/>
          <w:color w:val="auto"/>
        </w:rPr>
        <w:t>Foreign exchange gain, net, interest expense and other income, net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tax expense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Loss from equity-method investment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w:t>
      </w:r>
    </w:p>
    <w:p>
      <w:pPr>
        <w:spacing w:after="0" w:line="191" w:lineRule="exact"/>
        <w:rPr>
          <w:sz w:val="20"/>
          <w:szCs w:val="20"/>
          <w:color w:val="auto"/>
        </w:rPr>
      </w:pPr>
    </w:p>
    <w:p>
      <w:pPr>
        <w:ind w:left="380" w:right="2240" w:hanging="377"/>
        <w:spacing w:after="0" w:line="871" w:lineRule="auto"/>
        <w:tabs>
          <w:tab w:leader="none" w:pos="192"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Exclusive of depreciation and amortization expense. Revenues, net by service type, were as follows: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160"/>
        <w:spacing w:after="0"/>
        <w:rPr>
          <w:sz w:val="20"/>
          <w:szCs w:val="20"/>
          <w:color w:val="auto"/>
        </w:rPr>
      </w:pPr>
      <w:r>
        <w:rPr>
          <w:rFonts w:ascii="Arial" w:cs="Arial" w:eastAsia="Arial" w:hAnsi="Arial"/>
          <w:sz w:val="17"/>
          <w:szCs w:val="17"/>
          <w:color w:val="auto"/>
        </w:rPr>
        <w:t>5,307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14605</wp:posOffset>
            </wp:positionV>
            <wp:extent cx="7138670" cy="139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jc w:val="right"/>
        <w:ind w:right="160"/>
        <w:spacing w:after="0"/>
        <w:rPr>
          <w:sz w:val="20"/>
          <w:szCs w:val="20"/>
          <w:color w:val="auto"/>
        </w:rPr>
      </w:pPr>
      <w:r>
        <w:rPr>
          <w:rFonts w:ascii="Arial" w:cs="Arial" w:eastAsia="Arial" w:hAnsi="Arial"/>
          <w:sz w:val="17"/>
          <w:szCs w:val="17"/>
          <w:color w:val="auto"/>
        </w:rPr>
        <w:t>25,626</w:t>
      </w:r>
    </w:p>
    <w:p>
      <w:pPr>
        <w:spacing w:after="0" w:line="24" w:lineRule="exact"/>
        <w:rPr>
          <w:sz w:val="20"/>
          <w:szCs w:val="20"/>
          <w:color w:val="auto"/>
        </w:rPr>
      </w:pPr>
    </w:p>
    <w:p>
      <w:pPr>
        <w:jc w:val="right"/>
        <w:ind w:right="160"/>
        <w:spacing w:after="0"/>
        <w:rPr>
          <w:sz w:val="20"/>
          <w:szCs w:val="20"/>
          <w:color w:val="auto"/>
        </w:rPr>
      </w:pPr>
      <w:r>
        <w:rPr>
          <w:rFonts w:ascii="Arial" w:cs="Arial" w:eastAsia="Arial" w:hAnsi="Arial"/>
          <w:sz w:val="17"/>
          <w:szCs w:val="17"/>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14605</wp:posOffset>
            </wp:positionV>
            <wp:extent cx="7138670" cy="163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7" w:lineRule="exact"/>
        <w:rPr>
          <w:sz w:val="20"/>
          <w:szCs w:val="20"/>
          <w:color w:val="auto"/>
        </w:rPr>
      </w:pPr>
    </w:p>
    <w:p>
      <w:pPr>
        <w:jc w:val="both"/>
        <w:ind w:left="3140"/>
        <w:spacing w:after="0"/>
        <w:tabs>
          <w:tab w:leader="none" w:pos="3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89,476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39370</wp:posOffset>
            </wp:positionV>
            <wp:extent cx="8680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868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40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22225</wp:posOffset>
            </wp:positionV>
            <wp:extent cx="26606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7" w:lineRule="exact"/>
        <w:rPr>
          <w:sz w:val="20"/>
          <w:szCs w:val="20"/>
          <w:color w:val="auto"/>
        </w:rPr>
      </w:pPr>
    </w:p>
    <w:p>
      <w:pPr>
        <w:spacing w:after="0"/>
        <w:tabs>
          <w:tab w:leader="none" w:pos="1420" w:val="left"/>
          <w:tab w:leader="none" w:pos="2840" w:val="left"/>
        </w:tabs>
        <w:rPr>
          <w:sz w:val="20"/>
          <w:szCs w:val="20"/>
          <w:color w:val="auto"/>
        </w:rPr>
      </w:pPr>
      <w:r>
        <w:rPr>
          <w:rFonts w:ascii="Arial" w:cs="Arial" w:eastAsia="Arial" w:hAnsi="Arial"/>
          <w:sz w:val="15"/>
          <w:szCs w:val="15"/>
          <w:b w:val="1"/>
          <w:bCs w:val="1"/>
          <w:color w:val="auto"/>
        </w:rPr>
        <w:t>2022</w:t>
      </w:r>
      <w:r>
        <w:rPr>
          <w:sz w:val="20"/>
          <w:szCs w:val="20"/>
          <w:color w:val="auto"/>
        </w:rPr>
        <w:tab/>
      </w:r>
      <w:r>
        <w:rPr>
          <w:rFonts w:ascii="Arial" w:cs="Arial" w:eastAsia="Arial" w:hAnsi="Arial"/>
          <w:sz w:val="15"/>
          <w:szCs w:val="15"/>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49" w:lineRule="exact"/>
        <w:rPr>
          <w:sz w:val="20"/>
          <w:szCs w:val="20"/>
          <w:color w:val="auto"/>
        </w:rPr>
      </w:pPr>
    </w:p>
    <w:p>
      <w:pPr>
        <w:sectPr>
          <w:pgSz w:w="11900" w:h="16838" w:orient="portrait"/>
          <w:cols w:equalWidth="0" w:num="2">
            <w:col w:w="6040" w:space="720"/>
            <w:col w:w="4580"/>
          </w:cols>
          <w:pgMar w:left="320" w:top="121" w:right="239" w:bottom="1440" w:gutter="0" w:footer="0" w:header="0"/>
          <w:type w:val="continuous"/>
        </w:sectPr>
      </w:pPr>
    </w:p>
    <w:tbl>
      <w:tblPr>
        <w:tblLayout w:type="fixed"/>
        <w:tblInd w:w="800" w:type="dxa"/>
        <w:tblCellMar>
          <w:top w:w="0" w:type="dxa"/>
          <w:left w:w="0" w:type="dxa"/>
          <w:bottom w:w="0" w:type="dxa"/>
          <w:right w:w="0" w:type="dxa"/>
        </w:tblCellMar>
      </w:tblPr>
      <w:tr>
        <w:trPr>
          <w:trHeight w:val="199"/>
        </w:trPr>
        <w:tc>
          <w:tcPr>
            <w:tcW w:w="5460" w:type="dxa"/>
            <w:vAlign w:val="bottom"/>
            <w:tcBorders>
              <w:top w:val="single" w:sz="8" w:color="CCEEFF"/>
            </w:tcBorders>
            <w:shd w:val="clear" w:color="auto" w:fill="CCEEFF"/>
          </w:tcPr>
          <w:p>
            <w:pPr>
              <w:ind w:left="20"/>
              <w:spacing w:after="0" w:line="199" w:lineRule="exact"/>
              <w:rPr>
                <w:sz w:val="20"/>
                <w:szCs w:val="20"/>
                <w:color w:val="auto"/>
              </w:rPr>
            </w:pPr>
            <w:r>
              <w:rPr>
                <w:rFonts w:ascii="Arial" w:cs="Arial" w:eastAsia="Arial" w:hAnsi="Arial"/>
                <w:sz w:val="17"/>
                <w:szCs w:val="17"/>
                <w:color w:val="auto"/>
              </w:rPr>
              <w:t>Digital operations and solutions</w:t>
            </w:r>
            <w:r>
              <w:rPr>
                <w:rFonts w:ascii="Arial" w:cs="Arial" w:eastAsia="Arial" w:hAnsi="Arial"/>
                <w:sz w:val="22"/>
                <w:szCs w:val="22"/>
                <w:color w:val="auto"/>
                <w:vertAlign w:val="superscript"/>
              </w:rPr>
              <w:t>(1)</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764,693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661,621</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595,755</w:t>
            </w:r>
          </w:p>
        </w:tc>
      </w:tr>
      <w:tr>
        <w:trPr>
          <w:trHeight w:val="21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 services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647,351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460,672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362,679</w:t>
            </w:r>
          </w:p>
        </w:tc>
      </w:tr>
      <w:tr>
        <w:trPr>
          <w:trHeight w:val="23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1,412,044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1,122,293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958,434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right="580" w:firstLine="390"/>
        <w:spacing w:after="0" w:line="237" w:lineRule="auto"/>
        <w:tabs>
          <w:tab w:leader="none" w:pos="573"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Digital operations and solutions include revenues of the Company’s Insurance, Healthcare and Emerging Business reportable segments. Refer to the reportable segment disclosure above.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attributes the revenues to regions based upon the location of its customers.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800" w:type="dxa"/>
        <w:tblCellMar>
          <w:top w:w="0" w:type="dxa"/>
          <w:left w:w="0" w:type="dxa"/>
          <w:bottom w:w="0" w:type="dxa"/>
          <w:right w:w="0" w:type="dxa"/>
        </w:tblCellMar>
      </w:tblPr>
      <w:tr>
        <w:trPr>
          <w:trHeight w:val="205"/>
        </w:trPr>
        <w:tc>
          <w:tcPr>
            <w:tcW w:w="5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5"/>
                <w:szCs w:val="15"/>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200"/>
        </w:trPr>
        <w:tc>
          <w:tcPr>
            <w:tcW w:w="54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2020</w:t>
            </w:r>
          </w:p>
        </w:tc>
      </w:tr>
      <w:tr>
        <w:trPr>
          <w:trHeight w:val="201"/>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net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8"/>
        </w:trPr>
        <w:tc>
          <w:tcPr>
            <w:tcW w:w="546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1,213,477</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964,059</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814,672</w:t>
            </w:r>
          </w:p>
        </w:tc>
      </w:tr>
      <w:tr>
        <w:trPr>
          <w:trHeight w:val="220"/>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Non-United States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5460" w:type="dxa"/>
            <w:vAlign w:val="bottom"/>
          </w:tcPr>
          <w:p>
            <w:pPr>
              <w:ind w:left="240"/>
              <w:spacing w:after="0"/>
              <w:rPr>
                <w:sz w:val="20"/>
                <w:szCs w:val="20"/>
                <w:color w:val="auto"/>
              </w:rPr>
            </w:pPr>
            <w:r>
              <w:rPr>
                <w:rFonts w:ascii="Arial" w:cs="Arial" w:eastAsia="Arial" w:hAnsi="Arial"/>
                <w:sz w:val="17"/>
                <w:szCs w:val="17"/>
                <w:color w:val="auto"/>
              </w:rPr>
              <w:t>United Kingdom</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134,630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105,734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88,659</w:t>
            </w:r>
          </w:p>
        </w:tc>
      </w:tr>
      <w:tr>
        <w:trPr>
          <w:trHeight w:val="220"/>
        </w:trPr>
        <w:tc>
          <w:tcPr>
            <w:tcW w:w="5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55,103</w:t>
            </w:r>
          </w:p>
        </w:tc>
      </w:tr>
      <w:tr>
        <w:trPr>
          <w:trHeight w:val="211"/>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Non-United States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198,567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158,234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143,762</w:t>
            </w: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1,412,044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1,122,293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958,434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Long-lived assets by geographic area, which consist of property and equipment, net and operating lease right-of-use assets were as follows:</w:t>
      </w:r>
    </w:p>
    <w:p>
      <w:pPr>
        <w:spacing w:after="0" w:line="203" w:lineRule="exact"/>
        <w:rPr>
          <w:sz w:val="20"/>
          <w:szCs w:val="20"/>
          <w:color w:val="auto"/>
        </w:rPr>
      </w:pPr>
    </w:p>
    <w:tbl>
      <w:tblPr>
        <w:tblLayout w:type="fixed"/>
        <w:tblInd w:w="780" w:type="dxa"/>
        <w:tblCellMar>
          <w:top w:w="0" w:type="dxa"/>
          <w:left w:w="0" w:type="dxa"/>
          <w:bottom w:w="0" w:type="dxa"/>
          <w:right w:w="0" w:type="dxa"/>
        </w:tblCellMar>
      </w:tblPr>
      <w:tr>
        <w:trPr>
          <w:trHeight w:val="205"/>
        </w:trPr>
        <w:tc>
          <w:tcPr>
            <w:tcW w:w="6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580" w:type="dxa"/>
            <w:vAlign w:val="bottom"/>
            <w:tcBorders>
              <w:bottom w:val="single" w:sz="8" w:color="auto"/>
            </w:tcBorders>
          </w:tcPr>
          <w:p>
            <w:pPr>
              <w:spacing w:after="0"/>
              <w:rPr>
                <w:sz w:val="17"/>
                <w:szCs w:val="17"/>
                <w:color w:val="auto"/>
              </w:rPr>
            </w:pPr>
          </w:p>
        </w:tc>
      </w:tr>
      <w:tr>
        <w:trPr>
          <w:trHeight w:val="200"/>
        </w:trPr>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5"/>
                <w:szCs w:val="15"/>
                <w:b w:val="1"/>
                <w:bCs w:val="1"/>
                <w:color w:val="auto"/>
              </w:rPr>
              <w:t>December 31, 2022</w:t>
            </w:r>
          </w:p>
        </w:tc>
        <w:tc>
          <w:tcPr>
            <w:tcW w:w="160" w:type="dxa"/>
            <w:vAlign w:val="bottom"/>
          </w:tcPr>
          <w:p>
            <w:pPr>
              <w:spacing w:after="0"/>
              <w:rPr>
                <w:sz w:val="17"/>
                <w:szCs w:val="17"/>
                <w:color w:val="auto"/>
              </w:rPr>
            </w:pPr>
          </w:p>
        </w:tc>
        <w:tc>
          <w:tcPr>
            <w:tcW w:w="1580" w:type="dxa"/>
            <w:vAlign w:val="bottom"/>
          </w:tcPr>
          <w:p>
            <w:pPr>
              <w:jc w:val="right"/>
              <w:ind w:right="176"/>
              <w:spacing w:after="0"/>
              <w:rPr>
                <w:sz w:val="20"/>
                <w:szCs w:val="20"/>
                <w:color w:val="auto"/>
              </w:rPr>
            </w:pPr>
            <w:r>
              <w:rPr>
                <w:rFonts w:ascii="Arial" w:cs="Arial" w:eastAsia="Arial" w:hAnsi="Arial"/>
                <w:sz w:val="15"/>
                <w:szCs w:val="15"/>
                <w:b w:val="1"/>
                <w:bCs w:val="1"/>
                <w:color w:val="auto"/>
                <w:w w:val="96"/>
              </w:rPr>
              <w:t>December 31, 2021</w:t>
            </w:r>
          </w:p>
        </w:tc>
      </w:tr>
      <w:tr>
        <w:trPr>
          <w:trHeight w:val="201"/>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w:t>
            </w: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8"/>
        </w:trPr>
        <w:tc>
          <w:tcPr>
            <w:tcW w:w="604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60,709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50,095</w:t>
            </w:r>
          </w:p>
        </w:tc>
      </w:tr>
      <w:tr>
        <w:trPr>
          <w:trHeight w:val="220"/>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India</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79,604</w:t>
            </w:r>
          </w:p>
        </w:tc>
      </w:tr>
      <w:tr>
        <w:trPr>
          <w:trHeight w:val="218"/>
        </w:trPr>
        <w:tc>
          <w:tcPr>
            <w:tcW w:w="6040" w:type="dxa"/>
            <w:vAlign w:val="bottom"/>
          </w:tcPr>
          <w:p>
            <w:pPr>
              <w:ind w:left="20"/>
              <w:spacing w:after="0"/>
              <w:rPr>
                <w:sz w:val="20"/>
                <w:szCs w:val="20"/>
                <w:color w:val="auto"/>
              </w:rPr>
            </w:pPr>
            <w:r>
              <w:rPr>
                <w:rFonts w:ascii="Arial" w:cs="Arial" w:eastAsia="Arial" w:hAnsi="Arial"/>
                <w:sz w:val="17"/>
                <w:szCs w:val="17"/>
                <w:color w:val="auto"/>
              </w:rPr>
              <w:t>Philippines</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18,406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22,011</w:t>
            </w:r>
          </w:p>
        </w:tc>
      </w:tr>
      <w:tr>
        <w:trPr>
          <w:trHeight w:val="220"/>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10,990</w:t>
            </w:r>
          </w:p>
        </w:tc>
      </w:tr>
      <w:tr>
        <w:trPr>
          <w:trHeight w:val="211"/>
        </w:trPr>
        <w:tc>
          <w:tcPr>
            <w:tcW w:w="604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138,175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162,700</w:t>
            </w: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Revenues, net</w:t>
      </w:r>
    </w:p>
    <w:p>
      <w:pPr>
        <w:spacing w:after="0" w:line="17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Refer to Note 3 - Segment and Geographical Information to the consolidated financial statements for revenues disaggregated by reportable segments and geography.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balances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information about accounts receivable, contract assets and contract liabilities from contracts with customers:</w:t>
      </w:r>
    </w:p>
    <w:p>
      <w:pPr>
        <w:spacing w:after="0" w:line="241" w:lineRule="exact"/>
        <w:rPr>
          <w:sz w:val="20"/>
          <w:szCs w:val="20"/>
          <w:color w:val="auto"/>
        </w:rPr>
      </w:pPr>
    </w:p>
    <w:tbl>
      <w:tblPr>
        <w:tblLayout w:type="fixed"/>
        <w:tblInd w:w="720" w:type="dxa"/>
        <w:tblCellMar>
          <w:top w:w="0" w:type="dxa"/>
          <w:left w:w="0" w:type="dxa"/>
          <w:bottom w:w="0" w:type="dxa"/>
          <w:right w:w="0" w:type="dxa"/>
        </w:tblCellMar>
      </w:tblPr>
      <w:tr>
        <w:trPr>
          <w:trHeight w:val="205"/>
        </w:trPr>
        <w:tc>
          <w:tcPr>
            <w:tcW w:w="5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As of</w:t>
            </w:r>
          </w:p>
        </w:tc>
        <w:tc>
          <w:tcPr>
            <w:tcW w:w="1640" w:type="dxa"/>
            <w:vAlign w:val="bottom"/>
            <w:tcBorders>
              <w:bottom w:val="single" w:sz="8" w:color="auto"/>
            </w:tcBorders>
          </w:tcPr>
          <w:p>
            <w:pPr>
              <w:spacing w:after="0"/>
              <w:rPr>
                <w:sz w:val="17"/>
                <w:szCs w:val="17"/>
                <w:color w:val="auto"/>
              </w:rPr>
            </w:pPr>
          </w:p>
        </w:tc>
      </w:tr>
      <w:tr>
        <w:trPr>
          <w:trHeight w:val="225"/>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 2022</w:t>
            </w:r>
          </w:p>
        </w:tc>
        <w:tc>
          <w:tcPr>
            <w:tcW w:w="200" w:type="dxa"/>
            <w:vAlign w:val="bottom"/>
          </w:tcPr>
          <w:p>
            <w:pPr>
              <w:spacing w:after="0"/>
              <w:rPr>
                <w:sz w:val="19"/>
                <w:szCs w:val="19"/>
                <w:color w:val="auto"/>
              </w:rPr>
            </w:pPr>
          </w:p>
        </w:tc>
        <w:tc>
          <w:tcPr>
            <w:tcW w:w="1640" w:type="dxa"/>
            <w:vAlign w:val="bottom"/>
          </w:tcPr>
          <w:p>
            <w:pPr>
              <w:jc w:val="right"/>
              <w:ind w:right="216"/>
              <w:spacing w:after="0"/>
              <w:rPr>
                <w:sz w:val="20"/>
                <w:szCs w:val="20"/>
                <w:color w:val="auto"/>
              </w:rPr>
            </w:pPr>
            <w:r>
              <w:rPr>
                <w:rFonts w:ascii="Arial" w:cs="Arial" w:eastAsia="Arial" w:hAnsi="Arial"/>
                <w:sz w:val="15"/>
                <w:szCs w:val="15"/>
                <w:b w:val="1"/>
                <w:bCs w:val="1"/>
                <w:color w:val="auto"/>
                <w:w w:val="97"/>
              </w:rPr>
              <w:t>December 31, 2021</w:t>
            </w:r>
          </w:p>
        </w:tc>
      </w:tr>
      <w:tr>
        <w:trPr>
          <w:trHeight w:val="215"/>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259,222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194,232</w:t>
            </w:r>
          </w:p>
        </w:tc>
      </w:tr>
      <w:tr>
        <w:trPr>
          <w:trHeight w:val="218"/>
        </w:trPr>
        <w:tc>
          <w:tcPr>
            <w:tcW w:w="5980" w:type="dxa"/>
            <w:vAlign w:val="bottom"/>
          </w:tcPr>
          <w:p>
            <w:pPr>
              <w:spacing w:after="0"/>
              <w:rPr>
                <w:sz w:val="20"/>
                <w:szCs w:val="20"/>
                <w:color w:val="auto"/>
              </w:rPr>
            </w:pPr>
            <w:r>
              <w:rPr>
                <w:rFonts w:ascii="Arial" w:cs="Arial" w:eastAsia="Arial" w:hAnsi="Arial"/>
                <w:sz w:val="17"/>
                <w:szCs w:val="17"/>
                <w:color w:val="auto"/>
              </w:rPr>
              <w:t>Contract assets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2,768</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2,524</w:t>
            </w:r>
          </w:p>
        </w:tc>
      </w:tr>
      <w:tr>
        <w:trPr>
          <w:trHeight w:val="220"/>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Contract liabilities: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8"/>
        </w:trPr>
        <w:tc>
          <w:tcPr>
            <w:tcW w:w="5980" w:type="dxa"/>
            <w:vAlign w:val="bottom"/>
          </w:tcPr>
          <w:p>
            <w:pPr>
              <w:ind w:left="180"/>
              <w:spacing w:after="0"/>
              <w:rPr>
                <w:sz w:val="20"/>
                <w:szCs w:val="20"/>
                <w:color w:val="auto"/>
              </w:rPr>
            </w:pPr>
            <w:r>
              <w:rPr>
                <w:rFonts w:ascii="Arial" w:cs="Arial" w:eastAsia="Arial" w:hAnsi="Arial"/>
                <w:sz w:val="17"/>
                <w:szCs w:val="17"/>
                <w:color w:val="auto"/>
              </w:rPr>
              <w:t>Deferred revenue (consideration received in advance)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17,079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18,247</w:t>
            </w:r>
          </w:p>
        </w:tc>
      </w:tr>
      <w:tr>
        <w:trPr>
          <w:trHeight w:val="220"/>
        </w:trPr>
        <w:tc>
          <w:tcPr>
            <w:tcW w:w="5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Consideration received for process transition activities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w:t>
            </w:r>
          </w:p>
        </w:tc>
      </w:tr>
    </w:tbl>
    <w:p>
      <w:pPr>
        <w:spacing w:after="0" w:line="220"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Accounts receivable includes $126,027 and $93,336 as of December 31, 2022 and 2021,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2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Contract assets represent upfront payments such as deal signing discounts or deal signing bonuses made to customers. These costs are amortized over the expected period of the benefit and are recorded as an adjustment to transaction price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reduced from revenues. The Company’s assessment did not indicate any impairment losses on its contract assets for the periods presented.</w:t>
      </w:r>
    </w:p>
    <w:p>
      <w:pPr>
        <w:spacing w:after="0" w:line="16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consolidated balance sheets. The revenues are recognized as (or when) the performance obligation is fulfilled under the contract with customer.</w:t>
      </w:r>
    </w:p>
    <w:p>
      <w:pPr>
        <w:spacing w:after="0" w:line="13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Revenue recognized during the years ended December 31, 2022 and 2021, which was included in the contract liabilities balance at the beginning of the respective periods:</w:t>
      </w:r>
    </w:p>
    <w:p>
      <w:pPr>
        <w:spacing w:after="0" w:line="145" w:lineRule="exact"/>
        <w:rPr>
          <w:sz w:val="20"/>
          <w:szCs w:val="20"/>
          <w:color w:val="auto"/>
        </w:rPr>
      </w:pPr>
    </w:p>
    <w:p>
      <w:pPr>
        <w:ind w:left="794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18415</wp:posOffset>
            </wp:positionV>
            <wp:extent cx="19399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17" w:lineRule="exact"/>
        <w:rPr>
          <w:sz w:val="20"/>
          <w:szCs w:val="20"/>
          <w:color w:val="auto"/>
        </w:rPr>
      </w:pPr>
    </w:p>
    <w:p>
      <w:pPr>
        <w:ind w:left="7900"/>
        <w:spacing w:after="0"/>
        <w:tabs>
          <w:tab w:leader="none" w:pos="946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44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Deferred revenue (consideration received in advance)</w:t>
            </w: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30,089</w:t>
            </w:r>
          </w:p>
        </w:tc>
        <w:tc>
          <w:tcPr>
            <w:tcW w:w="400" w:type="dxa"/>
            <w:vAlign w:val="bottom"/>
          </w:tcPr>
          <w:p>
            <w:pPr>
              <w:spacing w:after="0"/>
              <w:rPr>
                <w:sz w:val="19"/>
                <w:szCs w:val="19"/>
                <w:color w:val="auto"/>
              </w:rPr>
            </w:pPr>
          </w:p>
        </w:tc>
      </w:tr>
      <w:tr>
        <w:trPr>
          <w:trHeight w:val="243"/>
        </w:trPr>
        <w:tc>
          <w:tcPr>
            <w:tcW w:w="380" w:type="dxa"/>
            <w:vAlign w:val="bottom"/>
          </w:tcPr>
          <w:p>
            <w:pPr>
              <w:spacing w:after="0"/>
              <w:rPr>
                <w:sz w:val="21"/>
                <w:szCs w:val="21"/>
                <w:color w:val="auto"/>
              </w:rPr>
            </w:pPr>
          </w:p>
        </w:tc>
        <w:tc>
          <w:tcPr>
            <w:tcW w:w="4420" w:type="dxa"/>
            <w:vAlign w:val="bottom"/>
            <w:gridSpan w:val="3"/>
          </w:tcPr>
          <w:p>
            <w:pPr>
              <w:ind w:left="20"/>
              <w:spacing w:after="0"/>
              <w:rPr>
                <w:sz w:val="20"/>
                <w:szCs w:val="20"/>
                <w:color w:val="auto"/>
              </w:rPr>
            </w:pPr>
            <w:r>
              <w:rPr>
                <w:rFonts w:ascii="Arial" w:cs="Arial" w:eastAsia="Arial" w:hAnsi="Arial"/>
                <w:sz w:val="17"/>
                <w:szCs w:val="17"/>
                <w:color w:val="auto"/>
              </w:rPr>
              <w:t>Consideration received for process transition activities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19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1,635</w:t>
            </w:r>
          </w:p>
        </w:tc>
        <w:tc>
          <w:tcPr>
            <w:tcW w:w="10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1,886</w:t>
            </w:r>
          </w:p>
        </w:tc>
        <w:tc>
          <w:tcPr>
            <w:tcW w:w="400" w:type="dxa"/>
            <w:vAlign w:val="bottom"/>
          </w:tcPr>
          <w:p>
            <w:pPr>
              <w:spacing w:after="0"/>
              <w:rPr>
                <w:sz w:val="21"/>
                <w:szCs w:val="21"/>
                <w:color w:val="auto"/>
              </w:rPr>
            </w:pPr>
          </w:p>
        </w:tc>
      </w:tr>
      <w:tr>
        <w:trPr>
          <w:trHeight w:val="414"/>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0"/>
              </w:rPr>
              <w:t>Contract acquisition and fulfillment costs</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7280" w:type="dxa"/>
            <w:vAlign w:val="bottom"/>
            <w:gridSpan w:val="9"/>
          </w:tcPr>
          <w:p>
            <w:pPr>
              <w:ind w:left="380"/>
              <w:spacing w:after="0"/>
              <w:rPr>
                <w:sz w:val="20"/>
                <w:szCs w:val="20"/>
                <w:color w:val="auto"/>
              </w:rPr>
            </w:pPr>
            <w:r>
              <w:rPr>
                <w:rFonts w:ascii="Arial" w:cs="Arial" w:eastAsia="Arial" w:hAnsi="Arial"/>
                <w:sz w:val="17"/>
                <w:szCs w:val="17"/>
                <w:color w:val="auto"/>
                <w:w w:val="96"/>
              </w:rPr>
              <w:t>The following table provides details of the Company’s contract acquisition and fulfillment costs: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86"/>
        </w:trPr>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4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5"/>
                <w:szCs w:val="15"/>
                <w:b w:val="1"/>
                <w:bCs w:val="1"/>
                <w:color w:val="auto"/>
              </w:rPr>
              <w:t>Contract Acquisition Costs</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5"/>
                <w:szCs w:val="15"/>
                <w:b w:val="1"/>
                <w:bCs w:val="1"/>
                <w:color w:val="auto"/>
                <w:w w:val="94"/>
              </w:rPr>
              <w:t>Contract Fulfillment Costs</w:t>
            </w:r>
          </w:p>
        </w:tc>
      </w:tr>
      <w:tr>
        <w:trPr>
          <w:trHeight w:val="200"/>
        </w:trPr>
        <w:tc>
          <w:tcPr>
            <w:tcW w:w="380" w:type="dxa"/>
            <w:vAlign w:val="bottom"/>
            <w:tcBorders>
              <w:bottom w:val="single" w:sz="8" w:color="CCEEFF"/>
            </w:tcBorders>
          </w:tcPr>
          <w:p>
            <w:pPr>
              <w:spacing w:after="0"/>
              <w:rPr>
                <w:sz w:val="17"/>
                <w:szCs w:val="17"/>
                <w:color w:val="auto"/>
              </w:rPr>
            </w:pPr>
          </w:p>
        </w:tc>
        <w:tc>
          <w:tcPr>
            <w:tcW w:w="26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304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5"/>
                <w:szCs w:val="15"/>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5"/>
                <w:szCs w:val="15"/>
                <w:b w:val="1"/>
                <w:bCs w:val="1"/>
                <w:color w:val="auto"/>
                <w:w w:val="91"/>
              </w:rPr>
              <w:t>Year ended December 31,</w:t>
            </w:r>
          </w:p>
        </w:tc>
      </w:tr>
      <w:tr>
        <w:trPr>
          <w:trHeight w:val="201"/>
        </w:trPr>
        <w:tc>
          <w:tcPr>
            <w:tcW w:w="3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2022</w:t>
            </w: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5"/>
                <w:szCs w:val="15"/>
                <w:b w:val="1"/>
                <w:bCs w:val="1"/>
                <w:color w:val="auto"/>
              </w:rPr>
              <w:t>2021</w:t>
            </w:r>
          </w:p>
        </w:tc>
        <w:tc>
          <w:tcPr>
            <w:tcW w:w="400" w:type="dxa"/>
            <w:vAlign w:val="bottom"/>
            <w:tcBorders>
              <w:bottom w:val="single" w:sz="8" w:color="auto"/>
            </w:tcBorders>
            <w:shd w:val="clear" w:color="auto" w:fill="CCEEFF"/>
          </w:tcPr>
          <w:p>
            <w:pPr>
              <w:spacing w:after="0"/>
              <w:rPr>
                <w:sz w:val="17"/>
                <w:szCs w:val="17"/>
                <w:color w:val="auto"/>
              </w:rPr>
            </w:pPr>
          </w:p>
        </w:tc>
      </w:tr>
      <w:tr>
        <w:trPr>
          <w:trHeight w:val="211"/>
        </w:trPr>
        <w:tc>
          <w:tcPr>
            <w:tcW w:w="3040" w:type="dxa"/>
            <w:vAlign w:val="bottom"/>
            <w:gridSpan w:val="2"/>
          </w:tcPr>
          <w:p>
            <w:pPr>
              <w:ind w:left="20"/>
              <w:spacing w:after="0"/>
              <w:rPr>
                <w:sz w:val="20"/>
                <w:szCs w:val="20"/>
                <w:color w:val="auto"/>
              </w:rPr>
            </w:pPr>
            <w:r>
              <w:rPr>
                <w:rFonts w:ascii="Arial" w:cs="Arial" w:eastAsia="Arial" w:hAnsi="Arial"/>
                <w:sz w:val="17"/>
                <w:szCs w:val="17"/>
                <w:color w:val="auto"/>
              </w:rPr>
              <w:t>Opening Balance</w:t>
            </w:r>
          </w:p>
        </w:tc>
        <w:tc>
          <w:tcPr>
            <w:tcW w:w="1760" w:type="dxa"/>
            <w:vAlign w:val="bottom"/>
            <w:gridSpan w:val="2"/>
          </w:tcPr>
          <w:p>
            <w:pPr>
              <w:jc w:val="right"/>
              <w:ind w:right="104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511</w:t>
            </w:r>
          </w:p>
        </w:tc>
        <w:tc>
          <w:tcPr>
            <w:tcW w:w="100" w:type="dxa"/>
            <w:vAlign w:val="bottom"/>
          </w:tcPr>
          <w:p>
            <w:pPr>
              <w:spacing w:after="0"/>
              <w:rPr>
                <w:sz w:val="18"/>
                <w:szCs w:val="18"/>
                <w:color w:val="auto"/>
              </w:rPr>
            </w:pPr>
          </w:p>
        </w:tc>
        <w:tc>
          <w:tcPr>
            <w:tcW w:w="1120" w:type="dxa"/>
            <w:vAlign w:val="bottom"/>
          </w:tcPr>
          <w:p>
            <w:pPr>
              <w:jc w:val="right"/>
              <w:ind w:right="937"/>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18"/>
                <w:szCs w:val="18"/>
                <w:color w:val="auto"/>
              </w:rPr>
            </w:pPr>
          </w:p>
        </w:tc>
        <w:tc>
          <w:tcPr>
            <w:tcW w:w="460" w:type="dxa"/>
            <w:vAlign w:val="bottom"/>
            <w:gridSpan w:val="2"/>
          </w:tcPr>
          <w:p>
            <w:pPr>
              <w:jc w:val="right"/>
              <w:ind w:right="274"/>
              <w:spacing w:after="0"/>
              <w:rPr>
                <w:sz w:val="20"/>
                <w:szCs w:val="20"/>
                <w:color w:val="auto"/>
              </w:rPr>
            </w:pPr>
            <w:r>
              <w:rPr>
                <w:rFonts w:ascii="Arial" w:cs="Arial" w:eastAsia="Arial" w:hAnsi="Arial"/>
                <w:sz w:val="17"/>
                <w:szCs w:val="17"/>
                <w:color w:val="auto"/>
                <w:w w:val="84"/>
              </w:rPr>
              <w:t>$</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5,795</w:t>
            </w:r>
          </w:p>
        </w:tc>
        <w:tc>
          <w:tcPr>
            <w:tcW w:w="8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center"/>
              <w:ind w:left="615"/>
              <w:spacing w:after="0"/>
              <w:rPr>
                <w:sz w:val="20"/>
                <w:szCs w:val="20"/>
                <w:color w:val="auto"/>
              </w:rPr>
            </w:pPr>
            <w:r>
              <w:rPr>
                <w:rFonts w:ascii="Arial" w:cs="Arial" w:eastAsia="Arial" w:hAnsi="Arial"/>
                <w:sz w:val="17"/>
                <w:szCs w:val="17"/>
                <w:color w:val="auto"/>
                <w:w w:val="89"/>
              </w:rPr>
              <w:t>5,631</w:t>
            </w:r>
          </w:p>
        </w:tc>
      </w:tr>
      <w:tr>
        <w:trPr>
          <w:trHeight w:val="22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15,509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15"/>
              <w:spacing w:after="0"/>
              <w:rPr>
                <w:sz w:val="20"/>
                <w:szCs w:val="20"/>
                <w:color w:val="auto"/>
              </w:rPr>
            </w:pPr>
            <w:r>
              <w:rPr>
                <w:rFonts w:ascii="Arial" w:cs="Arial" w:eastAsia="Arial" w:hAnsi="Arial"/>
                <w:sz w:val="17"/>
                <w:szCs w:val="17"/>
                <w:color w:val="auto"/>
                <w:w w:val="89"/>
              </w:rPr>
              <w:t>3,742</w:t>
            </w:r>
          </w:p>
        </w:tc>
      </w:tr>
      <w:tr>
        <w:trPr>
          <w:trHeight w:val="218"/>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Amortization</w:t>
            </w:r>
          </w:p>
        </w:tc>
        <w:tc>
          <w:tcPr>
            <w:tcW w:w="5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(7,433)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7"/>
                <w:szCs w:val="17"/>
                <w:color w:val="auto"/>
                <w:w w:val="92"/>
              </w:rPr>
              <w:t>(3,578)</w:t>
            </w:r>
          </w:p>
        </w:tc>
      </w:tr>
      <w:tr>
        <w:trPr>
          <w:trHeight w:val="233"/>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Closing Balance</w:t>
            </w:r>
          </w:p>
        </w:tc>
        <w:tc>
          <w:tcPr>
            <w:tcW w:w="1760" w:type="dxa"/>
            <w:vAlign w:val="bottom"/>
            <w:gridSpan w:val="2"/>
            <w:shd w:val="clear" w:color="auto" w:fill="CCEEFF"/>
          </w:tcPr>
          <w:p>
            <w:pPr>
              <w:jc w:val="right"/>
              <w:ind w:right="104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13,871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center"/>
              <w:ind w:left="615"/>
              <w:spacing w:after="0"/>
              <w:rPr>
                <w:sz w:val="20"/>
                <w:szCs w:val="20"/>
                <w:color w:val="auto"/>
              </w:rPr>
            </w:pPr>
            <w:r>
              <w:rPr>
                <w:rFonts w:ascii="Arial" w:cs="Arial" w:eastAsia="Arial" w:hAnsi="Arial"/>
                <w:sz w:val="17"/>
                <w:szCs w:val="17"/>
                <w:color w:val="auto"/>
                <w:w w:val="89"/>
              </w:rPr>
              <w:t>5,795</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There was no impairment for contract acquisition and contract fulfillment costs as of December 31, 2022 and 2021. The capitalized costs are amortized over the expected period of benefit of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expected credit losses</w:t>
      </w:r>
    </w:p>
    <w:p>
      <w:pPr>
        <w:spacing w:after="0" w:line="146" w:lineRule="exact"/>
        <w:rPr>
          <w:sz w:val="20"/>
          <w:szCs w:val="20"/>
          <w:color w:val="auto"/>
        </w:rPr>
      </w:pPr>
    </w:p>
    <w:p>
      <w:pPr>
        <w:jc w:val="both"/>
        <w:ind w:firstLine="387"/>
        <w:spacing w:after="0" w:line="289" w:lineRule="auto"/>
        <w:rPr>
          <w:sz w:val="20"/>
          <w:szCs w:val="20"/>
          <w:color w:val="auto"/>
        </w:rPr>
      </w:pPr>
      <w:r>
        <w:rPr>
          <w:rFonts w:ascii="Arial" w:cs="Arial" w:eastAsia="Arial" w:hAnsi="Arial"/>
          <w:sz w:val="15"/>
          <w:szCs w:val="15"/>
          <w:color w:val="auto"/>
        </w:rPr>
        <w:t>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w:t>
      </w:r>
    </w:p>
    <w:p>
      <w:pPr>
        <w:spacing w:after="0" w:line="122"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6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5"/>
                <w:szCs w:val="15"/>
                <w:b w:val="1"/>
                <w:bCs w:val="1"/>
                <w:color w:val="auto"/>
              </w:rPr>
              <w:t>As of</w:t>
            </w:r>
          </w:p>
        </w:tc>
        <w:tc>
          <w:tcPr>
            <w:tcW w:w="1720" w:type="dxa"/>
            <w:vAlign w:val="bottom"/>
            <w:tcBorders>
              <w:bottom w:val="single" w:sz="8" w:color="auto"/>
            </w:tcBorders>
          </w:tcPr>
          <w:p>
            <w:pPr>
              <w:spacing w:after="0"/>
              <w:rPr>
                <w:sz w:val="17"/>
                <w:szCs w:val="17"/>
                <w:color w:val="auto"/>
              </w:rPr>
            </w:pPr>
          </w:p>
        </w:tc>
      </w:tr>
      <w:tr>
        <w:trPr>
          <w:trHeight w:val="176"/>
        </w:trPr>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 2022</w:t>
            </w:r>
          </w:p>
        </w:tc>
        <w:tc>
          <w:tcPr>
            <w:tcW w:w="220" w:type="dxa"/>
            <w:vAlign w:val="bottom"/>
          </w:tcPr>
          <w:p>
            <w:pPr>
              <w:spacing w:after="0"/>
              <w:rPr>
                <w:sz w:val="15"/>
                <w:szCs w:val="15"/>
                <w:color w:val="auto"/>
              </w:rPr>
            </w:pPr>
          </w:p>
        </w:tc>
        <w:tc>
          <w:tcPr>
            <w:tcW w:w="1720" w:type="dxa"/>
            <w:vAlign w:val="bottom"/>
          </w:tcPr>
          <w:p>
            <w:pPr>
              <w:jc w:val="right"/>
              <w:ind w:right="276"/>
              <w:spacing w:after="0"/>
              <w:rPr>
                <w:sz w:val="20"/>
                <w:szCs w:val="20"/>
                <w:color w:val="auto"/>
              </w:rPr>
            </w:pPr>
            <w:r>
              <w:rPr>
                <w:rFonts w:ascii="Arial" w:cs="Arial" w:eastAsia="Arial" w:hAnsi="Arial"/>
                <w:sz w:val="15"/>
                <w:szCs w:val="15"/>
                <w:b w:val="1"/>
                <w:bCs w:val="1"/>
                <w:color w:val="auto"/>
                <w:w w:val="99"/>
              </w:rPr>
              <w:t>December 31, 2021</w:t>
            </w:r>
          </w:p>
        </w:tc>
      </w:tr>
      <w:tr>
        <w:trPr>
          <w:trHeight w:val="212"/>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receivable, including unbilled receivables</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260,554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194,805</w:t>
            </w:r>
          </w:p>
        </w:tc>
      </w:tr>
      <w:tr>
        <w:trPr>
          <w:trHeight w:val="218"/>
        </w:trPr>
        <w:tc>
          <w:tcPr>
            <w:tcW w:w="6300" w:type="dxa"/>
            <w:vAlign w:val="bottom"/>
            <w:gridSpan w:val="2"/>
          </w:tcPr>
          <w:p>
            <w:pPr>
              <w:ind w:left="20"/>
              <w:spacing w:after="0"/>
              <w:rPr>
                <w:sz w:val="20"/>
                <w:szCs w:val="20"/>
                <w:color w:val="auto"/>
              </w:rPr>
            </w:pPr>
            <w:r>
              <w:rPr>
                <w:rFonts w:ascii="Arial" w:cs="Arial" w:eastAsia="Arial" w:hAnsi="Arial"/>
                <w:sz w:val="17"/>
                <w:szCs w:val="17"/>
                <w:color w:val="auto"/>
              </w:rPr>
              <w:t>Less: Allowance for expected credit losses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(1,332)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(573)</w:t>
            </w:r>
          </w:p>
        </w:tc>
      </w:tr>
      <w:tr>
        <w:trPr>
          <w:trHeight w:val="232"/>
        </w:trPr>
        <w:tc>
          <w:tcPr>
            <w:tcW w:w="6220" w:type="dxa"/>
            <w:vAlign w:val="bottom"/>
            <w:tcBorders>
              <w:top w:val="single" w:sz="8" w:color="CCEEFF"/>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b w:val="1"/>
                <w:bCs w:val="1"/>
                <w:color w:val="auto"/>
              </w:rPr>
              <w:t>Accounts receivable, net</w:t>
            </w: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line="187" w:lineRule="exact"/>
              <w:rPr>
                <w:sz w:val="20"/>
                <w:szCs w:val="20"/>
                <w:color w:val="auto"/>
              </w:rPr>
            </w:pPr>
            <w:r>
              <w:rPr>
                <w:rFonts w:ascii="Arial" w:cs="Arial" w:eastAsia="Arial" w:hAnsi="Arial"/>
                <w:sz w:val="17"/>
                <w:szCs w:val="17"/>
                <w:b w:val="1"/>
                <w:bCs w:val="1"/>
                <w:color w:val="auto"/>
                <w:w w:val="84"/>
              </w:rPr>
              <w:t>$</w:t>
            </w:r>
          </w:p>
        </w:tc>
        <w:tc>
          <w:tcPr>
            <w:tcW w:w="172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b w:val="1"/>
                <w:bCs w:val="1"/>
                <w:color w:val="auto"/>
              </w:rPr>
              <w:t>259,222</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4"/>
              <w:spacing w:after="0" w:line="187" w:lineRule="exact"/>
              <w:rPr>
                <w:sz w:val="20"/>
                <w:szCs w:val="20"/>
                <w:color w:val="auto"/>
              </w:rPr>
            </w:pPr>
            <w:r>
              <w:rPr>
                <w:rFonts w:ascii="Arial" w:cs="Arial" w:eastAsia="Arial" w:hAnsi="Arial"/>
                <w:sz w:val="17"/>
                <w:szCs w:val="17"/>
                <w:b w:val="1"/>
                <w:bCs w:val="1"/>
                <w:color w:val="auto"/>
                <w:w w:val="84"/>
              </w:rPr>
              <w:t>$</w:t>
            </w:r>
          </w:p>
        </w:tc>
        <w:tc>
          <w:tcPr>
            <w:tcW w:w="172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b w:val="1"/>
                <w:bCs w:val="1"/>
                <w:color w:val="auto"/>
              </w:rPr>
              <w:t>194,232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720" w:type="dxa"/>
            <w:vAlign w:val="bottom"/>
            <w:tcBorders>
              <w:top w:val="single" w:sz="8" w:color="CCEEFF"/>
            </w:tcBorders>
            <w:shd w:val="clear" w:color="auto" w:fill="000000"/>
          </w:tcPr>
          <w:p>
            <w:pPr>
              <w:spacing w:after="0" w:line="20" w:lineRule="exact"/>
              <w:rPr>
                <w:sz w:val="1"/>
                <w:szCs w:val="1"/>
                <w:color w:val="auto"/>
              </w:rPr>
            </w:pPr>
          </w:p>
        </w:tc>
      </w:tr>
    </w:tbl>
    <w:p>
      <w:pPr>
        <w:spacing w:after="0" w:line="20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movement in “Allowance for expected credit losses” on customer balances was as follows: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40" w:type="dxa"/>
            <w:vAlign w:val="bottom"/>
          </w:tcPr>
          <w:p>
            <w:pPr>
              <w:spacing w:after="0"/>
              <w:rPr>
                <w:sz w:val="17"/>
                <w:szCs w:val="17"/>
                <w:color w:val="auto"/>
              </w:rPr>
            </w:pPr>
          </w:p>
        </w:tc>
        <w:tc>
          <w:tcPr>
            <w:tcW w:w="2780" w:type="dxa"/>
            <w:vAlign w:val="bottom"/>
            <w:tcBorders>
              <w:bottom w:val="single" w:sz="8" w:color="auto"/>
            </w:tcBorders>
            <w:gridSpan w:val="4"/>
          </w:tcPr>
          <w:p>
            <w:pPr>
              <w:ind w:left="800"/>
              <w:spacing w:after="0"/>
              <w:rPr>
                <w:sz w:val="20"/>
                <w:szCs w:val="20"/>
                <w:color w:val="auto"/>
              </w:rPr>
            </w:pPr>
            <w:r>
              <w:rPr>
                <w:rFonts w:ascii="Arial" w:cs="Arial" w:eastAsia="Arial" w:hAnsi="Arial"/>
                <w:sz w:val="15"/>
                <w:szCs w:val="15"/>
                <w:b w:val="1"/>
                <w:bCs w:val="1"/>
                <w:color w:val="auto"/>
              </w:rPr>
              <w:t>Year ended December 31,</w:t>
            </w:r>
          </w:p>
        </w:tc>
        <w:tc>
          <w:tcPr>
            <w:tcW w:w="520" w:type="dxa"/>
            <w:vAlign w:val="bottom"/>
            <w:tcBorders>
              <w:bottom w:val="single" w:sz="8" w:color="auto"/>
            </w:tcBorders>
          </w:tcPr>
          <w:p>
            <w:pPr>
              <w:spacing w:after="0"/>
              <w:rPr>
                <w:sz w:val="17"/>
                <w:szCs w:val="17"/>
                <w:color w:val="auto"/>
              </w:rPr>
            </w:pPr>
          </w:p>
        </w:tc>
      </w:tr>
      <w:tr>
        <w:trPr>
          <w:trHeight w:val="176"/>
        </w:trPr>
        <w:tc>
          <w:tcPr>
            <w:tcW w:w="79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b w:val="1"/>
                <w:bCs w:val="1"/>
                <w:color w:val="auto"/>
              </w:rPr>
              <w:t>2022</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5"/>
                <w:szCs w:val="15"/>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Balance</w:t>
            </w: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Additions / (reductions)</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815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(496)</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due to write-off of Accounts Receivables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18"/>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Translation adjustment</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794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7"/>
                <w:szCs w:val="17"/>
                <w:b w:val="1"/>
                <w:bCs w:val="1"/>
                <w:color w:val="auto"/>
              </w:rPr>
              <w:t>Closing Balance</w:t>
            </w:r>
          </w:p>
        </w:tc>
        <w:tc>
          <w:tcPr>
            <w:tcW w:w="1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1,332</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573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68"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To reduce the credit risk, the Company conducts ongoing credit evaluations of its customers. No client accounted for more than 10% of accounts receivable, net as of December 31, 2022 and 2021.</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Earnings Per Share</w:t>
      </w:r>
    </w:p>
    <w:p>
      <w:pPr>
        <w:spacing w:after="0" w:line="236" w:lineRule="exact"/>
        <w:rPr>
          <w:sz w:val="20"/>
          <w:szCs w:val="20"/>
          <w:color w:val="auto"/>
        </w:rPr>
      </w:pPr>
    </w:p>
    <w:p>
      <w:pPr>
        <w:jc w:val="both"/>
        <w:ind w:firstLine="387"/>
        <w:spacing w:after="0" w:line="239"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restricted stock units and common stock to be issued under the ESPP) issued and outstanding at the reporting date, and an assumed conversion premium of outstanding convertible notes, using the treasury stock method (as discussed further in the subsequent paragraph). Common stock equivalents that are anti-dilutive are excluded from the computation of weighted average shares outstanding.</w:t>
      </w:r>
    </w:p>
    <w:p>
      <w:pPr>
        <w:spacing w:after="0" w:line="211" w:lineRule="exact"/>
        <w:rPr>
          <w:sz w:val="20"/>
          <w:szCs w:val="20"/>
          <w:color w:val="auto"/>
        </w:rPr>
      </w:pPr>
    </w:p>
    <w:p>
      <w:pPr>
        <w:jc w:val="both"/>
        <w:ind w:firstLine="387"/>
        <w:spacing w:after="0" w:line="242" w:lineRule="auto"/>
        <w:rPr>
          <w:sz w:val="20"/>
          <w:szCs w:val="20"/>
          <w:color w:val="auto"/>
        </w:rPr>
      </w:pPr>
      <w:r>
        <w:rPr>
          <w:rFonts w:ascii="Arial" w:cs="Arial" w:eastAsia="Arial" w:hAnsi="Arial"/>
          <w:sz w:val="16"/>
          <w:szCs w:val="16"/>
          <w:color w:val="auto"/>
        </w:rPr>
        <w:t>In 2021, diluted weighted-average shares outstanding was affected by the treatment of the Company’s 3.5% per annum Convertible Senior Notes due October 1, 2024 (the “Notes”). The Company had a choice to settle the Notes in cash, shares or any combination of the two. The Company had the ability to settle the principal balance of the Notes in cash, and as such, the Company applied the treasury stock method. The dilution related to the conversion premium, if any, of the Notes is included in the calculation of diluted weighted-average shares outstanding for the portion of the period until actual settlement and to the extent the issuance is dilutive based on the average stock price during the reporting period being greater than the conversion price of $75. During the third quarter of 2021, the Company settled the Notes by electing a combination of cash and shares of the Company’s common stock and as such included the count of shares issued on settlement in the calculation of basic earnings per share for the portion of the period outstanding.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21"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6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5"/>
                <w:szCs w:val="15"/>
                <w:b w:val="1"/>
                <w:bCs w:val="1"/>
                <w:color w:val="auto"/>
                <w:w w:val="90"/>
              </w:rPr>
              <w:t>Year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1"/>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142,968</w:t>
            </w: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114,758</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89,476</w:t>
            </w:r>
          </w:p>
        </w:tc>
        <w:tc>
          <w:tcPr>
            <w:tcW w:w="0" w:type="dxa"/>
            <w:vAlign w:val="bottom"/>
          </w:tcPr>
          <w:p>
            <w:pPr>
              <w:spacing w:after="0"/>
              <w:rPr>
                <w:sz w:val="1"/>
                <w:szCs w:val="1"/>
                <w:color w:val="auto"/>
              </w:rPr>
            </w:pP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Pr>
          <w:p>
            <w:pPr>
              <w:ind w:left="340"/>
              <w:spacing w:after="0"/>
              <w:rPr>
                <w:sz w:val="20"/>
                <w:szCs w:val="20"/>
                <w:color w:val="auto"/>
              </w:rPr>
            </w:pPr>
            <w:r>
              <w:rPr>
                <w:rFonts w:ascii="Arial" w:cs="Arial" w:eastAsia="Arial" w:hAnsi="Arial"/>
                <w:sz w:val="17"/>
                <w:szCs w:val="17"/>
                <w:color w:val="auto"/>
              </w:rPr>
              <w:t>Basic weighted average common shares outstanding</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33,330,317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33,549,275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34,273,388</w:t>
            </w:r>
          </w:p>
        </w:tc>
        <w:tc>
          <w:tcPr>
            <w:tcW w:w="0" w:type="dxa"/>
            <w:vAlign w:val="bottom"/>
          </w:tcPr>
          <w:p>
            <w:pPr>
              <w:spacing w:after="0"/>
              <w:rPr>
                <w:sz w:val="1"/>
                <w:szCs w:val="1"/>
                <w:color w:val="auto"/>
              </w:rPr>
            </w:pPr>
          </w:p>
        </w:tc>
      </w:tr>
      <w:tr>
        <w:trPr>
          <w:trHeight w:val="220"/>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Dilutive effect of share-based awards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503,541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254,717</w:t>
            </w: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Dilutive effect of conversion premium on the Notes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286,510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27,059</w:t>
            </w:r>
          </w:p>
        </w:tc>
        <w:tc>
          <w:tcPr>
            <w:tcW w:w="0" w:type="dxa"/>
            <w:vAlign w:val="bottom"/>
          </w:tcPr>
          <w:p>
            <w:pPr>
              <w:spacing w:after="0"/>
              <w:rPr>
                <w:sz w:val="1"/>
                <w:szCs w:val="1"/>
                <w:color w:val="auto"/>
              </w:rPr>
            </w:pPr>
          </w:p>
        </w:tc>
      </w:tr>
      <w:tr>
        <w:trPr>
          <w:trHeight w:val="237"/>
        </w:trPr>
        <w:tc>
          <w:tcPr>
            <w:tcW w:w="6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weighted average common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33,833,858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34,244,478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34,555,164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share attributable to ExlService Holdings, Inc.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4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18"/>
        </w:trPr>
        <w:tc>
          <w:tcPr>
            <w:tcW w:w="6460" w:type="dxa"/>
            <w:vAlign w:val="bottom"/>
          </w:tcPr>
          <w:p>
            <w:pPr>
              <w:ind w:left="640"/>
              <w:spacing w:after="0"/>
              <w:rPr>
                <w:sz w:val="20"/>
                <w:szCs w:val="20"/>
                <w:color w:val="auto"/>
              </w:rPr>
            </w:pPr>
            <w:r>
              <w:rPr>
                <w:rFonts w:ascii="Arial" w:cs="Arial" w:eastAsia="Arial" w:hAnsi="Arial"/>
                <w:sz w:val="17"/>
                <w:szCs w:val="17"/>
                <w:color w:val="auto"/>
              </w:rPr>
              <w:t>Diluted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4.23</w:t>
            </w:r>
          </w:p>
        </w:tc>
        <w:tc>
          <w:tcPr>
            <w:tcW w:w="4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3.35</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182"/>
        </w:trPr>
        <w:tc>
          <w:tcPr>
            <w:tcW w:w="646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w w:val="97"/>
              </w:rPr>
              <w:t>Weighted average potentially dilutive shares considered anti-dilutive and not included in</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computing diluted earnings per share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289,061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Other Income/(Loss), net</w:t>
      </w:r>
    </w:p>
    <w:p>
      <w:pPr>
        <w:spacing w:after="0" w:line="24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Other income/(loss), net consists of the following:</w:t>
      </w:r>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6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5"/>
                <w:szCs w:val="15"/>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00"/>
        </w:trPr>
        <w:tc>
          <w:tcPr>
            <w:tcW w:w="68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2020</w:t>
            </w:r>
          </w:p>
        </w:tc>
      </w:tr>
      <w:tr>
        <w:trPr>
          <w:trHeight w:val="214"/>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and mark-to-market on investments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9,615</w:t>
            </w:r>
          </w:p>
        </w:tc>
      </w:tr>
      <w:tr>
        <w:trPr>
          <w:trHeight w:val="244"/>
        </w:trPr>
        <w:tc>
          <w:tcPr>
            <w:tcW w:w="6800" w:type="dxa"/>
            <w:vAlign w:val="bottom"/>
          </w:tcPr>
          <w:p>
            <w:pPr>
              <w:ind w:left="20"/>
              <w:spacing w:after="0"/>
              <w:rPr>
                <w:sz w:val="20"/>
                <w:szCs w:val="20"/>
                <w:color w:val="auto"/>
              </w:rPr>
            </w:pPr>
            <w:r>
              <w:rPr>
                <w:rFonts w:ascii="Arial" w:cs="Arial" w:eastAsia="Arial" w:hAnsi="Arial"/>
                <w:sz w:val="17"/>
                <w:szCs w:val="17"/>
                <w:color w:val="auto"/>
              </w:rPr>
              <w:t>Interest and dividend income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2,501</w:t>
            </w:r>
          </w:p>
        </w:tc>
      </w:tr>
      <w:tr>
        <w:trPr>
          <w:trHeight w:val="220"/>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changes of contingent consideration*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Others,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r>
      <w:tr>
        <w:trPr>
          <w:trHeight w:val="23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income/(loss), net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12,065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520" w:hanging="130"/>
        <w:spacing w:after="0"/>
        <w:tabs>
          <w:tab w:leader="none" w:pos="5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Refer to Note 10 - Business Combinations, Goodwill and Other Intangible Assets to the consolidated financial statements for further details.</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180" w:hanging="177"/>
        <w:spacing w:after="0"/>
        <w:tabs>
          <w:tab w:leader="none" w:pos="1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Cash, Cash Equivalents and Restricted Cash</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purposes of statements of cash flows, cash, cash equivalents and restricted cash consist of the following:</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ind w:left="54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4"/>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79"/>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5"/>
                <w:szCs w:val="15"/>
                <w:color w:val="auto"/>
              </w:rPr>
            </w:pPr>
          </w:p>
        </w:tc>
        <w:tc>
          <w:tcPr>
            <w:tcW w:w="1520" w:type="dxa"/>
            <w:vAlign w:val="bottom"/>
          </w:tcPr>
          <w:p>
            <w:pPr>
              <w:jc w:val="right"/>
              <w:ind w:right="218"/>
              <w:spacing w:after="0"/>
              <w:rPr>
                <w:sz w:val="20"/>
                <w:szCs w:val="20"/>
                <w:color w:val="auto"/>
              </w:rPr>
            </w:pPr>
            <w:r>
              <w:rPr>
                <w:rFonts w:ascii="Arial" w:cs="Arial" w:eastAsia="Arial" w:hAnsi="Arial"/>
                <w:sz w:val="14"/>
                <w:szCs w:val="14"/>
                <w:b w:val="1"/>
                <w:bCs w:val="1"/>
                <w:color w:val="auto"/>
                <w:w w:val="95"/>
              </w:rPr>
              <w:t>December 31, 2020</w:t>
            </w:r>
          </w:p>
        </w:tc>
      </w:tr>
      <w:tr>
        <w:trPr>
          <w:trHeight w:val="21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135,337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218,530</w:t>
            </w:r>
          </w:p>
        </w:tc>
      </w:tr>
      <w:tr>
        <w:trPr>
          <w:trHeight w:val="218"/>
        </w:trPr>
        <w:tc>
          <w:tcPr>
            <w:tcW w:w="4800" w:type="dxa"/>
            <w:vAlign w:val="bottom"/>
          </w:tcPr>
          <w:p>
            <w:pPr>
              <w:spacing w:after="0"/>
              <w:rPr>
                <w:sz w:val="20"/>
                <w:szCs w:val="20"/>
                <w:color w:val="auto"/>
              </w:rPr>
            </w:pPr>
            <w:r>
              <w:rPr>
                <w:rFonts w:ascii="Arial" w:cs="Arial" w:eastAsia="Arial" w:hAnsi="Arial"/>
                <w:sz w:val="17"/>
                <w:szCs w:val="17"/>
                <w:color w:val="auto"/>
              </w:rPr>
              <w:t>Restricted cash (current)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6,174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4,690</w:t>
            </w: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(non-current)</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w:t>
            </w:r>
          </w:p>
        </w:tc>
      </w:tr>
      <w:tr>
        <w:trPr>
          <w:trHeight w:val="213"/>
        </w:trPr>
        <w:tc>
          <w:tcPr>
            <w:tcW w:w="4800" w:type="dxa"/>
            <w:vAlign w:val="bottom"/>
          </w:tcPr>
          <w:p>
            <w:pPr>
              <w:spacing w:after="0"/>
              <w:rPr>
                <w:sz w:val="20"/>
                <w:szCs w:val="20"/>
                <w:color w:val="auto"/>
              </w:rPr>
            </w:pPr>
            <w:r>
              <w:rPr>
                <w:rFonts w:ascii="Arial" w:cs="Arial" w:eastAsia="Arial" w:hAnsi="Arial"/>
                <w:sz w:val="17"/>
                <w:szCs w:val="17"/>
                <w:color w:val="auto"/>
              </w:rPr>
              <w:t>Cash, cash equivalents and restricted cash</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125,621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143,810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225,519</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right="100" w:firstLine="387"/>
        <w:spacing w:after="0" w:line="262" w:lineRule="auto"/>
        <w:rPr>
          <w:sz w:val="20"/>
          <w:szCs w:val="20"/>
          <w:color w:val="auto"/>
        </w:rPr>
      </w:pPr>
      <w:r>
        <w:rPr>
          <w:rFonts w:ascii="Arial" w:cs="Arial" w:eastAsia="Arial" w:hAnsi="Arial"/>
          <w:sz w:val="17"/>
          <w:szCs w:val="17"/>
          <w:color w:val="auto"/>
        </w:rPr>
        <w:t>Restricted cash (current) primarily represents funds held on behalf of clients in dedicated bank accounts. The corresponding liability against the same is included under “Accrued Expenses and other current liabilities.” Restricted cash (non-current) represents amounts on deposit with banks against bank guarantees issued through banks in favor of relevant statutory authorities for equipment imports, deposits for obtaining indirect tax registrations and for demands against pending income tax assessments. These deposits with banks have maturity dates after December 31, 2022.</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Investments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Investments consist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5"/>
                <w:szCs w:val="15"/>
                <w:b w:val="1"/>
                <w:bCs w:val="1"/>
                <w:color w:val="auto"/>
                <w:w w:val="90"/>
              </w:rPr>
              <w:t>As of</w:t>
            </w: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ind w:right="377"/>
              <w:spacing w:after="0"/>
              <w:rPr>
                <w:sz w:val="20"/>
                <w:szCs w:val="20"/>
                <w:color w:val="auto"/>
              </w:rPr>
            </w:pPr>
            <w:r>
              <w:rPr>
                <w:rFonts w:ascii="Arial" w:cs="Arial" w:eastAsia="Arial" w:hAnsi="Arial"/>
                <w:sz w:val="14"/>
                <w:szCs w:val="14"/>
                <w:b w:val="1"/>
                <w:bCs w:val="1"/>
                <w:color w:val="auto"/>
                <w:w w:val="99"/>
              </w:rPr>
              <w:t>December 31, 2021</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Short-term investments</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500" w:type="dxa"/>
            <w:vAlign w:val="bottom"/>
          </w:tcPr>
          <w:p>
            <w:pPr>
              <w:ind w:left="120"/>
              <w:spacing w:after="0"/>
              <w:rPr>
                <w:sz w:val="20"/>
                <w:szCs w:val="20"/>
                <w:color w:val="auto"/>
              </w:rPr>
            </w:pPr>
            <w:r>
              <w:rPr>
                <w:rFonts w:ascii="Arial" w:cs="Arial" w:eastAsia="Arial" w:hAnsi="Arial"/>
                <w:sz w:val="17"/>
                <w:szCs w:val="17"/>
                <w:color w:val="auto"/>
              </w:rPr>
              <w:t>Mutual funds</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110,964</w:t>
            </w:r>
          </w:p>
        </w:tc>
        <w:tc>
          <w:tcPr>
            <w:tcW w:w="540" w:type="dxa"/>
            <w:vAlign w:val="bottom"/>
            <w:gridSpan w:val="3"/>
          </w:tcPr>
          <w:p>
            <w:pPr>
              <w:jc w:val="right"/>
              <w:ind w:right="94"/>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37"/>
              <w:spacing w:after="0"/>
              <w:rPr>
                <w:sz w:val="20"/>
                <w:szCs w:val="20"/>
                <w:color w:val="auto"/>
              </w:rPr>
            </w:pPr>
            <w:r>
              <w:rPr>
                <w:rFonts w:ascii="Arial" w:cs="Arial" w:eastAsia="Arial" w:hAnsi="Arial"/>
                <w:sz w:val="17"/>
                <w:szCs w:val="17"/>
                <w:color w:val="auto"/>
              </w:rPr>
              <w:t>127,551</w:t>
            </w: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Term deposits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68,063</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51,879</w:t>
            </w:r>
          </w:p>
        </w:tc>
        <w:tc>
          <w:tcPr>
            <w:tcW w:w="0" w:type="dxa"/>
            <w:vAlign w:val="bottom"/>
          </w:tcPr>
          <w:p>
            <w:pPr>
              <w:spacing w:after="0"/>
              <w:rPr>
                <w:sz w:val="1"/>
                <w:szCs w:val="1"/>
                <w:color w:val="auto"/>
              </w:rPr>
            </w:pPr>
          </w:p>
        </w:tc>
      </w:tr>
      <w:tr>
        <w:trPr>
          <w:trHeight w:val="212"/>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rPr>
              <w:t>Total Short-term investments</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179,027</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179,430</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Long-term investments</w:t>
            </w: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Term deposits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31,341</w:t>
            </w:r>
          </w:p>
        </w:tc>
        <w:tc>
          <w:tcPr>
            <w:tcW w:w="540" w:type="dxa"/>
            <w:vAlign w:val="bottom"/>
            <w:gridSpan w:val="3"/>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18"/>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Investment in equity affiliate</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3,004</w:t>
            </w:r>
          </w:p>
        </w:tc>
        <w:tc>
          <w:tcPr>
            <w:tcW w:w="0" w:type="dxa"/>
            <w:vAlign w:val="bottom"/>
          </w:tcPr>
          <w:p>
            <w:pPr>
              <w:spacing w:after="0"/>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Long-term investments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34,779</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3,190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Refer to Note 16 - Fair Value Measurements to the consolidated financial statements for further details.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Property and Equipment, net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Property and equipment, net consists of the following:</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4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4940" w:type="dxa"/>
            <w:vAlign w:val="bottom"/>
          </w:tcPr>
          <w:p>
            <w:pPr>
              <w:spacing w:after="0"/>
              <w:rPr>
                <w:sz w:val="12"/>
                <w:szCs w:val="12"/>
                <w:color w:val="auto"/>
              </w:rPr>
            </w:pPr>
          </w:p>
        </w:tc>
        <w:tc>
          <w:tcPr>
            <w:tcW w:w="1740" w:type="dxa"/>
            <w:vAlign w:val="bottom"/>
            <w:gridSpan w:val="2"/>
          </w:tcPr>
          <w:p>
            <w:pPr>
              <w:jc w:val="center"/>
              <w:ind w:right="140"/>
              <w:spacing w:after="0" w:line="141" w:lineRule="exact"/>
              <w:rPr>
                <w:sz w:val="20"/>
                <w:szCs w:val="20"/>
                <w:color w:val="auto"/>
              </w:rPr>
            </w:pPr>
            <w:r>
              <w:rPr>
                <w:rFonts w:ascii="Arial" w:cs="Arial" w:eastAsia="Arial" w:hAnsi="Arial"/>
                <w:sz w:val="15"/>
                <w:szCs w:val="15"/>
                <w:b w:val="1"/>
                <w:bCs w:val="1"/>
                <w:color w:val="auto"/>
                <w:w w:val="91"/>
              </w:rPr>
              <w:t>Estimated useful lives</w:t>
            </w:r>
          </w:p>
        </w:tc>
        <w:tc>
          <w:tcPr>
            <w:tcW w:w="200" w:type="dxa"/>
            <w:vAlign w:val="bottom"/>
          </w:tcPr>
          <w:p>
            <w:pPr>
              <w:spacing w:after="0"/>
              <w:rPr>
                <w:sz w:val="12"/>
                <w:szCs w:val="12"/>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December 31, 2022</w:t>
            </w:r>
          </w:p>
        </w:tc>
        <w:tc>
          <w:tcPr>
            <w:tcW w:w="200" w:type="dxa"/>
            <w:vAlign w:val="bottom"/>
          </w:tcPr>
          <w:p>
            <w:pPr>
              <w:spacing w:after="0"/>
              <w:rPr>
                <w:sz w:val="12"/>
                <w:szCs w:val="12"/>
                <w:color w:val="auto"/>
              </w:rPr>
            </w:pPr>
          </w:p>
        </w:tc>
        <w:tc>
          <w:tcPr>
            <w:tcW w:w="1620" w:type="dxa"/>
            <w:vAlign w:val="bottom"/>
            <w:vMerge w:val="restart"/>
          </w:tcPr>
          <w:p>
            <w:pPr>
              <w:jc w:val="right"/>
              <w:ind w:right="195"/>
              <w:spacing w:after="0"/>
              <w:rPr>
                <w:sz w:val="20"/>
                <w:szCs w:val="20"/>
                <w:color w:val="auto"/>
              </w:rPr>
            </w:pPr>
            <w:r>
              <w:rPr>
                <w:rFonts w:ascii="Arial" w:cs="Arial" w:eastAsia="Arial" w:hAnsi="Arial"/>
                <w:sz w:val="15"/>
                <w:szCs w:val="15"/>
                <w:b w:val="1"/>
                <w:bCs w:val="1"/>
                <w:color w:val="auto"/>
                <w:w w:val="97"/>
              </w:rPr>
              <w:t>December 31, 2021</w:t>
            </w:r>
          </w:p>
        </w:tc>
        <w:tc>
          <w:tcPr>
            <w:tcW w:w="0" w:type="dxa"/>
            <w:vAlign w:val="bottom"/>
          </w:tcPr>
          <w:p>
            <w:pPr>
              <w:spacing w:after="0"/>
              <w:rPr>
                <w:sz w:val="1"/>
                <w:szCs w:val="1"/>
                <w:color w:val="auto"/>
              </w:rPr>
            </w:pPr>
          </w:p>
        </w:tc>
      </w:tr>
      <w:tr>
        <w:trPr>
          <w:trHeight w:val="202"/>
        </w:trPr>
        <w:tc>
          <w:tcPr>
            <w:tcW w:w="4940" w:type="dxa"/>
            <w:vAlign w:val="bottom"/>
          </w:tcPr>
          <w:p>
            <w:pPr>
              <w:spacing w:after="0"/>
              <w:rPr>
                <w:sz w:val="17"/>
                <w:szCs w:val="17"/>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4"/>
              </w:rPr>
              <w:t>(Years)</w:t>
            </w:r>
          </w:p>
        </w:tc>
        <w:tc>
          <w:tcPr>
            <w:tcW w:w="2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Owned Assets:</w:t>
            </w:r>
          </w:p>
        </w:tc>
        <w:tc>
          <w:tcPr>
            <w:tcW w:w="1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Network equipment and computers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116,023</w:t>
            </w:r>
          </w:p>
        </w:tc>
        <w:tc>
          <w:tcPr>
            <w:tcW w:w="0" w:type="dxa"/>
            <w:vAlign w:val="bottom"/>
          </w:tcPr>
          <w:p>
            <w:pPr>
              <w:spacing w:after="0"/>
              <w:rPr>
                <w:sz w:val="1"/>
                <w:szCs w:val="1"/>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7"/>
                <w:szCs w:val="17"/>
                <w:color w:val="auto"/>
              </w:rPr>
              <w:t>Software</w:t>
            </w: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88,487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101,884</w:t>
            </w:r>
          </w:p>
        </w:tc>
        <w:tc>
          <w:tcPr>
            <w:tcW w:w="0" w:type="dxa"/>
            <w:vAlign w:val="bottom"/>
          </w:tcPr>
          <w:p>
            <w:pPr>
              <w:spacing w:after="0"/>
              <w:rPr>
                <w:sz w:val="1"/>
                <w:szCs w:val="1"/>
                <w:color w:val="auto"/>
              </w:rPr>
            </w:pPr>
          </w:p>
        </w:tc>
      </w:tr>
      <w:tr>
        <w:trPr>
          <w:trHeight w:val="22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46,401</w:t>
            </w:r>
          </w:p>
        </w:tc>
        <w:tc>
          <w:tcPr>
            <w:tcW w:w="0" w:type="dxa"/>
            <w:vAlign w:val="bottom"/>
          </w:tcPr>
          <w:p>
            <w:pPr>
              <w:spacing w:after="0"/>
              <w:rPr>
                <w:sz w:val="1"/>
                <w:szCs w:val="1"/>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7"/>
                <w:szCs w:val="17"/>
                <w:color w:val="auto"/>
              </w:rPr>
              <w:t>Office furniture and equipment</w:t>
            </w: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20,211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22,302</w:t>
            </w:r>
          </w:p>
        </w:tc>
        <w:tc>
          <w:tcPr>
            <w:tcW w:w="0" w:type="dxa"/>
            <w:vAlign w:val="bottom"/>
          </w:tcPr>
          <w:p>
            <w:pPr>
              <w:spacing w:after="0"/>
              <w:rPr>
                <w:sz w:val="1"/>
                <w:szCs w:val="1"/>
                <w:color w:val="auto"/>
              </w:rPr>
            </w:pPr>
          </w:p>
        </w:tc>
      </w:tr>
      <w:tr>
        <w:trPr>
          <w:trHeight w:val="22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Motor vehicles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7"/>
                <w:szCs w:val="17"/>
                <w:color w:val="auto"/>
              </w:rPr>
              <w:t>Buildings</w:t>
            </w:r>
          </w:p>
        </w:tc>
        <w:tc>
          <w:tcPr>
            <w:tcW w:w="1600" w:type="dxa"/>
            <w:vAlign w:val="bottom"/>
          </w:tcPr>
          <w:p>
            <w:pPr>
              <w:jc w:val="center"/>
              <w:spacing w:after="0"/>
              <w:rPr>
                <w:sz w:val="20"/>
                <w:szCs w:val="20"/>
                <w:color w:val="auto"/>
              </w:rPr>
            </w:pPr>
            <w:r>
              <w:rPr>
                <w:rFonts w:ascii="Arial" w:cs="Arial" w:eastAsia="Arial" w:hAnsi="Arial"/>
                <w:sz w:val="17"/>
                <w:szCs w:val="17"/>
                <w:color w:val="auto"/>
                <w:w w:val="94"/>
              </w:rPr>
              <w:t>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961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2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21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work in progress</w:t>
            </w:r>
          </w:p>
        </w:tc>
        <w:tc>
          <w:tcPr>
            <w:tcW w:w="17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10,288</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299,361</w:t>
            </w:r>
          </w:p>
        </w:tc>
        <w:tc>
          <w:tcPr>
            <w:tcW w:w="0" w:type="dxa"/>
            <w:vAlign w:val="bottom"/>
          </w:tcPr>
          <w:p>
            <w:pPr>
              <w:spacing w:after="0"/>
              <w:rPr>
                <w:sz w:val="1"/>
                <w:szCs w:val="1"/>
                <w:color w:val="auto"/>
              </w:rPr>
            </w:pPr>
          </w:p>
        </w:tc>
      </w:tr>
      <w:tr>
        <w:trPr>
          <w:trHeight w:val="21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(216,132)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(213,699)</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85,662</w:t>
            </w:r>
          </w:p>
        </w:tc>
        <w:tc>
          <w:tcPr>
            <w:tcW w:w="0" w:type="dxa"/>
            <w:vAlign w:val="bottom"/>
          </w:tcPr>
          <w:p>
            <w:pPr>
              <w:spacing w:after="0"/>
              <w:rPr>
                <w:sz w:val="1"/>
                <w:szCs w:val="1"/>
                <w:color w:val="auto"/>
              </w:rPr>
            </w:pPr>
          </w:p>
        </w:tc>
      </w:tr>
      <w:tr>
        <w:trPr>
          <w:trHeight w:val="199"/>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Right-of-use assets under finance leases*: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Network equipment and computers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1,229</w:t>
            </w:r>
          </w:p>
        </w:tc>
        <w:tc>
          <w:tcPr>
            <w:tcW w:w="0" w:type="dxa"/>
            <w:vAlign w:val="bottom"/>
          </w:tcPr>
          <w:p>
            <w:pPr>
              <w:spacing w:after="0"/>
              <w:rPr>
                <w:sz w:val="1"/>
                <w:szCs w:val="1"/>
                <w:color w:val="auto"/>
              </w:rPr>
            </w:pPr>
          </w:p>
        </w:tc>
      </w:tr>
      <w:tr>
        <w:trPr>
          <w:trHeight w:val="22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equipment</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0" w:type="dxa"/>
            <w:vAlign w:val="bottom"/>
          </w:tcPr>
          <w:p>
            <w:pPr>
              <w:spacing w:after="0"/>
              <w:rPr>
                <w:sz w:val="1"/>
                <w:szCs w:val="1"/>
                <w:color w:val="auto"/>
              </w:rPr>
            </w:pPr>
          </w:p>
        </w:tc>
      </w:tr>
      <w:tr>
        <w:trPr>
          <w:trHeight w:val="21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Motor vehicles</w:t>
            </w: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2,685</w:t>
            </w:r>
          </w:p>
        </w:tc>
        <w:tc>
          <w:tcPr>
            <w:tcW w:w="0" w:type="dxa"/>
            <w:vAlign w:val="bottom"/>
          </w:tcPr>
          <w:p>
            <w:pPr>
              <w:spacing w:after="0"/>
              <w:rPr>
                <w:sz w:val="1"/>
                <w:szCs w:val="1"/>
                <w:color w:val="auto"/>
              </w:rPr>
            </w:pPr>
          </w:p>
        </w:tc>
      </w:tr>
      <w:tr>
        <w:trPr>
          <w:trHeight w:val="21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(2,339)</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11"/>
        </w:trPr>
        <w:tc>
          <w:tcPr>
            <w:tcW w:w="49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86,008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*Depreciation on assets held under finance leases are computed using the straight-line method over the shorter of the assets estimated useful lives or the lease term.</w:t>
      </w:r>
    </w:p>
    <w:p>
      <w:pPr>
        <w:spacing w:after="0" w:line="113"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Capital work in progress represents advances paid towards acquisition of property and equipment and costs incurred on internally developed software not yet ready to be placed in service.</w:t>
      </w:r>
    </w:p>
    <w:p>
      <w:pPr>
        <w:spacing w:after="0" w:line="113"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During the years ended December 31, 2022 and 2021 there were no changes in estimated useful lives of property and equipment during the ordinary course of operations.</w:t>
      </w:r>
    </w:p>
    <w:p>
      <w:pPr>
        <w:spacing w:after="0" w:line="113"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The depreciation and amortization expense, excluding amortization of acquisition-related intangibles, recognized in the consolidated statements of income was as follows:</w:t>
      </w:r>
    </w:p>
    <w:p>
      <w:pPr>
        <w:spacing w:after="0" w:line="150"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54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5"/>
                <w:szCs w:val="15"/>
                <w:b w:val="1"/>
                <w:bCs w:val="1"/>
                <w:color w:val="auto"/>
                <w:w w:val="95"/>
              </w:rPr>
              <w:t>Year ended December 31,</w:t>
            </w:r>
          </w:p>
        </w:tc>
        <w:tc>
          <w:tcPr>
            <w:tcW w:w="1340" w:type="dxa"/>
            <w:vAlign w:val="bottom"/>
            <w:tcBorders>
              <w:bottom w:val="single" w:sz="8" w:color="auto"/>
            </w:tcBorders>
          </w:tcPr>
          <w:p>
            <w:pPr>
              <w:spacing w:after="0"/>
              <w:rPr>
                <w:sz w:val="17"/>
                <w:szCs w:val="17"/>
                <w:color w:val="auto"/>
              </w:rPr>
            </w:pPr>
          </w:p>
        </w:tc>
      </w:tr>
      <w:tr>
        <w:trPr>
          <w:trHeight w:val="163"/>
        </w:trPr>
        <w:tc>
          <w:tcPr>
            <w:tcW w:w="54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2020</w:t>
            </w:r>
          </w:p>
        </w:tc>
      </w:tr>
      <w:tr>
        <w:trPr>
          <w:trHeight w:val="23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 expense</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39,173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36,354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36,050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effect of foreign exchange gain/(loss) upon settlement of cash flow hedges recorded under depreciation and amortization expense, was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jc w:val="right"/>
        <w:ind w:right="175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40"/>
        <w:spacing w:after="0"/>
        <w:rPr>
          <w:sz w:val="20"/>
          <w:szCs w:val="20"/>
          <w:color w:val="auto"/>
        </w:rPr>
      </w:pPr>
      <w:r>
        <w:rPr>
          <w:rFonts w:ascii="Arial" w:cs="Arial" w:eastAsia="Arial" w:hAnsi="Arial"/>
          <w:sz w:val="15"/>
          <w:szCs w:val="15"/>
          <w:b w:val="1"/>
          <w:bCs w:val="1"/>
          <w:color w:val="auto"/>
        </w:rPr>
        <w:t>Year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0" w:type="dxa"/>
            <w:vAlign w:val="bottom"/>
            <w:tcBorders>
              <w:bottom w:val="single" w:sz="8" w:color="CCEEFF"/>
            </w:tcBorders>
          </w:tcPr>
          <w:p>
            <w:pPr>
              <w:spacing w:after="0"/>
              <w:rPr>
                <w:sz w:val="15"/>
                <w:szCs w:val="15"/>
                <w:color w:val="auto"/>
              </w:rPr>
            </w:pPr>
          </w:p>
        </w:tc>
        <w:tc>
          <w:tcPr>
            <w:tcW w:w="6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3"/>
              </w:rPr>
              <w:t>2021</w:t>
            </w:r>
          </w:p>
        </w:tc>
        <w:tc>
          <w:tcPr>
            <w:tcW w:w="4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Effect of foreign exchange gain/(loss)</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540" w:type="dxa"/>
            <w:vAlign w:val="bottom"/>
            <w:gridSpan w:val="2"/>
            <w:shd w:val="clear" w:color="auto" w:fill="CCEEFF"/>
          </w:tcPr>
          <w:p>
            <w:pPr>
              <w:jc w:val="right"/>
              <w:ind w:right="26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w:t>
            </w:r>
          </w:p>
        </w:tc>
      </w:tr>
      <w:tr>
        <w:trPr>
          <w:trHeight w:val="450"/>
        </w:trPr>
        <w:tc>
          <w:tcPr>
            <w:tcW w:w="6920" w:type="dxa"/>
            <w:vAlign w:val="bottom"/>
            <w:gridSpan w:val="2"/>
          </w:tcPr>
          <w:p>
            <w:pPr>
              <w:ind w:left="420"/>
              <w:spacing w:after="0"/>
              <w:rPr>
                <w:sz w:val="20"/>
                <w:szCs w:val="20"/>
                <w:color w:val="auto"/>
              </w:rPr>
            </w:pPr>
            <w:r>
              <w:rPr>
                <w:rFonts w:ascii="Arial" w:cs="Arial" w:eastAsia="Arial" w:hAnsi="Arial"/>
                <w:sz w:val="17"/>
                <w:szCs w:val="17"/>
                <w:color w:val="auto"/>
              </w:rPr>
              <w:t>Internally developed software costs, included under Software, was as follows: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6"/>
        </w:trPr>
        <w:tc>
          <w:tcPr>
            <w:tcW w:w="7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As of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0"/>
        </w:trPr>
        <w:tc>
          <w:tcPr>
            <w:tcW w:w="700" w:type="dxa"/>
            <w:vAlign w:val="bottom"/>
          </w:tcPr>
          <w:p>
            <w:pPr>
              <w:spacing w:after="0"/>
              <w:rPr>
                <w:sz w:val="17"/>
                <w:szCs w:val="17"/>
                <w:color w:val="auto"/>
              </w:rPr>
            </w:pPr>
          </w:p>
        </w:tc>
        <w:tc>
          <w:tcPr>
            <w:tcW w:w="6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December 31, 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5"/>
                <w:szCs w:val="15"/>
                <w:b w:val="1"/>
                <w:bCs w:val="1"/>
                <w:color w:val="auto"/>
                <w:w w:val="94"/>
              </w:rPr>
              <w:t>December 31, 2021</w:t>
            </w:r>
          </w:p>
        </w:tc>
        <w:tc>
          <w:tcPr>
            <w:tcW w:w="80" w:type="dxa"/>
            <w:vAlign w:val="bottom"/>
          </w:tcPr>
          <w:p>
            <w:pPr>
              <w:spacing w:after="0"/>
              <w:rPr>
                <w:sz w:val="17"/>
                <w:szCs w:val="17"/>
                <w:color w:val="auto"/>
              </w:rPr>
            </w:pPr>
          </w:p>
        </w:tc>
      </w:tr>
      <w:tr>
        <w:trPr>
          <w:trHeight w:val="214"/>
        </w:trPr>
        <w:tc>
          <w:tcPr>
            <w:tcW w:w="7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31,544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19,289</w:t>
            </w:r>
          </w:p>
        </w:tc>
        <w:tc>
          <w:tcPr>
            <w:tcW w:w="80" w:type="dxa"/>
            <w:vAlign w:val="bottom"/>
          </w:tcPr>
          <w:p>
            <w:pPr>
              <w:spacing w:after="0"/>
              <w:rPr>
                <w:sz w:val="18"/>
                <w:szCs w:val="18"/>
                <w:color w:val="auto"/>
              </w:rPr>
            </w:pPr>
          </w:p>
        </w:tc>
      </w:tr>
      <w:tr>
        <w:trPr>
          <w:trHeight w:val="218"/>
        </w:trPr>
        <w:tc>
          <w:tcPr>
            <w:tcW w:w="700" w:type="dxa"/>
            <w:vAlign w:val="bottom"/>
          </w:tcPr>
          <w:p>
            <w:pPr>
              <w:spacing w:after="0"/>
              <w:rPr>
                <w:sz w:val="18"/>
                <w:szCs w:val="18"/>
                <w:color w:val="auto"/>
              </w:rPr>
            </w:pPr>
          </w:p>
        </w:tc>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 Accumulated amortization</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580"/>
              <w:spacing w:after="0"/>
              <w:rPr>
                <w:sz w:val="20"/>
                <w:szCs w:val="20"/>
                <w:color w:val="auto"/>
              </w:rPr>
            </w:pPr>
            <w:r>
              <w:rPr>
                <w:rFonts w:ascii="Arial" w:cs="Arial" w:eastAsia="Arial" w:hAnsi="Arial"/>
                <w:sz w:val="17"/>
                <w:szCs w:val="17"/>
                <w:color w:val="auto"/>
                <w:w w:val="94"/>
              </w:rPr>
              <w:t>(16,134)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(10,226)</w:t>
            </w:r>
          </w:p>
        </w:tc>
        <w:tc>
          <w:tcPr>
            <w:tcW w:w="80" w:type="dxa"/>
            <w:vAlign w:val="bottom"/>
          </w:tcPr>
          <w:p>
            <w:pPr>
              <w:spacing w:after="0"/>
              <w:rPr>
                <w:sz w:val="18"/>
                <w:szCs w:val="18"/>
                <w:color w:val="auto"/>
              </w:rPr>
            </w:pPr>
          </w:p>
        </w:tc>
      </w:tr>
      <w:tr>
        <w:trPr>
          <w:trHeight w:val="233"/>
        </w:trPr>
        <w:tc>
          <w:tcPr>
            <w:tcW w:w="700" w:type="dxa"/>
            <w:vAlign w:val="bottom"/>
          </w:tcPr>
          <w:p>
            <w:pPr>
              <w:spacing w:after="0"/>
              <w:rPr>
                <w:sz w:val="20"/>
                <w:szCs w:val="20"/>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Internally developed software, net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15,410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9,063</w:t>
            </w:r>
          </w:p>
        </w:tc>
        <w:tc>
          <w:tcPr>
            <w:tcW w:w="80" w:type="dxa"/>
            <w:vAlign w:val="bottom"/>
          </w:tcPr>
          <w:p>
            <w:pPr>
              <w:spacing w:after="0"/>
              <w:rPr>
                <w:sz w:val="20"/>
                <w:szCs w:val="20"/>
                <w:color w:val="auto"/>
              </w:rPr>
            </w:pPr>
          </w:p>
        </w:tc>
      </w:tr>
      <w:tr>
        <w:trPr>
          <w:trHeight w:val="20"/>
        </w:trPr>
        <w:tc>
          <w:tcPr>
            <w:tcW w:w="700" w:type="dxa"/>
            <w:vAlign w:val="bottom"/>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amortization expense on internally developed software recognized in the consolidated statements of income was as follows:</w:t>
      </w:r>
    </w:p>
    <w:p>
      <w:pPr>
        <w:spacing w:after="0" w:line="203" w:lineRule="exact"/>
        <w:rPr>
          <w:sz w:val="20"/>
          <w:szCs w:val="20"/>
          <w:color w:val="auto"/>
        </w:rPr>
      </w:pPr>
    </w:p>
    <w:tbl>
      <w:tblPr>
        <w:tblLayout w:type="fixed"/>
        <w:tblInd w:w="740" w:type="dxa"/>
        <w:tblCellMar>
          <w:top w:w="0" w:type="dxa"/>
          <w:left w:w="0" w:type="dxa"/>
          <w:bottom w:w="0" w:type="dxa"/>
          <w:right w:w="0" w:type="dxa"/>
        </w:tblCellMar>
      </w:tblPr>
      <w:tr>
        <w:trPr>
          <w:trHeight w:val="205"/>
        </w:trPr>
        <w:tc>
          <w:tcPr>
            <w:tcW w:w="46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5"/>
                <w:szCs w:val="15"/>
                <w:b w:val="1"/>
                <w:bCs w:val="1"/>
                <w:color w:val="auto"/>
                <w:w w:val="95"/>
              </w:rPr>
              <w:t>Year ended December 31,</w:t>
            </w:r>
          </w:p>
        </w:tc>
        <w:tc>
          <w:tcPr>
            <w:tcW w:w="1380" w:type="dxa"/>
            <w:vAlign w:val="bottom"/>
            <w:tcBorders>
              <w:bottom w:val="single" w:sz="8" w:color="auto"/>
            </w:tcBorders>
          </w:tcPr>
          <w:p>
            <w:pPr>
              <w:spacing w:after="0"/>
              <w:rPr>
                <w:sz w:val="17"/>
                <w:szCs w:val="17"/>
                <w:color w:val="auto"/>
              </w:rPr>
            </w:pPr>
          </w:p>
        </w:tc>
      </w:tr>
      <w:tr>
        <w:trPr>
          <w:trHeight w:val="200"/>
        </w:trPr>
        <w:tc>
          <w:tcPr>
            <w:tcW w:w="46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8"/>
              <w:spacing w:after="0"/>
              <w:rPr>
                <w:sz w:val="20"/>
                <w:szCs w:val="20"/>
                <w:color w:val="auto"/>
              </w:rPr>
            </w:pPr>
            <w:r>
              <w:rPr>
                <w:rFonts w:ascii="Arial" w:cs="Arial" w:eastAsia="Arial" w:hAnsi="Arial"/>
                <w:sz w:val="15"/>
                <w:szCs w:val="15"/>
                <w:b w:val="1"/>
                <w:bCs w:val="1"/>
                <w:color w:val="auto"/>
              </w:rPr>
              <w:t>2020</w:t>
            </w:r>
          </w:p>
        </w:tc>
      </w:tr>
      <w:tr>
        <w:trPr>
          <w:trHeight w:val="23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309"/>
        <w:spacing w:after="0" w:line="280" w:lineRule="auto"/>
        <w:rPr>
          <w:sz w:val="20"/>
          <w:szCs w:val="20"/>
          <w:color w:val="auto"/>
        </w:rPr>
      </w:pPr>
      <w:r>
        <w:rPr>
          <w:rFonts w:ascii="Arial" w:cs="Arial" w:eastAsia="Arial" w:hAnsi="Arial"/>
          <w:sz w:val="15"/>
          <w:szCs w:val="15"/>
          <w:color w:val="auto"/>
        </w:rPr>
        <w:t>As of December 31, 2022 and 2021, the Company believes no impairment exists because the long-lived asset's future undiscounted net cash flows expected to be generated exceeds its carrying value; however, there can be no assurance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the asset’s residual value, if any, and estimates relating to the possible effects resulting from COVID-19. It is reasonably possible that the judgments and estimates described above could change in future periods.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420" w:firstLine="3"/>
        <w:spacing w:after="0" w:line="526" w:lineRule="auto"/>
        <w:tabs>
          <w:tab w:leader="none" w:pos="258"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Goodwill and Other Intangible Assets Clairvoyant AI, Inc.</w:t>
      </w:r>
    </w:p>
    <w:p>
      <w:pPr>
        <w:jc w:val="both"/>
        <w:ind w:firstLine="387"/>
        <w:spacing w:after="0" w:line="250" w:lineRule="auto"/>
        <w:rPr>
          <w:sz w:val="20"/>
          <w:szCs w:val="20"/>
          <w:color w:val="auto"/>
        </w:rPr>
      </w:pPr>
      <w:r>
        <w:rPr>
          <w:rFonts w:ascii="Arial" w:cs="Arial" w:eastAsia="Arial" w:hAnsi="Arial"/>
          <w:sz w:val="17"/>
          <w:szCs w:val="17"/>
          <w:color w:val="auto"/>
        </w:rPr>
        <w:t>On December 16, 2021, the Company, through its wholly owned subsidiary ExlService.com, LLC, completed the acquisition of Clairvoyant, a Delaware corporation, pursuant to an equity securities purchase agreement dated December 16, 2021 (the “Purchase Agreement”). The Company purchased 100% of the issued and outstanding equity securities in Clairvoyant.</w:t>
      </w:r>
    </w:p>
    <w:p>
      <w:pPr>
        <w:spacing w:after="0" w:line="201" w:lineRule="exact"/>
        <w:rPr>
          <w:sz w:val="20"/>
          <w:szCs w:val="20"/>
          <w:color w:val="auto"/>
        </w:rPr>
      </w:pPr>
    </w:p>
    <w:p>
      <w:pPr>
        <w:jc w:val="both"/>
        <w:ind w:firstLine="387"/>
        <w:spacing w:after="0" w:line="241" w:lineRule="auto"/>
        <w:rPr>
          <w:sz w:val="20"/>
          <w:szCs w:val="20"/>
          <w:color w:val="auto"/>
        </w:rPr>
      </w:pPr>
      <w:r>
        <w:rPr>
          <w:rFonts w:ascii="Arial" w:cs="Arial" w:eastAsia="Arial" w:hAnsi="Arial"/>
          <w:sz w:val="17"/>
          <w:szCs w:val="17"/>
          <w:color w:val="auto"/>
        </w:rPr>
        <w:t>Clairvoyant is a global technology consulting and services company that helps organizations in their business transformation by maximizing the value of data through actionable insights. It provides data engineering, analytics, machine learning, product engineering, and cloud-based solutions. The acquisition strengthens the Company’s capabilities by adding additional expertise in data engineering and cloud enablement, further supporting its clients in insurance, healthcare, banking and financial services, and retail.</w:t>
      </w:r>
    </w:p>
    <w:p>
      <w:pPr>
        <w:spacing w:after="0" w:line="208"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6"/>
          <w:szCs w:val="16"/>
          <w:color w:val="auto"/>
        </w:rPr>
        <w:t>The base purchase consideration payable at closing of the acquisition (the “Closing”) was $80,080, excluding cash and cash equivalents acquired, debt and estimated other post-closing adjustments. The Purchase Agreement also allows sellers the ability to earn up to $20,000 of contingent consideration, based on the achievement of certain performance goals by Clairvoyant during the 2022 and 2023 calendar years. The contingent consideration had an estimated fair value of $17,500 and $9,000, as of December 31, 2022 and 2021, respectively, and has been presented as contingent consideration under “Accrued expenses and other current liabilities” and “Other non-current liabilities,” as applicable, in the consolidated balance sheets. Changes in the fair value of contingent consideration were recognized in the consolidated statements of income and presented as a part of “Other income/(loss), net.”</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accounted for the business combination using the acquisition method of accounting.</w:t>
      </w:r>
    </w:p>
    <w:p>
      <w:pPr>
        <w:spacing w:after="0" w:line="230"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Pursuant to the Company’s business combinations accounting policy, the aggregate purchase consideration for Clairvoyant was allocated to identifiable net tangible and intangible assets based upon their fair values. The excess of the estimated purchase consideration over fair value of identifiable net tangible and intangible assets was recorded as goodwill. In order to allocate the consideration transferred for Clairvoyant, the fair values of all identifiable assets and liabilities must be established.</w:t>
      </w:r>
    </w:p>
    <w:p>
      <w:pPr>
        <w:spacing w:after="0" w:line="204" w:lineRule="exact"/>
        <w:rPr>
          <w:sz w:val="20"/>
          <w:szCs w:val="20"/>
          <w:color w:val="auto"/>
        </w:rPr>
      </w:pPr>
    </w:p>
    <w:p>
      <w:pPr>
        <w:jc w:val="both"/>
        <w:ind w:firstLine="387"/>
        <w:spacing w:after="0" w:line="248" w:lineRule="auto"/>
        <w:rPr>
          <w:sz w:val="20"/>
          <w:szCs w:val="20"/>
          <w:color w:val="auto"/>
        </w:rPr>
      </w:pPr>
      <w:r>
        <w:rPr>
          <w:rFonts w:ascii="Arial" w:cs="Arial" w:eastAsia="Arial" w:hAnsi="Arial"/>
          <w:sz w:val="17"/>
          <w:szCs w:val="17"/>
          <w:color w:val="auto"/>
        </w:rPr>
        <w:t>The tables below presents the fair value of the consideration exchanged and the allocation of purchase consideration to the major classes of assets and liabilities of Clairvoyant as of December 16,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8"/>
        </w:trPr>
        <w:tc>
          <w:tcPr>
            <w:tcW w:w="62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370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5,598</w:t>
            </w:r>
          </w:p>
        </w:tc>
        <w:tc>
          <w:tcPr>
            <w:tcW w:w="1860" w:type="dxa"/>
            <w:vAlign w:val="bottom"/>
          </w:tcPr>
          <w:p>
            <w:pPr>
              <w:spacing w:after="0"/>
              <w:rPr>
                <w:sz w:val="19"/>
                <w:szCs w:val="19"/>
                <w:color w:val="auto"/>
              </w:rPr>
            </w:pPr>
          </w:p>
        </w:tc>
      </w:tr>
      <w:tr>
        <w:trPr>
          <w:trHeight w:val="218"/>
        </w:trPr>
        <w:tc>
          <w:tcPr>
            <w:tcW w:w="6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5"/>
                <w:szCs w:val="15"/>
                <w:color w:val="auto"/>
              </w:rPr>
              <w:t>Accounts receivable, net</w:t>
            </w: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8,709</w:t>
            </w:r>
          </w:p>
        </w:tc>
        <w:tc>
          <w:tcPr>
            <w:tcW w:w="1860" w:type="dxa"/>
            <w:vAlign w:val="bottom"/>
          </w:tcPr>
          <w:p>
            <w:pPr>
              <w:spacing w:after="0"/>
              <w:rPr>
                <w:sz w:val="18"/>
                <w:szCs w:val="18"/>
                <w:color w:val="auto"/>
              </w:rPr>
            </w:pPr>
          </w:p>
        </w:tc>
      </w:tr>
      <w:tr>
        <w:trPr>
          <w:trHeight w:val="220"/>
        </w:trPr>
        <w:tc>
          <w:tcPr>
            <w:tcW w:w="62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2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860" w:type="dxa"/>
            <w:vAlign w:val="bottom"/>
          </w:tcPr>
          <w:p>
            <w:pPr>
              <w:spacing w:after="0"/>
              <w:rPr>
                <w:sz w:val="19"/>
                <w:szCs w:val="19"/>
                <w:color w:val="auto"/>
              </w:rPr>
            </w:pPr>
          </w:p>
        </w:tc>
      </w:tr>
      <w:tr>
        <w:trPr>
          <w:trHeight w:val="218"/>
        </w:trPr>
        <w:tc>
          <w:tcPr>
            <w:tcW w:w="6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398</w:t>
            </w:r>
          </w:p>
        </w:tc>
        <w:tc>
          <w:tcPr>
            <w:tcW w:w="1860" w:type="dxa"/>
            <w:vAlign w:val="bottom"/>
          </w:tcPr>
          <w:p>
            <w:pPr>
              <w:spacing w:after="0"/>
              <w:rPr>
                <w:sz w:val="18"/>
                <w:szCs w:val="18"/>
                <w:color w:val="auto"/>
              </w:rPr>
            </w:pPr>
          </w:p>
        </w:tc>
      </w:tr>
      <w:tr>
        <w:trPr>
          <w:trHeight w:val="220"/>
        </w:trPr>
        <w:tc>
          <w:tcPr>
            <w:tcW w:w="62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60" w:type="dxa"/>
            <w:vAlign w:val="bottom"/>
          </w:tcPr>
          <w:p>
            <w:pPr>
              <w:spacing w:after="0"/>
              <w:rPr>
                <w:sz w:val="19"/>
                <w:szCs w:val="19"/>
                <w:color w:val="auto"/>
              </w:rPr>
            </w:pPr>
          </w:p>
        </w:tc>
      </w:tr>
      <w:tr>
        <w:trPr>
          <w:trHeight w:val="218"/>
        </w:trPr>
        <w:tc>
          <w:tcPr>
            <w:tcW w:w="62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31,600</w:t>
            </w:r>
          </w:p>
        </w:tc>
        <w:tc>
          <w:tcPr>
            <w:tcW w:w="1860" w:type="dxa"/>
            <w:vAlign w:val="bottom"/>
          </w:tcPr>
          <w:p>
            <w:pPr>
              <w:spacing w:after="0"/>
              <w:rPr>
                <w:sz w:val="18"/>
                <w:szCs w:val="18"/>
                <w:color w:val="auto"/>
              </w:rPr>
            </w:pPr>
          </w:p>
        </w:tc>
      </w:tr>
      <w:tr>
        <w:trPr>
          <w:trHeight w:val="220"/>
        </w:trPr>
        <w:tc>
          <w:tcPr>
            <w:tcW w:w="620" w:type="dxa"/>
            <w:vAlign w:val="bottom"/>
          </w:tcPr>
          <w:p>
            <w:pPr>
              <w:spacing w:after="0"/>
              <w:rPr>
                <w:sz w:val="19"/>
                <w:szCs w:val="19"/>
                <w:color w:val="auto"/>
              </w:rPr>
            </w:pPr>
          </w:p>
        </w:tc>
        <w:tc>
          <w:tcPr>
            <w:tcW w:w="3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Developed technology</w:t>
            </w:r>
          </w:p>
        </w:tc>
        <w:tc>
          <w:tcPr>
            <w:tcW w:w="2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1860" w:type="dxa"/>
            <w:vAlign w:val="bottom"/>
          </w:tcPr>
          <w:p>
            <w:pPr>
              <w:spacing w:after="0"/>
              <w:rPr>
                <w:sz w:val="19"/>
                <w:szCs w:val="19"/>
                <w:color w:val="auto"/>
              </w:rPr>
            </w:pPr>
          </w:p>
        </w:tc>
      </w:tr>
      <w:tr>
        <w:trPr>
          <w:trHeight w:val="218"/>
        </w:trPr>
        <w:tc>
          <w:tcPr>
            <w:tcW w:w="62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Arial" w:cs="Arial" w:eastAsia="Arial" w:hAnsi="Arial"/>
                <w:sz w:val="15"/>
                <w:szCs w:val="15"/>
                <w:color w:val="auto"/>
              </w:rPr>
              <w:t>Trade names and trademarks</w:t>
            </w: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300</w:t>
            </w:r>
          </w:p>
        </w:tc>
        <w:tc>
          <w:tcPr>
            <w:tcW w:w="1860" w:type="dxa"/>
            <w:vAlign w:val="bottom"/>
          </w:tcPr>
          <w:p>
            <w:pPr>
              <w:spacing w:after="0"/>
              <w:rPr>
                <w:sz w:val="18"/>
                <w:szCs w:val="18"/>
                <w:color w:val="auto"/>
              </w:rPr>
            </w:pPr>
          </w:p>
        </w:tc>
      </w:tr>
      <w:tr>
        <w:trPr>
          <w:trHeight w:val="220"/>
        </w:trPr>
        <w:tc>
          <w:tcPr>
            <w:tcW w:w="620" w:type="dxa"/>
            <w:vAlign w:val="bottom"/>
          </w:tcPr>
          <w:p>
            <w:pPr>
              <w:spacing w:after="0"/>
              <w:rPr>
                <w:sz w:val="19"/>
                <w:szCs w:val="19"/>
                <w:color w:val="auto"/>
              </w:rPr>
            </w:pPr>
          </w:p>
        </w:tc>
        <w:tc>
          <w:tcPr>
            <w:tcW w:w="3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Non-compete agreements</w:t>
            </w:r>
          </w:p>
        </w:tc>
        <w:tc>
          <w:tcPr>
            <w:tcW w:w="2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860" w:type="dxa"/>
            <w:vAlign w:val="bottom"/>
          </w:tcPr>
          <w:p>
            <w:pPr>
              <w:spacing w:after="0"/>
              <w:rPr>
                <w:sz w:val="19"/>
                <w:szCs w:val="19"/>
                <w:color w:val="auto"/>
              </w:rPr>
            </w:pPr>
          </w:p>
        </w:tc>
      </w:tr>
      <w:tr>
        <w:trPr>
          <w:trHeight w:val="218"/>
        </w:trPr>
        <w:tc>
          <w:tcPr>
            <w:tcW w:w="620" w:type="dxa"/>
            <w:vAlign w:val="bottom"/>
          </w:tcPr>
          <w:p>
            <w:pPr>
              <w:spacing w:after="0"/>
              <w:rPr>
                <w:sz w:val="18"/>
                <w:szCs w:val="18"/>
                <w:color w:val="auto"/>
              </w:rPr>
            </w:pPr>
          </w:p>
        </w:tc>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29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860" w:type="dxa"/>
            <w:vAlign w:val="bottom"/>
          </w:tcPr>
          <w:p>
            <w:pPr>
              <w:spacing w:after="0"/>
              <w:rPr>
                <w:sz w:val="18"/>
                <w:szCs w:val="18"/>
                <w:color w:val="auto"/>
              </w:rPr>
            </w:pPr>
          </w:p>
        </w:tc>
      </w:tr>
      <w:tr>
        <w:trPr>
          <w:trHeight w:val="213"/>
        </w:trPr>
        <w:tc>
          <w:tcPr>
            <w:tcW w:w="6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370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49,552</w:t>
            </w:r>
          </w:p>
        </w:tc>
        <w:tc>
          <w:tcPr>
            <w:tcW w:w="1860" w:type="dxa"/>
            <w:vAlign w:val="bottom"/>
          </w:tcPr>
          <w:p>
            <w:pPr>
              <w:spacing w:after="0"/>
              <w:rPr>
                <w:sz w:val="18"/>
                <w:szCs w:val="18"/>
                <w:color w:val="auto"/>
              </w:rPr>
            </w:pPr>
          </w:p>
        </w:tc>
      </w:tr>
      <w:tr>
        <w:trPr>
          <w:trHeight w:val="90"/>
        </w:trPr>
        <w:tc>
          <w:tcPr>
            <w:tcW w:w="6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60" w:type="dxa"/>
            <w:vAlign w:val="bottom"/>
          </w:tcPr>
          <w:p>
            <w:pPr>
              <w:spacing w:after="0"/>
              <w:rPr>
                <w:sz w:val="7"/>
                <w:szCs w:val="7"/>
                <w:color w:val="auto"/>
              </w:rPr>
            </w:pPr>
          </w:p>
        </w:tc>
      </w:tr>
      <w:tr>
        <w:trPr>
          <w:trHeight w:val="219"/>
        </w:trPr>
        <w:tc>
          <w:tcPr>
            <w:tcW w:w="62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2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60" w:type="dxa"/>
            <w:vAlign w:val="bottom"/>
          </w:tcPr>
          <w:p>
            <w:pPr>
              <w:spacing w:after="0"/>
              <w:rPr>
                <w:sz w:val="19"/>
                <w:szCs w:val="19"/>
                <w:color w:val="auto"/>
              </w:rPr>
            </w:pPr>
          </w:p>
        </w:tc>
      </w:tr>
      <w:tr>
        <w:trPr>
          <w:trHeight w:val="218"/>
        </w:trPr>
        <w:tc>
          <w:tcPr>
            <w:tcW w:w="6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5"/>
                <w:szCs w:val="15"/>
                <w:color w:val="auto"/>
              </w:rPr>
              <w:t>Accounts payable</w:t>
            </w:r>
          </w:p>
        </w:tc>
        <w:tc>
          <w:tcPr>
            <w:tcW w:w="370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(1,199)</w:t>
            </w:r>
          </w:p>
        </w:tc>
        <w:tc>
          <w:tcPr>
            <w:tcW w:w="1860" w:type="dxa"/>
            <w:vAlign w:val="bottom"/>
          </w:tcPr>
          <w:p>
            <w:pPr>
              <w:spacing w:after="0"/>
              <w:rPr>
                <w:sz w:val="18"/>
                <w:szCs w:val="18"/>
                <w:color w:val="auto"/>
              </w:rPr>
            </w:pPr>
          </w:p>
        </w:tc>
      </w:tr>
      <w:tr>
        <w:trPr>
          <w:trHeight w:val="220"/>
        </w:trPr>
        <w:tc>
          <w:tcPr>
            <w:tcW w:w="62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expenses and other current liabilities</w:t>
            </w:r>
          </w:p>
        </w:tc>
        <w:tc>
          <w:tcPr>
            <w:tcW w:w="2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(4,873)</w:t>
            </w:r>
          </w:p>
        </w:tc>
        <w:tc>
          <w:tcPr>
            <w:tcW w:w="1860" w:type="dxa"/>
            <w:vAlign w:val="bottom"/>
          </w:tcPr>
          <w:p>
            <w:pPr>
              <w:spacing w:after="0"/>
              <w:rPr>
                <w:sz w:val="19"/>
                <w:szCs w:val="19"/>
                <w:color w:val="auto"/>
              </w:rPr>
            </w:pPr>
          </w:p>
        </w:tc>
      </w:tr>
      <w:tr>
        <w:trPr>
          <w:trHeight w:val="785"/>
        </w:trPr>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700" w:type="dxa"/>
            <w:vAlign w:val="bottom"/>
            <w:gridSpan w:val="2"/>
          </w:tcPr>
          <w:p>
            <w:pPr>
              <w:jc w:val="right"/>
              <w:ind w:right="2380"/>
              <w:spacing w:after="0"/>
              <w:rPr>
                <w:sz w:val="20"/>
                <w:szCs w:val="20"/>
                <w:color w:val="auto"/>
              </w:rPr>
            </w:pPr>
            <w:r>
              <w:rPr>
                <w:rFonts w:ascii="Arial" w:cs="Arial" w:eastAsia="Arial" w:hAnsi="Arial"/>
                <w:sz w:val="17"/>
                <w:szCs w:val="17"/>
                <w:color w:val="auto"/>
              </w:rPr>
              <w:t>F-32</w:t>
            </w: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10"/>
        </w:trPr>
        <w:tc>
          <w:tcPr>
            <w:tcW w:w="6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6760" w:type="dxa"/>
            <w:vAlign w:val="bottom"/>
          </w:tcPr>
          <w:p>
            <w:pPr>
              <w:ind w:left="20"/>
              <w:spacing w:after="0"/>
              <w:rPr>
                <w:sz w:val="20"/>
                <w:szCs w:val="20"/>
                <w:color w:val="auto"/>
              </w:rPr>
            </w:pPr>
            <w:r>
              <w:rPr>
                <w:rFonts w:ascii="Arial" w:cs="Arial" w:eastAsia="Arial" w:hAnsi="Arial"/>
                <w:sz w:val="15"/>
                <w:szCs w:val="15"/>
                <w:color w:val="auto"/>
              </w:rPr>
              <w:t>Deferred tax liabilities</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(9,383)</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7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(1,226)</w:t>
            </w:r>
          </w:p>
        </w:tc>
      </w:tr>
      <w:tr>
        <w:trPr>
          <w:trHeight w:val="211"/>
        </w:trPr>
        <w:tc>
          <w:tcPr>
            <w:tcW w:w="676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(16,681)</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assets acquired</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32,871</w:t>
            </w:r>
          </w:p>
        </w:tc>
      </w:tr>
      <w:tr>
        <w:trPr>
          <w:trHeight w:val="218"/>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Goodwill</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57,454</w:t>
            </w: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purchase consideration*</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90,325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Includes contingent consideration of $9,000 recognized at fair value as of the date of acquisition</w:t>
      </w:r>
      <w:r>
        <w:rPr>
          <w:rFonts w:ascii="Arial" w:cs="Arial" w:eastAsia="Arial" w:hAnsi="Arial"/>
          <w:sz w:val="17"/>
          <w:szCs w:val="17"/>
          <w:color w:val="auto"/>
        </w:rPr>
        <w:t>.</w:t>
      </w:r>
    </w:p>
    <w:p>
      <w:pPr>
        <w:spacing w:after="0" w:line="217"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During the years ended December 31, 2022 and 2021, the Company recognized measurement period adjustments, which led to increase in goodwill in an amount of $2,229 and $nil, respectively. These adjustments primarily relate to an increase in income tax liabilities of $988 included under “other non-current liabilities” and post-closing purchase adjustments.</w:t>
      </w:r>
    </w:p>
    <w:p>
      <w:pPr>
        <w:spacing w:after="0" w:line="201"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6"/>
          <w:szCs w:val="16"/>
          <w:color w:val="auto"/>
        </w:rPr>
        <w:t>The fair values of customer relationships were determined by using an “income approach,” specifically the Multi-Period Excess Earnings Method (“MPEEM”). The MPEEM is a specific application of the discounted cash flow method. The principle behind the MPEEM is that the value of an intangible asset is equal to the present value of the incremental after-tax cash flows attributable only to the subject intangible asset after deducting Contributory Asset Charges (“CAC”). The principle behind a CAC is that an intangible asset ‘rents’ or ‘leases’ from a hypothetical third party all the assets it requires to produce the cash flows resulting from its development, that each project rents only those assets it needs (including elements of goodwill) and not the ones that it does not need, and that each project pays the owner of the assets a fair return on (and of, when appropriate) the value of the rented assets. The customer relationship assets are being amortized on a straight-line basis (which approximates the economic pattern of benefits) over the estimated economic life of 7 years.</w:t>
      </w:r>
    </w:p>
    <w:p>
      <w:pPr>
        <w:spacing w:after="0" w:line="199" w:lineRule="exact"/>
        <w:rPr>
          <w:sz w:val="20"/>
          <w:szCs w:val="20"/>
          <w:color w:val="auto"/>
        </w:rPr>
      </w:pPr>
    </w:p>
    <w:p>
      <w:pPr>
        <w:jc w:val="both"/>
        <w:ind w:firstLine="387"/>
        <w:spacing w:after="0" w:line="244" w:lineRule="auto"/>
        <w:rPr>
          <w:sz w:val="20"/>
          <w:szCs w:val="20"/>
          <w:color w:val="auto"/>
        </w:rPr>
      </w:pPr>
      <w:r>
        <w:rPr>
          <w:rFonts w:ascii="Arial" w:cs="Arial" w:eastAsia="Arial" w:hAnsi="Arial"/>
          <w:sz w:val="17"/>
          <w:szCs w:val="17"/>
          <w:color w:val="auto"/>
        </w:rPr>
        <w:t>The fair values of the developed technology intangible assets were determined by using the “cost approach,” specifically the replacement cost method. In the replacement cost approach, the fair value of an asset is based on the cost of a market participant to reconstruct a substitute asset of comparable utility, adjusted for any obsolescence. The fair value of the asset would include the seller’s expected profit margin in the market and any opportunity costs lost over the period to reconstruct the substitute asset. The technology assets are being amortized on a straight-line basis (which approximates the economic pattern of benefits) over the estimated economic life of 3 years.</w:t>
      </w:r>
    </w:p>
    <w:p>
      <w:pPr>
        <w:spacing w:after="0" w:line="205" w:lineRule="exact"/>
        <w:rPr>
          <w:sz w:val="20"/>
          <w:szCs w:val="20"/>
          <w:color w:val="auto"/>
        </w:rPr>
      </w:pPr>
    </w:p>
    <w:p>
      <w:pPr>
        <w:jc w:val="both"/>
        <w:ind w:firstLine="387"/>
        <w:spacing w:after="0" w:line="300" w:lineRule="auto"/>
        <w:rPr>
          <w:sz w:val="20"/>
          <w:szCs w:val="20"/>
          <w:color w:val="auto"/>
        </w:rPr>
      </w:pPr>
      <w:r>
        <w:rPr>
          <w:rFonts w:ascii="Arial" w:cs="Arial" w:eastAsia="Arial" w:hAnsi="Arial"/>
          <w:sz w:val="15"/>
          <w:szCs w:val="15"/>
          <w:color w:val="auto"/>
        </w:rPr>
        <w:t>The goodwill recognized represents the acquired capabilities, operating synergies and other benefits expected to result from combining the acquired operations with the Company’s existing operations. The amount of goodwill recognized from Clairvoyant’s acquisition is not deductible for tax purposes. The goodwill has been assigned to the Company’s Analytics reportable segment based upon the Company’s assessment of nature of services rendered by Clairvoyant.</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Acquisition-related costs are being expensed as incurred and are included in general and administrative expenses in the consolidated statements of income.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acquisition-related costs of $134 and $761 during the years ended December 31, 2022 and 2021, respectively.</w:t>
      </w:r>
    </w:p>
    <w:p>
      <w:pPr>
        <w:spacing w:after="0" w:line="203"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The results of operations of the acquired business and the fair value of the acquired assets and assumed liabilities are included in the Company’s consolidated financial statements with effect from the date of the acquisition. The acquisition did not materially impact the Company’s financial position, results of operations or cash flows, and therefore, the Company has not provided unaudited supplemental pro forma results.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Inbound Media Group, LLC</w:t>
      </w:r>
    </w:p>
    <w:p>
      <w:pPr>
        <w:spacing w:after="0" w:line="236"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5"/>
          <w:szCs w:val="15"/>
          <w:color w:val="auto"/>
        </w:rPr>
        <w:t>On June 10, 2022, the Company, through its wholly owned subsidiary ExlService.com, LLC, entered into an Asset Purchase Agreement to acquire certain assets of Inbound, a Wyoming limited liability company, which is a digital marketing business focused primarily on lead generation in the insurance space, for cash consideration of $1,469 and contingent consideration with an estimated fair value of $1,439 as of the date of acquisition based on the achievement of certain performance goals by Inbound during the 2022 to 2024 calendar years. The contingent consideration had an estimated fair value of $1,189 as of December 31, 2022, and has been presented as contingent consideration under “Other non-current liabilities,” in the consolidated balance sheets. Changes in the fair value of contingent consideration were recognized in the consolidated statements of income and presented as a part of “Other income/(loss), net.”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6"/>
          <w:szCs w:val="16"/>
          <w:color w:val="auto"/>
        </w:rPr>
        <w:t>The Company accounted for this business combination using the acquisition method of accounting. Goodwill and intangible assets of $1,992 and $916, respectively, were recognized by the Company as a result of this transaction. The goodwill recognized for this business is deductible for income tax purposes. The acquisition strengthens the Company’s capabilities in digital direct-to-consumer marketing by adding performance marketing, lead generation and customer engagement capabilities to its suite of end-to-end marketing solutions, proprietary data sets and robust consumer analytics.</w:t>
      </w:r>
    </w:p>
    <w:p>
      <w:pPr>
        <w:spacing w:after="0" w:line="190"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The results of operations of the acquired business and the fair value of the net assets acquired are included in the Company’s consolidated financial statements with effect from the date of the acquisition. The acquisition did not materially impact the Company’s financial position, results of operations or cash flows, and therefore, the Company has not provided unaudited supplemental pro forma results.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details of changes in goodwill by reportable segment of the Company:</w:t>
      </w:r>
    </w:p>
    <w:p>
      <w:pPr>
        <w:spacing w:after="0" w:line="186" w:lineRule="exact"/>
        <w:rPr>
          <w:sz w:val="20"/>
          <w:szCs w:val="20"/>
          <w:color w:val="auto"/>
        </w:rPr>
      </w:pPr>
    </w:p>
    <w:tbl>
      <w:tblPr>
        <w:tblLayout w:type="fixed"/>
        <w:tblInd w:w="84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Insurance</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Healthcare</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Emerging</w:t>
            </w: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Analytics</w:t>
            </w:r>
          </w:p>
        </w:tc>
        <w:tc>
          <w:tcPr>
            <w:tcW w:w="220" w:type="dxa"/>
            <w:vAlign w:val="bottom"/>
          </w:tcPr>
          <w:p>
            <w:pPr>
              <w:spacing w:after="0"/>
              <w:rPr>
                <w:sz w:val="14"/>
                <w:szCs w:val="14"/>
                <w:color w:val="auto"/>
              </w:rPr>
            </w:pPr>
          </w:p>
        </w:tc>
        <w:tc>
          <w:tcPr>
            <w:tcW w:w="800" w:type="dxa"/>
            <w:vAlign w:val="bottom"/>
            <w:vMerge w:val="restart"/>
          </w:tcPr>
          <w:p>
            <w:pPr>
              <w:jc w:val="right"/>
              <w:ind w:right="25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86"/>
              </w:rPr>
              <w:t>Business</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21,953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227,288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349,088</w:t>
            </w:r>
          </w:p>
        </w:tc>
        <w:tc>
          <w:tcPr>
            <w:tcW w:w="0" w:type="dxa"/>
            <w:vAlign w:val="bottom"/>
          </w:tcPr>
          <w:p>
            <w:pPr>
              <w:spacing w:after="0"/>
              <w:rPr>
                <w:sz w:val="1"/>
                <w:szCs w:val="1"/>
                <w:color w:val="auto"/>
              </w:rPr>
            </w:pPr>
          </w:p>
        </w:tc>
      </w:tr>
      <w:tr>
        <w:trPr>
          <w:trHeight w:val="218"/>
        </w:trPr>
        <w:tc>
          <w:tcPr>
            <w:tcW w:w="3540" w:type="dxa"/>
            <w:vAlign w:val="bottom"/>
          </w:tcPr>
          <w:p>
            <w:pPr>
              <w:ind w:left="220"/>
              <w:spacing w:after="0"/>
              <w:rPr>
                <w:sz w:val="20"/>
                <w:szCs w:val="20"/>
                <w:color w:val="auto"/>
              </w:rPr>
            </w:pPr>
            <w:r>
              <w:rPr>
                <w:rFonts w:ascii="Arial" w:cs="Arial" w:eastAsia="Arial" w:hAnsi="Arial"/>
                <w:sz w:val="17"/>
                <w:szCs w:val="17"/>
                <w:color w:val="auto"/>
              </w:rPr>
              <w:t>Acquisition</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55,225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55,225</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11"/>
        </w:trPr>
        <w:tc>
          <w:tcPr>
            <w:tcW w:w="3540" w:type="dxa"/>
            <w:vAlign w:val="bottom"/>
          </w:tcPr>
          <w:p>
            <w:pPr>
              <w:ind w:left="20"/>
              <w:spacing w:after="0"/>
              <w:rPr>
                <w:sz w:val="20"/>
                <w:szCs w:val="20"/>
                <w:color w:val="auto"/>
              </w:rPr>
            </w:pPr>
            <w:r>
              <w:rPr>
                <w:rFonts w:ascii="Arial" w:cs="Arial" w:eastAsia="Arial" w:hAnsi="Arial"/>
                <w:sz w:val="17"/>
                <w:szCs w:val="17"/>
                <w:color w:val="auto"/>
              </w:rPr>
              <w:t>Balance as of December 31, 2021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50,428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21,942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49,020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282,512</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403,902</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w:t>
            </w:r>
          </w:p>
        </w:tc>
        <w:tc>
          <w:tcPr>
            <w:tcW w:w="0" w:type="dxa"/>
            <w:vAlign w:val="bottom"/>
          </w:tcPr>
          <w:p>
            <w:pPr>
              <w:spacing w:after="0"/>
              <w:rPr>
                <w:sz w:val="1"/>
                <w:szCs w:val="1"/>
                <w:color w:val="auto"/>
              </w:rPr>
            </w:pPr>
          </w:p>
        </w:tc>
      </w:tr>
      <w:tr>
        <w:trPr>
          <w:trHeight w:val="218"/>
        </w:trPr>
        <w:tc>
          <w:tcPr>
            <w:tcW w:w="3540" w:type="dxa"/>
            <w:vAlign w:val="bottom"/>
          </w:tcPr>
          <w:p>
            <w:pPr>
              <w:ind w:left="220"/>
              <w:spacing w:after="0"/>
              <w:rPr>
                <w:sz w:val="20"/>
                <w:szCs w:val="20"/>
                <w:color w:val="auto"/>
              </w:rPr>
            </w:pPr>
            <w:r>
              <w:rPr>
                <w:rFonts w:ascii="Arial" w:cs="Arial" w:eastAsia="Arial" w:hAnsi="Arial"/>
                <w:sz w:val="17"/>
                <w:szCs w:val="17"/>
                <w:color w:val="auto"/>
              </w:rPr>
              <w:t>Measurement period adjustments</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2,229</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(2,486)</w:t>
            </w:r>
          </w:p>
        </w:tc>
        <w:tc>
          <w:tcPr>
            <w:tcW w:w="0" w:type="dxa"/>
            <w:vAlign w:val="bottom"/>
          </w:tcPr>
          <w:p>
            <w:pPr>
              <w:spacing w:after="0"/>
              <w:rPr>
                <w:sz w:val="1"/>
                <w:szCs w:val="1"/>
                <w:color w:val="auto"/>
              </w:rPr>
            </w:pPr>
          </w:p>
        </w:tc>
      </w:tr>
      <w:tr>
        <w:trPr>
          <w:trHeight w:val="211"/>
        </w:trPr>
        <w:tc>
          <w:tcPr>
            <w:tcW w:w="3540" w:type="dxa"/>
            <w:vAlign w:val="bottom"/>
          </w:tcPr>
          <w:p>
            <w:pPr>
              <w:ind w:left="20"/>
              <w:spacing w:after="0"/>
              <w:rPr>
                <w:sz w:val="20"/>
                <w:szCs w:val="20"/>
                <w:color w:val="auto"/>
              </w:rPr>
            </w:pPr>
            <w:r>
              <w:rPr>
                <w:rFonts w:ascii="Arial" w:cs="Arial" w:eastAsia="Arial" w:hAnsi="Arial"/>
                <w:sz w:val="17"/>
                <w:szCs w:val="17"/>
                <w:color w:val="auto"/>
              </w:rPr>
              <w:t>Balance as of December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286,732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405,637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During the fourth quarter of 2022, the Company performed its annual goodwill quantitative impairment test for those reporting units that had goodwill recorded. Key assumptions used in determining the fair value of the Company’s reporting units were, a long-term revenue growth rate in the terminal year of 3.0%, which was based upon expected long-term inflation rate and real gross domestic product growth over a long-term, and discount rate of up to 10.0%, which vary based upon the risks and uncertainties inherent in each individual reporting unit. Based on the results, the fair value of each of the Company’s reporting units exceeded their carrying value and the Company’s goodwill was not impaired. During the fourth quarter of 2021, the Company performed its annual goodwill impairment test, as it has done this year, and also concluded goodwill was not impaired.</w:t>
      </w:r>
    </w:p>
    <w:p>
      <w:pPr>
        <w:spacing w:after="0" w:line="132" w:lineRule="exact"/>
        <w:rPr>
          <w:sz w:val="20"/>
          <w:szCs w:val="20"/>
          <w:color w:val="auto"/>
        </w:rPr>
      </w:pPr>
    </w:p>
    <w:p>
      <w:pPr>
        <w:jc w:val="both"/>
        <w:ind w:firstLine="387"/>
        <w:spacing w:after="0" w:line="251" w:lineRule="auto"/>
        <w:rPr>
          <w:sz w:val="20"/>
          <w:szCs w:val="20"/>
          <w:color w:val="auto"/>
        </w:rPr>
      </w:pPr>
      <w:r>
        <w:rPr>
          <w:rFonts w:ascii="Arial" w:cs="Arial" w:eastAsia="Arial" w:hAnsi="Arial"/>
          <w:sz w:val="17"/>
          <w:szCs w:val="17"/>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 The Company believes there are significant opportunities for additional growth within its existing clients, and can expand these relationships by:</w:t>
      </w:r>
    </w:p>
    <w:p>
      <w:pPr>
        <w:spacing w:after="0" w:line="123" w:lineRule="exact"/>
        <w:rPr>
          <w:sz w:val="20"/>
          <w:szCs w:val="20"/>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Increasing the depth and breadth of the services the Company provides across its clients’ value chains and geographies;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Offering the full suite of the Company's services, which includes digital operations and solutions and data and analytics;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Supporting the Company's clients’ geographic expansion leveraging its global footprint.</w:t>
      </w:r>
    </w:p>
    <w:p>
      <w:pPr>
        <w:spacing w:after="0" w:line="165"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The Company also considers selective strategic relationships with industry leaders that add new long-term client relationships, enhance the depth and breadth of its services and solutions, and complement its business strategy. Through its various Partnership programs, the Company expands its technology and innovation ecosystem with select partnerships, alliances or investments that the Company expects will enhance go-to-market opportunities and expand the scope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effectiveness of the Company’s services and solutions by adding digital assets and intellectual property, which will help the Company to win new clients or allowing it to enter new industry verticals and geographic markets.</w:t>
      </w:r>
    </w:p>
    <w:p>
      <w:pPr>
        <w:spacing w:after="0" w:line="113" w:lineRule="exact"/>
        <w:rPr>
          <w:sz w:val="20"/>
          <w:szCs w:val="20"/>
          <w:color w:val="auto"/>
        </w:rPr>
      </w:pPr>
    </w:p>
    <w:p>
      <w:pPr>
        <w:jc w:val="both"/>
        <w:ind w:right="100" w:firstLine="387"/>
        <w:spacing w:after="0" w:line="258" w:lineRule="auto"/>
        <w:rPr>
          <w:sz w:val="20"/>
          <w:szCs w:val="20"/>
          <w:color w:val="auto"/>
        </w:rPr>
      </w:pPr>
      <w:r>
        <w:rPr>
          <w:rFonts w:ascii="Arial" w:cs="Arial" w:eastAsia="Arial" w:hAnsi="Arial"/>
          <w:sz w:val="17"/>
          <w:szCs w:val="17"/>
          <w:color w:val="auto"/>
        </w:rPr>
        <w:t>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of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 The Company continues to monitor significant changes in key assumptions that could result in future period impairment charges.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Information regarding the Company’s intangible assets is set forth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7"/>
          </w:tcPr>
          <w:p>
            <w:pPr>
              <w:ind w:left="160"/>
              <w:spacing w:after="0"/>
              <w:rPr>
                <w:sz w:val="20"/>
                <w:szCs w:val="20"/>
                <w:color w:val="auto"/>
              </w:rPr>
            </w:pPr>
            <w:r>
              <w:rPr>
                <w:rFonts w:ascii="Arial" w:cs="Arial" w:eastAsia="Arial" w:hAnsi="Arial"/>
                <w:sz w:val="15"/>
                <w:szCs w:val="15"/>
                <w:b w:val="1"/>
                <w:bCs w:val="1"/>
                <w:color w:val="auto"/>
                <w:w w:val="96"/>
              </w:rPr>
              <w:t>As of December 31, 2022</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50"/>
        </w:trPr>
        <w:tc>
          <w:tcPr>
            <w:tcW w:w="4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jc w:val="right"/>
              <w:ind w:right="75"/>
              <w:spacing w:after="0" w:line="151" w:lineRule="exact"/>
              <w:rPr>
                <w:sz w:val="20"/>
                <w:szCs w:val="20"/>
                <w:color w:val="auto"/>
              </w:rPr>
            </w:pPr>
            <w:r>
              <w:rPr>
                <w:rFonts w:ascii="Arial" w:cs="Arial" w:eastAsia="Arial" w:hAnsi="Arial"/>
                <w:sz w:val="15"/>
                <w:szCs w:val="15"/>
                <w:b w:val="1"/>
                <w:bCs w:val="1"/>
                <w:color w:val="auto"/>
                <w:w w:val="96"/>
              </w:rPr>
              <w:t>Gross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4"/>
          </w:tcPr>
          <w:p>
            <w:pPr>
              <w:ind w:left="80"/>
              <w:spacing w:after="0" w:line="151" w:lineRule="exact"/>
              <w:rPr>
                <w:sz w:val="20"/>
                <w:szCs w:val="20"/>
                <w:color w:val="auto"/>
              </w:rPr>
            </w:pPr>
            <w:r>
              <w:rPr>
                <w:rFonts w:ascii="Arial" w:cs="Arial" w:eastAsia="Arial" w:hAnsi="Arial"/>
                <w:sz w:val="15"/>
                <w:szCs w:val="15"/>
                <w:b w:val="1"/>
                <w:bCs w:val="1"/>
                <w:color w:val="auto"/>
              </w:rPr>
              <w:t>Accumulated</w:t>
            </w:r>
          </w:p>
        </w:tc>
        <w:tc>
          <w:tcPr>
            <w:tcW w:w="180" w:type="dxa"/>
            <w:vAlign w:val="bottom"/>
          </w:tcPr>
          <w:p>
            <w:pPr>
              <w:spacing w:after="0"/>
              <w:rPr>
                <w:sz w:val="13"/>
                <w:szCs w:val="13"/>
                <w:color w:val="auto"/>
              </w:rPr>
            </w:pPr>
          </w:p>
        </w:tc>
        <w:tc>
          <w:tcPr>
            <w:tcW w:w="880" w:type="dxa"/>
            <w:vAlign w:val="bottom"/>
            <w:gridSpan w:val="2"/>
          </w:tcPr>
          <w:p>
            <w:pPr>
              <w:jc w:val="right"/>
              <w:spacing w:after="0" w:line="151" w:lineRule="exact"/>
              <w:rPr>
                <w:sz w:val="20"/>
                <w:szCs w:val="20"/>
                <w:color w:val="auto"/>
              </w:rPr>
            </w:pPr>
            <w:r>
              <w:rPr>
                <w:rFonts w:ascii="Arial" w:cs="Arial" w:eastAsia="Arial" w:hAnsi="Arial"/>
                <w:sz w:val="15"/>
                <w:szCs w:val="15"/>
                <w:b w:val="1"/>
                <w:bCs w:val="1"/>
                <w:color w:val="auto"/>
              </w:rPr>
              <w:t>Net Carryin</w:t>
            </w:r>
          </w:p>
        </w:tc>
      </w:tr>
      <w:tr>
        <w:trPr>
          <w:trHeight w:val="204"/>
        </w:trPr>
        <w:tc>
          <w:tcPr>
            <w:tcW w:w="4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gridSpan w:val="6"/>
          </w:tcPr>
          <w:p>
            <w:pPr>
              <w:ind w:left="240"/>
              <w:spacing w:after="0"/>
              <w:rPr>
                <w:sz w:val="20"/>
                <w:szCs w:val="20"/>
                <w:color w:val="auto"/>
              </w:rPr>
            </w:pPr>
            <w:r>
              <w:rPr>
                <w:rFonts w:ascii="Arial" w:cs="Arial" w:eastAsia="Arial" w:hAnsi="Arial"/>
                <w:sz w:val="15"/>
                <w:szCs w:val="15"/>
                <w:b w:val="1"/>
                <w:bCs w:val="1"/>
                <w:color w:val="auto"/>
              </w:rPr>
              <w:t>Carrying Amount</w:t>
            </w:r>
          </w:p>
        </w:tc>
        <w:tc>
          <w:tcPr>
            <w:tcW w:w="160" w:type="dxa"/>
            <w:vAlign w:val="bottom"/>
          </w:tcPr>
          <w:p>
            <w:pPr>
              <w:spacing w:after="0"/>
              <w:rPr>
                <w:sz w:val="17"/>
                <w:szCs w:val="17"/>
                <w:color w:val="auto"/>
              </w:rPr>
            </w:pPr>
          </w:p>
        </w:tc>
        <w:tc>
          <w:tcPr>
            <w:tcW w:w="1280" w:type="dxa"/>
            <w:vAlign w:val="bottom"/>
            <w:gridSpan w:val="4"/>
          </w:tcPr>
          <w:p>
            <w:pPr>
              <w:ind w:left="60"/>
              <w:spacing w:after="0"/>
              <w:rPr>
                <w:sz w:val="20"/>
                <w:szCs w:val="20"/>
                <w:color w:val="auto"/>
              </w:rPr>
            </w:pPr>
            <w:r>
              <w:rPr>
                <w:rFonts w:ascii="Arial" w:cs="Arial" w:eastAsia="Arial" w:hAnsi="Arial"/>
                <w:sz w:val="15"/>
                <w:szCs w:val="15"/>
                <w:b w:val="1"/>
                <w:bCs w:val="1"/>
                <w:color w:val="auto"/>
              </w:rPr>
              <w:t>Amortization</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Amount</w:t>
            </w:r>
          </w:p>
        </w:tc>
      </w:tr>
      <w:tr>
        <w:trPr>
          <w:trHeight w:val="201"/>
        </w:trPr>
        <w:tc>
          <w:tcPr>
            <w:tcW w:w="420" w:type="dxa"/>
            <w:vAlign w:val="bottom"/>
          </w:tcPr>
          <w:p>
            <w:pPr>
              <w:spacing w:after="0"/>
              <w:rPr>
                <w:sz w:val="17"/>
                <w:szCs w:val="17"/>
                <w:color w:val="auto"/>
              </w:rPr>
            </w:pPr>
          </w:p>
        </w:tc>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18"/>
        </w:trPr>
        <w:tc>
          <w:tcPr>
            <w:tcW w:w="42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99,146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(39,848)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420" w:type="dxa"/>
            <w:vAlign w:val="bottom"/>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24,878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(20,902)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42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7"/>
                <w:szCs w:val="17"/>
                <w:color w:val="auto"/>
              </w:rPr>
              <w:t>Trade names and trademarks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w w:val="93"/>
              </w:rPr>
              <w:t>1,700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(1,303)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20" w:type="dxa"/>
            <w:vAlign w:val="bottom"/>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4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212"/>
        </w:trPr>
        <w:tc>
          <w:tcPr>
            <w:tcW w:w="4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126,060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(62,141)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63,</w:t>
            </w:r>
          </w:p>
        </w:tc>
      </w:tr>
      <w:tr>
        <w:trPr>
          <w:trHeight w:val="220"/>
        </w:trPr>
        <w:tc>
          <w:tcPr>
            <w:tcW w:w="420" w:type="dxa"/>
            <w:vAlign w:val="bottom"/>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Indefinite-lived intangible assets:</w:t>
            </w: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8"/>
        </w:trPr>
        <w:tc>
          <w:tcPr>
            <w:tcW w:w="420" w:type="dxa"/>
            <w:vAlign w:val="bottom"/>
          </w:tcPr>
          <w:p>
            <w:pPr>
              <w:spacing w:after="0"/>
              <w:rPr>
                <w:sz w:val="18"/>
                <w:szCs w:val="18"/>
                <w:color w:val="auto"/>
              </w:rPr>
            </w:pPr>
          </w:p>
        </w:tc>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 names and trademarks</w:t>
            </w:r>
          </w:p>
        </w:tc>
        <w:tc>
          <w:tcPr>
            <w:tcW w:w="4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32"/>
        </w:trPr>
        <w:tc>
          <w:tcPr>
            <w:tcW w:w="4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4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126,960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(62,141)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0"/>
        </w:trPr>
        <w:tc>
          <w:tcPr>
            <w:tcW w:w="4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59"/>
        </w:trPr>
        <w:tc>
          <w:tcPr>
            <w:tcW w:w="4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right"/>
              <w:spacing w:after="0"/>
              <w:rPr>
                <w:sz w:val="20"/>
                <w:szCs w:val="20"/>
                <w:color w:val="auto"/>
              </w:rPr>
            </w:pPr>
            <w:r>
              <w:rPr>
                <w:rFonts w:ascii="Arial" w:cs="Arial" w:eastAsia="Arial" w:hAnsi="Arial"/>
                <w:sz w:val="15"/>
                <w:szCs w:val="15"/>
                <w:b w:val="1"/>
                <w:bCs w:val="1"/>
                <w:color w:val="auto"/>
              </w:rPr>
              <w:t>As of December 31, 2021</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0"/>
        </w:trPr>
        <w:tc>
          <w:tcPr>
            <w:tcW w:w="4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Gross</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right"/>
              <w:ind w:right="155"/>
              <w:spacing w:after="0" w:line="151" w:lineRule="exact"/>
              <w:rPr>
                <w:sz w:val="20"/>
                <w:szCs w:val="20"/>
                <w:color w:val="auto"/>
              </w:rPr>
            </w:pPr>
            <w:r>
              <w:rPr>
                <w:rFonts w:ascii="Arial" w:cs="Arial" w:eastAsia="Arial" w:hAnsi="Arial"/>
                <w:sz w:val="15"/>
                <w:szCs w:val="15"/>
                <w:b w:val="1"/>
                <w:bCs w:val="1"/>
                <w:color w:val="auto"/>
              </w:rPr>
              <w:t>Accumulated</w:t>
            </w:r>
          </w:p>
        </w:tc>
        <w:tc>
          <w:tcPr>
            <w:tcW w:w="100" w:type="dxa"/>
            <w:vAlign w:val="bottom"/>
          </w:tcPr>
          <w:p>
            <w:pPr>
              <w:spacing w:after="0"/>
              <w:rPr>
                <w:sz w:val="13"/>
                <w:szCs w:val="13"/>
                <w:color w:val="auto"/>
              </w:rPr>
            </w:pPr>
          </w:p>
        </w:tc>
        <w:tc>
          <w:tcPr>
            <w:tcW w:w="1360" w:type="dxa"/>
            <w:vAlign w:val="bottom"/>
            <w:gridSpan w:val="4"/>
          </w:tcPr>
          <w:p>
            <w:pPr>
              <w:jc w:val="right"/>
              <w:ind w:right="155"/>
              <w:spacing w:after="0" w:line="151" w:lineRule="exact"/>
              <w:rPr>
                <w:sz w:val="20"/>
                <w:szCs w:val="20"/>
                <w:color w:val="auto"/>
              </w:rPr>
            </w:pPr>
            <w:r>
              <w:rPr>
                <w:rFonts w:ascii="Arial" w:cs="Arial" w:eastAsia="Arial" w:hAnsi="Arial"/>
                <w:sz w:val="15"/>
                <w:szCs w:val="15"/>
                <w:b w:val="1"/>
                <w:bCs w:val="1"/>
                <w:color w:val="auto"/>
              </w:rPr>
              <w:t>Net Carrying</w:t>
            </w:r>
          </w:p>
        </w:tc>
        <w:tc>
          <w:tcPr>
            <w:tcW w:w="100" w:type="dxa"/>
            <w:vAlign w:val="bottom"/>
          </w:tcPr>
          <w:p>
            <w:pPr>
              <w:spacing w:after="0"/>
              <w:rPr>
                <w:sz w:val="13"/>
                <w:szCs w:val="13"/>
                <w:color w:val="auto"/>
              </w:rPr>
            </w:pPr>
          </w:p>
        </w:tc>
      </w:tr>
      <w:tr>
        <w:trPr>
          <w:trHeight w:val="204"/>
        </w:trPr>
        <w:tc>
          <w:tcPr>
            <w:tcW w:w="4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640" w:type="dxa"/>
            <w:vAlign w:val="bottom"/>
            <w:gridSpan w:val="3"/>
          </w:tcPr>
          <w:p>
            <w:pPr>
              <w:jc w:val="right"/>
              <w:ind w:right="115"/>
              <w:spacing w:after="0"/>
              <w:rPr>
                <w:sz w:val="20"/>
                <w:szCs w:val="20"/>
                <w:color w:val="auto"/>
              </w:rPr>
            </w:pPr>
            <w:r>
              <w:rPr>
                <w:rFonts w:ascii="Arial" w:cs="Arial" w:eastAsia="Arial" w:hAnsi="Arial"/>
                <w:sz w:val="15"/>
                <w:szCs w:val="15"/>
                <w:b w:val="1"/>
                <w:bCs w:val="1"/>
                <w:color w:val="auto"/>
              </w:rPr>
              <w:t>Carrying 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right"/>
              <w:ind w:right="155"/>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5"/>
                <w:szCs w:val="15"/>
                <w:b w:val="1"/>
                <w:bCs w:val="1"/>
                <w:color w:val="auto"/>
              </w:rPr>
              <w:t>Amount</w:t>
            </w:r>
          </w:p>
        </w:tc>
      </w:tr>
      <w:tr>
        <w:trPr>
          <w:trHeight w:val="201"/>
        </w:trPr>
        <w:tc>
          <w:tcPr>
            <w:tcW w:w="6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103,016</w:t>
            </w:r>
          </w:p>
        </w:tc>
        <w:tc>
          <w:tcPr>
            <w:tcW w:w="480" w:type="dxa"/>
            <w:vAlign w:val="bottom"/>
            <w:gridSpan w:val="3"/>
          </w:tcPr>
          <w:p>
            <w:pPr>
              <w:jc w:val="right"/>
              <w:ind w:right="14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(33,018)</w:t>
            </w:r>
          </w:p>
        </w:tc>
        <w:tc>
          <w:tcPr>
            <w:tcW w:w="400" w:type="dxa"/>
            <w:vAlign w:val="bottom"/>
            <w:gridSpan w:val="2"/>
          </w:tcPr>
          <w:p>
            <w:pPr>
              <w:jc w:val="right"/>
              <w:ind w:right="11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69,998</w:t>
            </w:r>
          </w:p>
        </w:tc>
        <w:tc>
          <w:tcPr>
            <w:tcW w:w="100" w:type="dxa"/>
            <w:vAlign w:val="bottom"/>
          </w:tcPr>
          <w:p>
            <w:pPr>
              <w:spacing w:after="0"/>
              <w:rPr>
                <w:sz w:val="18"/>
                <w:szCs w:val="18"/>
                <w:color w:val="auto"/>
              </w:rPr>
            </w:pPr>
          </w:p>
        </w:tc>
      </w:tr>
      <w:tr>
        <w:trPr>
          <w:trHeight w:val="22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9,190</w:t>
            </w:r>
          </w:p>
        </w:tc>
        <w:tc>
          <w:tcPr>
            <w:tcW w:w="100" w:type="dxa"/>
            <w:vAlign w:val="bottom"/>
          </w:tcPr>
          <w:p>
            <w:pPr>
              <w:spacing w:after="0"/>
              <w:rPr>
                <w:sz w:val="19"/>
                <w:szCs w:val="19"/>
                <w:color w:val="auto"/>
              </w:rPr>
            </w:pPr>
          </w:p>
        </w:tc>
      </w:tr>
      <w:tr>
        <w:trPr>
          <w:trHeight w:val="21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Trade names and trademarks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694</w:t>
            </w:r>
          </w:p>
        </w:tc>
        <w:tc>
          <w:tcPr>
            <w:tcW w:w="100" w:type="dxa"/>
            <w:vAlign w:val="bottom"/>
          </w:tcPr>
          <w:p>
            <w:pPr>
              <w:spacing w:after="0"/>
              <w:rPr>
                <w:sz w:val="18"/>
                <w:szCs w:val="18"/>
                <w:color w:val="auto"/>
              </w:rPr>
            </w:pPr>
          </w:p>
        </w:tc>
      </w:tr>
      <w:tr>
        <w:trPr>
          <w:trHeight w:val="21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4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r>
      <w:tr>
        <w:trPr>
          <w:trHeight w:val="212"/>
        </w:trPr>
        <w:tc>
          <w:tcPr>
            <w:tcW w:w="4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130,056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(49,874)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80,182</w:t>
            </w:r>
          </w:p>
        </w:tc>
        <w:tc>
          <w:tcPr>
            <w:tcW w:w="100" w:type="dxa"/>
            <w:vAlign w:val="bottom"/>
          </w:tcPr>
          <w:p>
            <w:pPr>
              <w:spacing w:after="0"/>
              <w:rPr>
                <w:sz w:val="18"/>
                <w:szCs w:val="18"/>
                <w:color w:val="auto"/>
              </w:rPr>
            </w:pPr>
          </w:p>
        </w:tc>
      </w:tr>
      <w:tr>
        <w:trPr>
          <w:trHeight w:val="20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Indefinite-lived intangible assets: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Trade names and trademarks</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Pr>
          <w:p>
            <w:pPr>
              <w:spacing w:after="0"/>
              <w:rPr>
                <w:sz w:val="18"/>
                <w:szCs w:val="18"/>
                <w:color w:val="auto"/>
              </w:rPr>
            </w:pPr>
          </w:p>
        </w:tc>
      </w:tr>
      <w:tr>
        <w:trPr>
          <w:trHeight w:val="232"/>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130,956</w:t>
            </w:r>
          </w:p>
        </w:tc>
        <w:tc>
          <w:tcPr>
            <w:tcW w:w="480" w:type="dxa"/>
            <w:vAlign w:val="bottom"/>
            <w:gridSpan w:val="3"/>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(49,874)</w:t>
            </w:r>
          </w:p>
        </w:tc>
        <w:tc>
          <w:tcPr>
            <w:tcW w:w="40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81,082</w:t>
            </w:r>
          </w:p>
        </w:tc>
        <w:tc>
          <w:tcPr>
            <w:tcW w:w="100" w:type="dxa"/>
            <w:vAlign w:val="bottom"/>
          </w:tcPr>
          <w:p>
            <w:pPr>
              <w:spacing w:after="0"/>
              <w:rPr>
                <w:sz w:val="20"/>
                <w:szCs w:val="20"/>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amortization expense recognized in the consolidated statements of income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5"/>
                <w:szCs w:val="15"/>
                <w:b w:val="1"/>
                <w:bCs w:val="1"/>
                <w:color w:val="auto"/>
                <w:w w:val="93"/>
              </w:rPr>
              <w:t>Year ended December 31,</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r>
      <w:tr>
        <w:trPr>
          <w:trHeight w:val="200"/>
        </w:trPr>
        <w:tc>
          <w:tcPr>
            <w:tcW w:w="540" w:type="dxa"/>
            <w:vAlign w:val="bottom"/>
          </w:tcPr>
          <w:p>
            <w:pPr>
              <w:spacing w:after="0"/>
              <w:rPr>
                <w:sz w:val="17"/>
                <w:szCs w:val="17"/>
                <w:color w:val="auto"/>
              </w:rPr>
            </w:pPr>
          </w:p>
        </w:tc>
        <w:tc>
          <w:tcPr>
            <w:tcW w:w="46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8"/>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8"/>
              <w:spacing w:after="0"/>
              <w:rPr>
                <w:sz w:val="20"/>
                <w:szCs w:val="20"/>
                <w:color w:val="auto"/>
              </w:rPr>
            </w:pPr>
            <w:r>
              <w:rPr>
                <w:rFonts w:ascii="Arial" w:cs="Arial" w:eastAsia="Arial" w:hAnsi="Arial"/>
                <w:sz w:val="15"/>
                <w:szCs w:val="15"/>
                <w:b w:val="1"/>
                <w:bCs w:val="1"/>
                <w:color w:val="auto"/>
              </w:rPr>
              <w:t>2020</w:t>
            </w:r>
          </w:p>
        </w:tc>
        <w:tc>
          <w:tcPr>
            <w:tcW w:w="520" w:type="dxa"/>
            <w:vAlign w:val="bottom"/>
          </w:tcPr>
          <w:p>
            <w:pPr>
              <w:spacing w:after="0"/>
              <w:rPr>
                <w:sz w:val="17"/>
                <w:szCs w:val="17"/>
                <w:color w:val="auto"/>
              </w:rPr>
            </w:pPr>
          </w:p>
        </w:tc>
      </w:tr>
      <w:tr>
        <w:trPr>
          <w:trHeight w:val="239"/>
        </w:trPr>
        <w:tc>
          <w:tcPr>
            <w:tcW w:w="54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Amortization expense</w:t>
            </w: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17,109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14,412</w:t>
            </w:r>
          </w:p>
        </w:tc>
        <w:tc>
          <w:tcPr>
            <w:tcW w:w="520" w:type="dxa"/>
            <w:vAlign w:val="bottom"/>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821"/>
        </w:trPr>
        <w:tc>
          <w:tcPr>
            <w:tcW w:w="5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20" w:type="dxa"/>
            <w:vAlign w:val="bottom"/>
          </w:tcPr>
          <w:p>
            <w:pPr>
              <w:jc w:val="right"/>
              <w:ind w:right="477"/>
              <w:spacing w:after="0"/>
              <w:rPr>
                <w:sz w:val="20"/>
                <w:szCs w:val="20"/>
                <w:color w:val="auto"/>
              </w:rPr>
            </w:pPr>
            <w:r>
              <w:rPr>
                <w:rFonts w:ascii="Arial" w:cs="Arial" w:eastAsia="Arial" w:hAnsi="Arial"/>
                <w:sz w:val="17"/>
                <w:szCs w:val="17"/>
                <w:color w:val="auto"/>
              </w:rPr>
              <w:t>F-35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10"/>
        </w:trPr>
        <w:tc>
          <w:tcPr>
            <w:tcW w:w="540" w:type="dxa"/>
            <w:vAlign w:val="bottom"/>
            <w:tcBorders>
              <w:bottom w:val="single" w:sz="8" w:color="9A9A9A"/>
            </w:tcBorders>
          </w:tcPr>
          <w:p>
            <w:pPr>
              <w:spacing w:after="0"/>
              <w:rPr>
                <w:sz w:val="9"/>
                <w:szCs w:val="9"/>
                <w:color w:val="auto"/>
              </w:rPr>
            </w:pPr>
          </w:p>
        </w:tc>
        <w:tc>
          <w:tcPr>
            <w:tcW w:w="46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jc w:val="right"/>
        <w:ind w:right="25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weighted average life of intangible assets is as follows: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205"/>
        </w:trPr>
        <w:tc>
          <w:tcPr>
            <w:tcW w:w="8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(in years)</w:t>
            </w:r>
          </w:p>
        </w:tc>
      </w:tr>
      <w:tr>
        <w:trPr>
          <w:trHeight w:val="222"/>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 and trademarks (finite lived)</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400"/>
        </w:trPr>
        <w:tc>
          <w:tcPr>
            <w:tcW w:w="8340" w:type="dxa"/>
            <w:vAlign w:val="bottom"/>
          </w:tcPr>
          <w:p>
            <w:pPr>
              <w:ind w:left="20"/>
              <w:spacing w:after="0"/>
              <w:rPr>
                <w:sz w:val="20"/>
                <w:szCs w:val="20"/>
                <w:color w:val="auto"/>
              </w:rPr>
            </w:pPr>
            <w:r>
              <w:rPr>
                <w:rFonts w:ascii="Arial" w:cs="Arial" w:eastAsia="Arial" w:hAnsi="Arial"/>
                <w:sz w:val="17"/>
                <w:szCs w:val="17"/>
                <w:color w:val="auto"/>
                <w:w w:val="92"/>
              </w:rPr>
              <w:t>Estimated future amortization expense related to finite-lived intangible assets as of December 31, 2022 was as follows: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14,646</w:t>
            </w: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2024</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12,135</w:t>
            </w: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10,698</w:t>
            </w: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2026</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10,363</w:t>
            </w: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9,364</w:t>
            </w:r>
          </w:p>
        </w:tc>
      </w:tr>
      <w:tr>
        <w:trPr>
          <w:trHeight w:val="218"/>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2028 and thereafter</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6,713</w:t>
            </w:r>
          </w:p>
        </w:tc>
      </w:tr>
      <w:tr>
        <w:trPr>
          <w:trHeight w:val="212"/>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63,919</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Other Current Assets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current assets consist of the following:</w:t>
      </w:r>
    </w:p>
    <w:p>
      <w:pPr>
        <w:spacing w:after="0" w:line="241"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5"/>
                <w:szCs w:val="15"/>
                <w:b w:val="1"/>
                <w:bCs w:val="1"/>
                <w:color w:val="auto"/>
              </w:rPr>
              <w:t>As of</w:t>
            </w:r>
          </w:p>
        </w:tc>
        <w:tc>
          <w:tcPr>
            <w:tcW w:w="1900" w:type="dxa"/>
            <w:vAlign w:val="bottom"/>
            <w:tcBorders>
              <w:bottom w:val="single" w:sz="8" w:color="auto"/>
            </w:tcBorders>
          </w:tcPr>
          <w:p>
            <w:pPr>
              <w:spacing w:after="0"/>
              <w:rPr>
                <w:sz w:val="17"/>
                <w:szCs w:val="17"/>
                <w:color w:val="auto"/>
              </w:rPr>
            </w:pPr>
          </w:p>
        </w:tc>
      </w:tr>
      <w:tr>
        <w:trPr>
          <w:trHeight w:val="200"/>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2"/>
          </w:tcPr>
          <w:p>
            <w:pPr>
              <w:ind w:left="180"/>
              <w:spacing w:after="0"/>
              <w:rPr>
                <w:sz w:val="20"/>
                <w:szCs w:val="20"/>
                <w:color w:val="auto"/>
              </w:rPr>
            </w:pPr>
            <w:r>
              <w:rPr>
                <w:rFonts w:ascii="Arial" w:cs="Arial" w:eastAsia="Arial" w:hAnsi="Arial"/>
                <w:sz w:val="15"/>
                <w:szCs w:val="15"/>
                <w:b w:val="1"/>
                <w:bCs w:val="1"/>
                <w:color w:val="auto"/>
              </w:rPr>
              <w:t>December 31, 2022</w:t>
            </w:r>
          </w:p>
        </w:tc>
        <w:tc>
          <w:tcPr>
            <w:tcW w:w="300" w:type="dxa"/>
            <w:vAlign w:val="bottom"/>
          </w:tcPr>
          <w:p>
            <w:pPr>
              <w:spacing w:after="0"/>
              <w:rPr>
                <w:sz w:val="17"/>
                <w:szCs w:val="17"/>
                <w:color w:val="auto"/>
              </w:rPr>
            </w:pPr>
          </w:p>
        </w:tc>
        <w:tc>
          <w:tcPr>
            <w:tcW w:w="1900" w:type="dxa"/>
            <w:vAlign w:val="bottom"/>
          </w:tcPr>
          <w:p>
            <w:pPr>
              <w:jc w:val="right"/>
              <w:ind w:right="395"/>
              <w:spacing w:after="0"/>
              <w:rPr>
                <w:sz w:val="20"/>
                <w:szCs w:val="20"/>
                <w:color w:val="auto"/>
              </w:rPr>
            </w:pPr>
            <w:r>
              <w:rPr>
                <w:rFonts w:ascii="Arial" w:cs="Arial" w:eastAsia="Arial" w:hAnsi="Arial"/>
                <w:sz w:val="15"/>
                <w:szCs w:val="15"/>
                <w:b w:val="1"/>
                <w:bCs w:val="1"/>
                <w:color w:val="auto"/>
              </w:rPr>
              <w:t>December 31, 2021</w:t>
            </w:r>
          </w:p>
        </w:tc>
      </w:tr>
      <w:tr>
        <w:trPr>
          <w:trHeight w:val="214"/>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18,132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14,655</w:t>
            </w:r>
          </w:p>
        </w:tc>
      </w:tr>
      <w:tr>
        <w:trPr>
          <w:trHeight w:val="218"/>
        </w:trPr>
        <w:tc>
          <w:tcPr>
            <w:tcW w:w="6060" w:type="dxa"/>
            <w:vAlign w:val="bottom"/>
          </w:tcPr>
          <w:p>
            <w:pPr>
              <w:spacing w:after="0"/>
              <w:rPr>
                <w:sz w:val="20"/>
                <w:szCs w:val="20"/>
                <w:color w:val="auto"/>
              </w:rPr>
            </w:pPr>
            <w:r>
              <w:rPr>
                <w:rFonts w:ascii="Arial" w:cs="Arial" w:eastAsia="Arial" w:hAnsi="Arial"/>
                <w:sz w:val="17"/>
                <w:szCs w:val="17"/>
                <w:color w:val="auto"/>
              </w:rPr>
              <w:t>Receivables from statutory authorities</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15,724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18,023</w:t>
            </w:r>
          </w:p>
        </w:tc>
      </w:tr>
      <w:tr>
        <w:trPr>
          <w:trHeight w:val="22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Advance income tax, net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15,199</w:t>
            </w:r>
          </w:p>
        </w:tc>
      </w:tr>
      <w:tr>
        <w:trPr>
          <w:trHeight w:val="218"/>
        </w:trPr>
        <w:tc>
          <w:tcPr>
            <w:tcW w:w="6060" w:type="dxa"/>
            <w:vAlign w:val="bottom"/>
          </w:tcPr>
          <w:p>
            <w:pPr>
              <w:spacing w:after="0"/>
              <w:rPr>
                <w:sz w:val="20"/>
                <w:szCs w:val="20"/>
                <w:color w:val="auto"/>
              </w:rPr>
            </w:pPr>
            <w:r>
              <w:rPr>
                <w:rFonts w:ascii="Arial" w:cs="Arial" w:eastAsia="Arial" w:hAnsi="Arial"/>
                <w:sz w:val="17"/>
                <w:szCs w:val="17"/>
                <w:color w:val="auto"/>
              </w:rPr>
              <w:t>Advances to suppliers</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1,944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1,464</w:t>
            </w:r>
          </w:p>
        </w:tc>
      </w:tr>
      <w:tr>
        <w:trPr>
          <w:trHeight w:val="22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Derivative instruments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8,682</w:t>
            </w:r>
          </w:p>
        </w:tc>
      </w:tr>
      <w:tr>
        <w:trPr>
          <w:trHeight w:val="218"/>
        </w:trPr>
        <w:tc>
          <w:tcPr>
            <w:tcW w:w="6060" w:type="dxa"/>
            <w:vAlign w:val="bottom"/>
          </w:tcPr>
          <w:p>
            <w:pPr>
              <w:spacing w:after="0"/>
              <w:rPr>
                <w:sz w:val="20"/>
                <w:szCs w:val="20"/>
                <w:color w:val="auto"/>
              </w:rPr>
            </w:pPr>
            <w:r>
              <w:rPr>
                <w:rFonts w:ascii="Arial" w:cs="Arial" w:eastAsia="Arial" w:hAnsi="Arial"/>
                <w:sz w:val="17"/>
                <w:szCs w:val="17"/>
                <w:color w:val="auto"/>
              </w:rPr>
              <w:t>Deferred contract fulfillment costs</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1,178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1,483</w:t>
            </w:r>
          </w:p>
        </w:tc>
      </w:tr>
      <w:tr>
        <w:trPr>
          <w:trHeight w:val="22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r>
      <w:tr>
        <w:trPr>
          <w:trHeight w:val="218"/>
        </w:trPr>
        <w:tc>
          <w:tcPr>
            <w:tcW w:w="6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Others</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2,146</w:t>
            </w:r>
          </w:p>
        </w:tc>
      </w:tr>
      <w:tr>
        <w:trPr>
          <w:trHeight w:val="23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62,971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Other Assets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assets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5"/>
                <w:szCs w:val="15"/>
                <w:b w:val="1"/>
                <w:bCs w:val="1"/>
                <w:color w:val="auto"/>
              </w:rPr>
              <w:t>As of</w:t>
            </w:r>
          </w:p>
        </w:tc>
        <w:tc>
          <w:tcPr>
            <w:tcW w:w="1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w w:val="99"/>
              </w:rPr>
              <w:t>December 31, 2022</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34"/>
              <w:spacing w:after="0"/>
              <w:rPr>
                <w:sz w:val="20"/>
                <w:szCs w:val="20"/>
                <w:color w:val="auto"/>
              </w:rPr>
            </w:pPr>
            <w:r>
              <w:rPr>
                <w:rFonts w:ascii="Arial" w:cs="Arial" w:eastAsia="Arial" w:hAnsi="Arial"/>
                <w:sz w:val="15"/>
                <w:szCs w:val="15"/>
                <w:b w:val="1"/>
                <w:bCs w:val="1"/>
                <w:color w:val="auto"/>
                <w:w w:val="99"/>
              </w:rPr>
              <w:t>December 31, 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fulfillment costs</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Lease deposits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6,621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Deposits with statutory authorities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Contract assets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1,864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Derivative instruments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Receivable from Statutory authorities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0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3,795</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Other assets</w:t>
            </w:r>
          </w:p>
        </w:tc>
        <w:tc>
          <w:tcPr>
            <w:tcW w:w="3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32,069</w:t>
            </w:r>
          </w:p>
        </w:tc>
        <w:tc>
          <w:tcPr>
            <w:tcW w:w="10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30,183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13. Accrued Expenses and Other Current Liabilities</w:t>
            </w: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6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tcPr>
          <w:p>
            <w:pPr>
              <w:ind w:left="80"/>
              <w:spacing w:after="0"/>
              <w:rPr>
                <w:sz w:val="20"/>
                <w:szCs w:val="20"/>
                <w:color w:val="auto"/>
              </w:rPr>
            </w:pPr>
            <w:r>
              <w:rPr>
                <w:rFonts w:ascii="Arial" w:cs="Arial" w:eastAsia="Arial" w:hAnsi="Arial"/>
                <w:sz w:val="17"/>
                <w:szCs w:val="17"/>
                <w:color w:val="auto"/>
              </w:rPr>
              <w:t>Accrued expenses and other current liabilities consist of the following: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5"/>
                <w:szCs w:val="15"/>
                <w:b w:val="1"/>
                <w:bCs w:val="1"/>
                <w:color w:val="auto"/>
                <w:w w:val="90"/>
              </w:rPr>
              <w:t>As of</w:t>
            </w: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w w:val="90"/>
              </w:rPr>
              <w:t>December 31, 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47,854</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7"/>
                <w:szCs w:val="17"/>
                <w:color w:val="auto"/>
              </w:rPr>
              <w:t>Payable to statutory authorities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20,430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13,902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Derivative instruments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7"/>
                <w:szCs w:val="17"/>
                <w:color w:val="auto"/>
              </w:rPr>
              <w:t>Client 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5,110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7"/>
                <w:szCs w:val="17"/>
                <w:color w:val="auto"/>
              </w:rPr>
              <w:t>Accrued capital expenditures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4,032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payable</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7"/>
                <w:szCs w:val="17"/>
                <w:color w:val="auto"/>
              </w:rPr>
              <w:t>Finance lease 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164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2,252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7"/>
                <w:szCs w:val="17"/>
                <w:color w:val="auto"/>
              </w:rPr>
              <w:t>Accrued expenses and other current liabilities</w:t>
            </w:r>
          </w:p>
        </w:tc>
        <w:tc>
          <w:tcPr>
            <w:tcW w:w="3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95,352</w:t>
            </w:r>
          </w:p>
        </w:tc>
        <w:tc>
          <w:tcPr>
            <w:tcW w:w="3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76,350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14. Other Non-Current Liabilities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6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tcPr>
          <w:p>
            <w:pPr>
              <w:ind w:left="80"/>
              <w:spacing w:after="0"/>
              <w:rPr>
                <w:sz w:val="20"/>
                <w:szCs w:val="20"/>
                <w:color w:val="auto"/>
              </w:rPr>
            </w:pPr>
            <w:r>
              <w:rPr>
                <w:rFonts w:ascii="Arial" w:cs="Arial" w:eastAsia="Arial" w:hAnsi="Arial"/>
                <w:sz w:val="17"/>
                <w:szCs w:val="17"/>
                <w:color w:val="auto"/>
              </w:rPr>
              <w:t>Other non-current liabilities consist of the following: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5"/>
                <w:szCs w:val="15"/>
                <w:b w:val="1"/>
                <w:bCs w:val="1"/>
                <w:color w:val="auto"/>
              </w:rPr>
              <w:t>As of</w:t>
            </w:r>
          </w:p>
        </w:tc>
        <w:tc>
          <w:tcPr>
            <w:tcW w:w="1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63"/>
              <w:spacing w:after="0"/>
              <w:rPr>
                <w:sz w:val="20"/>
                <w:szCs w:val="20"/>
                <w:color w:val="auto"/>
              </w:rPr>
            </w:pPr>
            <w:r>
              <w:rPr>
                <w:rFonts w:ascii="Arial" w:cs="Arial" w:eastAsia="Arial" w:hAnsi="Arial"/>
                <w:sz w:val="17"/>
                <w:szCs w:val="17"/>
                <w:b w:val="1"/>
                <w:bCs w:val="1"/>
                <w:color w:val="auto"/>
              </w:rPr>
              <w:t>December 31, 2022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254"/>
              <w:spacing w:after="0"/>
              <w:rPr>
                <w:sz w:val="20"/>
                <w:szCs w:val="20"/>
                <w:color w:val="auto"/>
              </w:rPr>
            </w:pPr>
            <w:r>
              <w:rPr>
                <w:rFonts w:ascii="Arial" w:cs="Arial" w:eastAsia="Arial" w:hAnsi="Arial"/>
                <w:sz w:val="17"/>
                <w:szCs w:val="17"/>
                <w:b w:val="1"/>
                <w:bCs w:val="1"/>
                <w:color w:val="auto"/>
                <w:w w:val="92"/>
              </w:rPr>
              <w:t>December 31,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40" w:type="dxa"/>
            <w:vAlign w:val="bottom"/>
            <w:gridSpan w:val="2"/>
          </w:tcPr>
          <w:p>
            <w:pPr>
              <w:ind w:left="20"/>
              <w:spacing w:after="0"/>
              <w:rPr>
                <w:sz w:val="20"/>
                <w:szCs w:val="20"/>
                <w:color w:val="auto"/>
              </w:rPr>
            </w:pPr>
            <w:r>
              <w:rPr>
                <w:rFonts w:ascii="Arial" w:cs="Arial" w:eastAsia="Arial" w:hAnsi="Arial"/>
                <w:sz w:val="17"/>
                <w:szCs w:val="17"/>
                <w:color w:val="auto"/>
              </w:rPr>
              <w:t>Retirement benefits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12,982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40" w:type="dxa"/>
            <w:vAlign w:val="bottom"/>
            <w:gridSpan w:val="2"/>
          </w:tcPr>
          <w:p>
            <w:pPr>
              <w:ind w:left="20"/>
              <w:spacing w:after="0"/>
              <w:rPr>
                <w:sz w:val="20"/>
                <w:szCs w:val="20"/>
                <w:color w:val="auto"/>
              </w:rPr>
            </w:pPr>
            <w:r>
              <w:rPr>
                <w:rFonts w:ascii="Arial" w:cs="Arial" w:eastAsia="Arial" w:hAnsi="Arial"/>
                <w:sz w:val="17"/>
                <w:szCs w:val="17"/>
                <w:color w:val="auto"/>
              </w:rPr>
              <w:t>Deferred transition revenue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4,408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Unrecognized tax benefits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40" w:type="dxa"/>
            <w:vAlign w:val="bottom"/>
            <w:gridSpan w:val="2"/>
          </w:tcPr>
          <w:p>
            <w:pPr>
              <w:ind w:left="20"/>
              <w:spacing w:after="0"/>
              <w:rPr>
                <w:sz w:val="20"/>
                <w:szCs w:val="20"/>
                <w:color w:val="auto"/>
              </w:rPr>
            </w:pPr>
            <w:r>
              <w:rPr>
                <w:rFonts w:ascii="Arial" w:cs="Arial" w:eastAsia="Arial" w:hAnsi="Arial"/>
                <w:sz w:val="17"/>
                <w:szCs w:val="17"/>
                <w:color w:val="auto"/>
              </w:rPr>
              <w:t>Income taxes payable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0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Finance lease liabilities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Others</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24,591</w:t>
            </w:r>
          </w:p>
        </w:tc>
        <w:tc>
          <w:tcPr>
            <w:tcW w:w="10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Accumulated Other Comprehensive Income/(Loss)</w:t>
      </w:r>
    </w:p>
    <w:p>
      <w:pPr>
        <w:spacing w:after="0" w:line="210"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5"/>
          <w:szCs w:val="15"/>
          <w:color w:val="auto"/>
        </w:rPr>
        <w:t>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and net investment hedges, as applicable, in accordance with ASC Topic 815. Cumulative changes in the fair values of cash flow hedges are recognized in AOCI on the Company’s consolidated balance sheets. The fair value changes are reclassified from AOCI to consolidated statements of income upon settlement of foreign currency forward contracts designated as cash flow hedges of a forecast transaction, whereas such changes for interest rate swaps are reclassified over the term of the contract. Fair value changes related to net investment hedges are included in AOCI and are reclassified to consolidated statements of income when a foreign operation is disposed or partially disposed. The following table sets forth the changes in AOCI during the years ended December 31, 2022,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w w:val="98"/>
              </w:rPr>
              <w:t>Accumulated Other Comprehensive Income/(Loss)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jc w:val="right"/>
              <w:ind w:right="215"/>
              <w:spacing w:after="0" w:line="151" w:lineRule="exact"/>
              <w:rPr>
                <w:sz w:val="20"/>
                <w:szCs w:val="20"/>
                <w:color w:val="auto"/>
              </w:rPr>
            </w:pPr>
            <w:r>
              <w:rPr>
                <w:rFonts w:ascii="Arial" w:cs="Arial" w:eastAsia="Arial" w:hAnsi="Arial"/>
                <w:sz w:val="15"/>
                <w:szCs w:val="15"/>
                <w:b w:val="1"/>
                <w:bCs w:val="1"/>
                <w:color w:val="auto"/>
                <w:w w:val="99"/>
              </w:rPr>
              <w:t>Foreign currency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20"/>
              <w:spacing w:after="0" w:line="151" w:lineRule="exact"/>
              <w:rPr>
                <w:sz w:val="20"/>
                <w:szCs w:val="20"/>
                <w:color w:val="auto"/>
              </w:rPr>
            </w:pPr>
            <w:r>
              <w:rPr>
                <w:rFonts w:ascii="Arial" w:cs="Arial" w:eastAsia="Arial" w:hAnsi="Arial"/>
                <w:sz w:val="15"/>
                <w:szCs w:val="15"/>
                <w:b w:val="1"/>
                <w:bCs w:val="1"/>
                <w:color w:val="auto"/>
                <w:w w:val="91"/>
              </w:rPr>
              <w:t>Unrealized gain/(loss) on</w:t>
            </w:r>
          </w:p>
        </w:tc>
        <w:tc>
          <w:tcPr>
            <w:tcW w:w="160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Retirement benefits</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translation loss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87"/>
              </w:rPr>
              <w:t>cash flow hedges</w:t>
            </w:r>
          </w:p>
        </w:tc>
        <w:tc>
          <w:tcPr>
            <w:tcW w:w="16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January 1, 2020</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(87,591)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4,098</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(1,399)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(84,892)</w:t>
            </w:r>
          </w:p>
        </w:tc>
        <w:tc>
          <w:tcPr>
            <w:tcW w:w="0" w:type="dxa"/>
            <w:vAlign w:val="bottom"/>
          </w:tcPr>
          <w:p>
            <w:pPr>
              <w:spacing w:after="0"/>
              <w:rPr>
                <w:sz w:val="1"/>
                <w:szCs w:val="1"/>
                <w:color w:val="auto"/>
              </w:rPr>
            </w:pPr>
          </w:p>
        </w:tc>
      </w:tr>
      <w:tr>
        <w:trPr>
          <w:trHeight w:val="218"/>
        </w:trPr>
        <w:tc>
          <w:tcPr>
            <w:tcW w:w="4400" w:type="dxa"/>
            <w:vAlign w:val="bottom"/>
          </w:tcPr>
          <w:p>
            <w:pPr>
              <w:ind w:left="20"/>
              <w:spacing w:after="0"/>
              <w:rPr>
                <w:sz w:val="20"/>
                <w:szCs w:val="20"/>
                <w:color w:val="auto"/>
              </w:rPr>
            </w:pPr>
            <w:r>
              <w:rPr>
                <w:rFonts w:ascii="Arial" w:cs="Arial" w:eastAsia="Arial" w:hAnsi="Arial"/>
                <w:sz w:val="17"/>
                <w:szCs w:val="17"/>
                <w:color w:val="auto"/>
              </w:rPr>
              <w:t>Gains / (losses) recognized during the year</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12,665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9,724</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to net income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19"/>
        </w:trPr>
        <w:tc>
          <w:tcPr>
            <w:tcW w:w="440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2"/>
                <w:szCs w:val="22"/>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(2,163)</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w w:val="98"/>
              </w:rPr>
              <w:t>Accumulated other comprehensive income/(loss) as of</w:t>
            </w: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2020</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(86,185)</w:t>
            </w:r>
          </w:p>
        </w:tc>
        <w:tc>
          <w:tcPr>
            <w:tcW w:w="340" w:type="dxa"/>
            <w:vAlign w:val="bottom"/>
            <w:gridSpan w:val="3"/>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13,799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(74,984)</w:t>
            </w:r>
          </w:p>
        </w:tc>
        <w:tc>
          <w:tcPr>
            <w:tcW w:w="0" w:type="dxa"/>
            <w:vAlign w:val="bottom"/>
          </w:tcPr>
          <w:p>
            <w:pPr>
              <w:spacing w:after="0"/>
              <w:rPr>
                <w:sz w:val="1"/>
                <w:szCs w:val="1"/>
                <w:color w:val="auto"/>
              </w:rPr>
            </w:pPr>
          </w:p>
        </w:tc>
      </w:tr>
      <w:tr>
        <w:trPr>
          <w:trHeight w:val="218"/>
        </w:trPr>
        <w:tc>
          <w:tcPr>
            <w:tcW w:w="4400" w:type="dxa"/>
            <w:vAlign w:val="bottom"/>
          </w:tcPr>
          <w:p>
            <w:pPr>
              <w:ind w:left="20"/>
              <w:spacing w:after="0"/>
              <w:rPr>
                <w:sz w:val="20"/>
                <w:szCs w:val="20"/>
                <w:color w:val="auto"/>
              </w:rPr>
            </w:pPr>
            <w:r>
              <w:rPr>
                <w:rFonts w:ascii="Arial" w:cs="Arial" w:eastAsia="Arial" w:hAnsi="Arial"/>
                <w:sz w:val="17"/>
                <w:szCs w:val="17"/>
                <w:color w:val="auto"/>
              </w:rPr>
              <w:t>Gains / (losses) recognized during the year</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(11,134)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4,663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(7,029)</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on net investment hedges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(9,264)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(8,555)</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2"/>
                <w:szCs w:val="22"/>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2,228</w:t>
            </w:r>
          </w:p>
        </w:tc>
        <w:tc>
          <w:tcPr>
            <w:tcW w:w="0" w:type="dxa"/>
            <w:vAlign w:val="bottom"/>
          </w:tcPr>
          <w:p>
            <w:pPr>
              <w:spacing w:after="0"/>
              <w:rPr>
                <w:sz w:val="1"/>
                <w:szCs w:val="1"/>
                <w:color w:val="auto"/>
              </w:rPr>
            </w:pPr>
          </w:p>
        </w:tc>
      </w:tr>
      <w:tr>
        <w:trPr>
          <w:trHeight w:val="155"/>
        </w:trPr>
        <w:tc>
          <w:tcPr>
            <w:tcW w:w="4400" w:type="dxa"/>
            <w:vAlign w:val="bottom"/>
          </w:tcPr>
          <w:p>
            <w:pPr>
              <w:ind w:left="20"/>
              <w:spacing w:after="0" w:line="155" w:lineRule="exact"/>
              <w:rPr>
                <w:sz w:val="20"/>
                <w:szCs w:val="20"/>
                <w:color w:val="auto"/>
              </w:rPr>
            </w:pPr>
            <w:r>
              <w:rPr>
                <w:rFonts w:ascii="Arial" w:cs="Arial" w:eastAsia="Arial" w:hAnsi="Arial"/>
                <w:sz w:val="17"/>
                <w:szCs w:val="17"/>
                <w:b w:val="1"/>
                <w:bCs w:val="1"/>
                <w:color w:val="auto"/>
                <w:w w:val="98"/>
              </w:rPr>
              <w:t>Accumulated other comprehensive income/(loss) as of</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20"/>
              <w:spacing w:after="0"/>
              <w:rPr>
                <w:sz w:val="20"/>
                <w:szCs w:val="20"/>
                <w:color w:val="auto"/>
              </w:rPr>
            </w:pPr>
            <w:r>
              <w:rPr>
                <w:rFonts w:ascii="Arial" w:cs="Arial" w:eastAsia="Arial" w:hAnsi="Arial"/>
                <w:sz w:val="17"/>
                <w:szCs w:val="17"/>
                <w:b w:val="1"/>
                <w:bCs w:val="1"/>
                <w:color w:val="auto"/>
              </w:rPr>
              <w:t>December 31, 2021</w:t>
            </w: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(95,437)</w:t>
            </w:r>
          </w:p>
        </w:tc>
        <w:tc>
          <w:tcPr>
            <w:tcW w:w="340" w:type="dxa"/>
            <w:vAlign w:val="bottom"/>
            <w:gridSpan w:val="3"/>
          </w:tcPr>
          <w:p>
            <w:pPr>
              <w:jc w:val="right"/>
              <w:ind w:right="38"/>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8,420</w:t>
            </w:r>
          </w:p>
        </w:tc>
        <w:tc>
          <w:tcPr>
            <w:tcW w:w="120" w:type="dxa"/>
            <w:vAlign w:val="bottom"/>
          </w:tcPr>
          <w:p>
            <w:pPr>
              <w:spacing w:after="0"/>
              <w:rPr>
                <w:sz w:val="19"/>
                <w:szCs w:val="19"/>
                <w:color w:val="auto"/>
              </w:rPr>
            </w:pPr>
          </w:p>
        </w:tc>
        <w:tc>
          <w:tcPr>
            <w:tcW w:w="520" w:type="dxa"/>
            <w:vAlign w:val="bottom"/>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(2,457)</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(89,474)</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 (losses) recognized during the year</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(27,333)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(72,493)</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1,295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1,887</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2"/>
                <w:szCs w:val="22"/>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6,315</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15,937</w:t>
            </w:r>
          </w:p>
        </w:tc>
        <w:tc>
          <w:tcPr>
            <w:tcW w:w="0" w:type="dxa"/>
            <w:vAlign w:val="bottom"/>
          </w:tcPr>
          <w:p>
            <w:pPr>
              <w:spacing w:after="0"/>
              <w:rPr>
                <w:sz w:val="1"/>
                <w:szCs w:val="1"/>
                <w:color w:val="auto"/>
              </w:rPr>
            </w:pPr>
          </w:p>
        </w:tc>
      </w:tr>
      <w:tr>
        <w:trPr>
          <w:trHeight w:val="155"/>
        </w:trPr>
        <w:tc>
          <w:tcPr>
            <w:tcW w:w="4400" w:type="dxa"/>
            <w:vAlign w:val="bottom"/>
          </w:tcPr>
          <w:p>
            <w:pPr>
              <w:ind w:left="20"/>
              <w:spacing w:after="0" w:line="155" w:lineRule="exact"/>
              <w:rPr>
                <w:sz w:val="20"/>
                <w:szCs w:val="20"/>
                <w:color w:val="auto"/>
              </w:rPr>
            </w:pPr>
            <w:r>
              <w:rPr>
                <w:rFonts w:ascii="Arial" w:cs="Arial" w:eastAsia="Arial" w:hAnsi="Arial"/>
                <w:sz w:val="17"/>
                <w:szCs w:val="17"/>
                <w:b w:val="1"/>
                <w:bCs w:val="1"/>
                <w:color w:val="auto"/>
                <w:w w:val="98"/>
              </w:rPr>
              <w:t>Accumulated other comprehensive income/(loss) as of</w:t>
            </w:r>
          </w:p>
        </w:tc>
        <w:tc>
          <w:tcPr>
            <w:tcW w:w="20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(133,139)</w:t>
            </w:r>
          </w:p>
        </w:tc>
        <w:tc>
          <w:tcPr>
            <w:tcW w:w="340" w:type="dxa"/>
            <w:vAlign w:val="bottom"/>
            <w:gridSpan w:val="3"/>
            <w:vMerge w:val="restart"/>
          </w:tcPr>
          <w:p>
            <w:pPr>
              <w:jc w:val="right"/>
              <w:ind w:right="38"/>
              <w:spacing w:after="0"/>
              <w:rPr>
                <w:sz w:val="20"/>
                <w:szCs w:val="20"/>
                <w:color w:val="auto"/>
              </w:rPr>
            </w:pPr>
            <w:r>
              <w:rPr>
                <w:rFonts w:ascii="Arial" w:cs="Arial" w:eastAsia="Arial" w:hAnsi="Arial"/>
                <w:sz w:val="17"/>
                <w:szCs w:val="17"/>
                <w:b w:val="1"/>
                <w:bCs w:val="1"/>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(11,303)</w:t>
            </w:r>
          </w:p>
        </w:tc>
        <w:tc>
          <w:tcPr>
            <w:tcW w:w="120" w:type="dxa"/>
            <w:vAlign w:val="bottom"/>
          </w:tcPr>
          <w:p>
            <w:pPr>
              <w:spacing w:after="0"/>
              <w:rPr>
                <w:sz w:val="13"/>
                <w:szCs w:val="13"/>
                <w:color w:val="auto"/>
              </w:rPr>
            </w:pPr>
          </w:p>
        </w:tc>
        <w:tc>
          <w:tcPr>
            <w:tcW w:w="520" w:type="dxa"/>
            <w:vAlign w:val="bottom"/>
            <w:vMerge w:val="restart"/>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299</w:t>
            </w:r>
          </w:p>
        </w:tc>
        <w:tc>
          <w:tcPr>
            <w:tcW w:w="120" w:type="dxa"/>
            <w:vAlign w:val="bottom"/>
          </w:tcPr>
          <w:p>
            <w:pPr>
              <w:spacing w:after="0"/>
              <w:rPr>
                <w:sz w:val="13"/>
                <w:szCs w:val="13"/>
                <w:color w:val="auto"/>
              </w:rPr>
            </w:pPr>
          </w:p>
        </w:tc>
        <w:tc>
          <w:tcPr>
            <w:tcW w:w="34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(144,143)</w:t>
            </w:r>
          </w:p>
        </w:tc>
        <w:tc>
          <w:tcPr>
            <w:tcW w:w="0" w:type="dxa"/>
            <w:vAlign w:val="bottom"/>
          </w:tcPr>
          <w:p>
            <w:pPr>
              <w:spacing w:after="0"/>
              <w:rPr>
                <w:sz w:val="1"/>
                <w:szCs w:val="1"/>
                <w:color w:val="auto"/>
              </w:rPr>
            </w:pPr>
          </w:p>
        </w:tc>
      </w:tr>
      <w:tr>
        <w:trPr>
          <w:trHeight w:val="199"/>
        </w:trPr>
        <w:tc>
          <w:tcPr>
            <w:tcW w:w="4400" w:type="dxa"/>
            <w:vAlign w:val="bottom"/>
          </w:tcPr>
          <w:p>
            <w:pPr>
              <w:ind w:left="20"/>
              <w:spacing w:after="0"/>
              <w:rPr>
                <w:sz w:val="20"/>
                <w:szCs w:val="20"/>
                <w:color w:val="auto"/>
              </w:rPr>
            </w:pPr>
            <w:r>
              <w:rPr>
                <w:rFonts w:ascii="Arial" w:cs="Arial" w:eastAsia="Arial" w:hAnsi="Arial"/>
                <w:sz w:val="17"/>
                <w:szCs w:val="17"/>
                <w:b w:val="1"/>
                <w:bCs w:val="1"/>
                <w:color w:val="auto"/>
              </w:rPr>
              <w:t>December 31, 2022</w:t>
            </w:r>
          </w:p>
        </w:tc>
        <w:tc>
          <w:tcPr>
            <w:tcW w:w="20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gridSpan w:val="3"/>
            <w:vMerge w:val="continue"/>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620" w:hanging="307"/>
        <w:spacing w:after="0"/>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Refer to Note 17 - Derivatives and Hedge Accounting and Note 20 - Employee Benefit Plans to the consolidated financial statements for reclassification to net income.</w:t>
      </w:r>
    </w:p>
    <w:p>
      <w:pPr>
        <w:spacing w:after="0" w:line="264" w:lineRule="exact"/>
        <w:rPr>
          <w:rFonts w:ascii="Arial" w:cs="Arial" w:eastAsia="Arial" w:hAnsi="Arial"/>
          <w:sz w:val="14"/>
          <w:szCs w:val="14"/>
          <w:color w:val="auto"/>
        </w:rPr>
      </w:pPr>
    </w:p>
    <w:p>
      <w:pPr>
        <w:ind w:left="620" w:hanging="307"/>
        <w:spacing w:after="0" w:line="283" w:lineRule="auto"/>
        <w:tabs>
          <w:tab w:leader="none" w:pos="62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These are income tax effects recognized on cash flow hedges, retirement benefits and foreign currency translation loss. Refer to Note 22 - Income Taxes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Fair Value Measurements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Assets and Liabilities Measured at Fair Value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Company’s assets and liabilities that were recognized at fair value:</w:t>
      </w:r>
    </w:p>
    <w:p>
      <w:pPr>
        <w:spacing w:after="0" w:line="237" w:lineRule="exact"/>
        <w:rPr>
          <w:sz w:val="20"/>
          <w:szCs w:val="20"/>
          <w:color w:val="auto"/>
        </w:rPr>
      </w:pPr>
    </w:p>
    <w:tbl>
      <w:tblPr>
        <w:tblLayout w:type="fixed"/>
        <w:tblInd w:w="48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8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Quoted Prices in Active</w:t>
            </w:r>
          </w:p>
        </w:tc>
        <w:tc>
          <w:tcPr>
            <w:tcW w:w="160" w:type="dxa"/>
            <w:vAlign w:val="bottom"/>
          </w:tcPr>
          <w:p>
            <w:pPr>
              <w:spacing w:after="0"/>
              <w:rPr>
                <w:sz w:val="14"/>
                <w:szCs w:val="14"/>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4"/>
              </w:rPr>
              <w:t>Significant Other</w:t>
            </w:r>
          </w:p>
        </w:tc>
        <w:tc>
          <w:tcPr>
            <w:tcW w:w="120" w:type="dxa"/>
            <w:vAlign w:val="bottom"/>
          </w:tcPr>
          <w:p>
            <w:pPr>
              <w:spacing w:after="0"/>
              <w:rPr>
                <w:sz w:val="14"/>
                <w:szCs w:val="14"/>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5"/>
              </w:rPr>
              <w:t>Significant Other</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3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restart"/>
          </w:tcPr>
          <w:p>
            <w:pPr>
              <w:jc w:val="center"/>
              <w:ind w:right="240"/>
              <w:spacing w:after="0" w:line="155" w:lineRule="exact"/>
              <w:rPr>
                <w:sz w:val="20"/>
                <w:szCs w:val="20"/>
                <w:color w:val="auto"/>
              </w:rPr>
            </w:pPr>
            <w:r>
              <w:rPr>
                <w:rFonts w:ascii="Arial" w:cs="Arial" w:eastAsia="Arial" w:hAnsi="Arial"/>
                <w:sz w:val="15"/>
                <w:szCs w:val="15"/>
                <w:b w:val="1"/>
                <w:bCs w:val="1"/>
                <w:color w:val="auto"/>
                <w:w w:val="97"/>
              </w:rPr>
              <w:t>Markets for Identical</w:t>
            </w:r>
          </w:p>
        </w:tc>
        <w:tc>
          <w:tcPr>
            <w:tcW w:w="16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3"/>
              </w:rPr>
              <w:t>Observable Inputs</w:t>
            </w:r>
          </w:p>
        </w:tc>
        <w:tc>
          <w:tcPr>
            <w:tcW w:w="120" w:type="dxa"/>
            <w:vAlign w:val="bottom"/>
          </w:tcPr>
          <w:p>
            <w:pPr>
              <w:spacing w:after="0"/>
              <w:rPr>
                <w:sz w:val="6"/>
                <w:szCs w:val="6"/>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2"/>
              </w:rPr>
              <w:t>Unobservable Inputs</w:t>
            </w: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85"/>
              </w:rPr>
              <w:t>Assets</w:t>
            </w:r>
          </w:p>
        </w:tc>
        <w:tc>
          <w:tcPr>
            <w:tcW w:w="16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As of December 31, 2022</w:t>
            </w: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95"/>
              </w:rPr>
              <w:t>(Level 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w w:val="95"/>
              </w:rPr>
              <w:t>(Level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95"/>
              </w:rPr>
              <w:t>(Level 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60" w:type="dxa"/>
            <w:vAlign w:val="bottom"/>
          </w:tcPr>
          <w:p>
            <w:pPr>
              <w:ind w:left="20"/>
              <w:spacing w:after="0"/>
              <w:rPr>
                <w:sz w:val="20"/>
                <w:szCs w:val="20"/>
                <w:color w:val="auto"/>
              </w:rPr>
            </w:pPr>
            <w:r>
              <w:rPr>
                <w:rFonts w:ascii="Arial" w:cs="Arial" w:eastAsia="Arial" w:hAnsi="Arial"/>
                <w:sz w:val="17"/>
                <w:szCs w:val="17"/>
                <w:color w:val="auto"/>
              </w:rPr>
              <w:t>Cash equivalents - 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1,137</w:t>
            </w:r>
          </w:p>
        </w:tc>
        <w:tc>
          <w:tcPr>
            <w:tcW w:w="1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1,137</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110,964</w:t>
            </w:r>
          </w:p>
        </w:tc>
        <w:tc>
          <w:tcPr>
            <w:tcW w:w="0" w:type="dxa"/>
            <w:vAlign w:val="bottom"/>
          </w:tcPr>
          <w:p>
            <w:pPr>
              <w:spacing w:after="0"/>
              <w:rPr>
                <w:sz w:val="1"/>
                <w:szCs w:val="1"/>
                <w:color w:val="auto"/>
              </w:rPr>
            </w:pPr>
          </w:p>
        </w:tc>
      </w:tr>
      <w:tr>
        <w:trPr>
          <w:trHeight w:val="218"/>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Derivative financial instruments</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2,346</w:t>
            </w:r>
          </w:p>
        </w:tc>
        <w:tc>
          <w:tcPr>
            <w:tcW w:w="0" w:type="dxa"/>
            <w:vAlign w:val="bottom"/>
          </w:tcPr>
          <w:p>
            <w:pPr>
              <w:spacing w:after="0"/>
              <w:rPr>
                <w:sz w:val="1"/>
                <w:szCs w:val="1"/>
                <w:color w:val="auto"/>
              </w:rPr>
            </w:pPr>
          </w:p>
        </w:tc>
      </w:tr>
      <w:tr>
        <w:trPr>
          <w:trHeight w:val="23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114,447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16,277</w:t>
            </w:r>
          </w:p>
        </w:tc>
        <w:tc>
          <w:tcPr>
            <w:tcW w:w="0" w:type="dxa"/>
            <w:vAlign w:val="bottom"/>
          </w:tcPr>
          <w:p>
            <w:pPr>
              <w:spacing w:after="0"/>
              <w:rPr>
                <w:sz w:val="1"/>
                <w:szCs w:val="1"/>
                <w:color w:val="auto"/>
              </w:rPr>
            </w:pPr>
          </w:p>
        </w:tc>
      </w:tr>
      <w:tr>
        <w:trPr>
          <w:trHeight w:val="218"/>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consideration***</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18,689</w:t>
            </w:r>
          </w:p>
        </w:tc>
        <w:tc>
          <w:tcPr>
            <w:tcW w:w="0" w:type="dxa"/>
            <w:vAlign w:val="bottom"/>
          </w:tcPr>
          <w:p>
            <w:pPr>
              <w:spacing w:after="0"/>
              <w:rPr>
                <w:sz w:val="1"/>
                <w:szCs w:val="1"/>
                <w:color w:val="auto"/>
              </w:rPr>
            </w:pPr>
          </w:p>
        </w:tc>
      </w:tr>
      <w:tr>
        <w:trPr>
          <w:trHeight w:val="27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34,966</w:t>
            </w:r>
          </w:p>
        </w:tc>
        <w:tc>
          <w:tcPr>
            <w:tcW w:w="0" w:type="dxa"/>
            <w:vAlign w:val="bottom"/>
          </w:tcPr>
          <w:p>
            <w:pPr>
              <w:spacing w:after="0"/>
              <w:rPr>
                <w:sz w:val="1"/>
                <w:szCs w:val="1"/>
                <w:color w:val="auto"/>
              </w:rPr>
            </w:pPr>
          </w:p>
        </w:tc>
      </w:tr>
      <w:tr>
        <w:trPr>
          <w:trHeight w:val="358"/>
        </w:trPr>
        <w:tc>
          <w:tcPr>
            <w:tcW w:w="3460" w:type="dxa"/>
            <w:vAlign w:val="bottom"/>
            <w:tcBorders>
              <w:top w:val="single" w:sz="8" w:color="CCEEFF"/>
            </w:tcBorders>
          </w:tcPr>
          <w:p>
            <w:pPr>
              <w:spacing w:after="0"/>
              <w:rPr>
                <w:sz w:val="24"/>
                <w:szCs w:val="24"/>
                <w:color w:val="auto"/>
              </w:rPr>
            </w:pPr>
          </w:p>
        </w:tc>
        <w:tc>
          <w:tcPr>
            <w:tcW w:w="1700" w:type="dxa"/>
            <w:vAlign w:val="bottom"/>
            <w:tcBorders>
              <w:top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Quoted Prices in Active</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vMerge w:val="restart"/>
          </w:tcPr>
          <w:p>
            <w:pPr>
              <w:jc w:val="center"/>
              <w:ind w:right="97"/>
              <w:spacing w:after="0"/>
              <w:rPr>
                <w:sz w:val="20"/>
                <w:szCs w:val="20"/>
                <w:color w:val="auto"/>
              </w:rPr>
            </w:pPr>
            <w:r>
              <w:rPr>
                <w:rFonts w:ascii="Arial" w:cs="Arial" w:eastAsia="Arial" w:hAnsi="Arial"/>
                <w:sz w:val="15"/>
                <w:szCs w:val="15"/>
                <w:b w:val="1"/>
                <w:bCs w:val="1"/>
                <w:color w:val="auto"/>
                <w:w w:val="94"/>
              </w:rPr>
              <w:t>Significant Other</w:t>
            </w:r>
          </w:p>
        </w:tc>
        <w:tc>
          <w:tcPr>
            <w:tcW w:w="100" w:type="dxa"/>
            <w:vAlign w:val="bottom"/>
            <w:tcBorders>
              <w:top w:val="single" w:sz="8" w:color="CCEEFF"/>
            </w:tcBorders>
            <w:vMerge w:val="restart"/>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vMerge w:val="restart"/>
          </w:tcPr>
          <w:p>
            <w:pPr>
              <w:jc w:val="center"/>
              <w:ind w:right="57"/>
              <w:spacing w:after="0"/>
              <w:rPr>
                <w:sz w:val="20"/>
                <w:szCs w:val="20"/>
                <w:color w:val="auto"/>
              </w:rPr>
            </w:pPr>
            <w:r>
              <w:rPr>
                <w:rFonts w:ascii="Arial" w:cs="Arial" w:eastAsia="Arial" w:hAnsi="Arial"/>
                <w:sz w:val="15"/>
                <w:szCs w:val="15"/>
                <w:b w:val="1"/>
                <w:bCs w:val="1"/>
                <w:color w:val="auto"/>
                <w:w w:val="95"/>
              </w:rPr>
              <w:t>Significant Other</w:t>
            </w:r>
          </w:p>
        </w:tc>
        <w:tc>
          <w:tcPr>
            <w:tcW w:w="100" w:type="dxa"/>
            <w:vAlign w:val="bottom"/>
            <w:tcBorders>
              <w:top w:val="single" w:sz="8" w:color="CCEEFF"/>
            </w:tcBorders>
            <w:vMerge w:val="restart"/>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3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restart"/>
          </w:tcPr>
          <w:p>
            <w:pPr>
              <w:jc w:val="center"/>
              <w:ind w:right="240"/>
              <w:spacing w:after="0" w:line="155" w:lineRule="exact"/>
              <w:rPr>
                <w:sz w:val="20"/>
                <w:szCs w:val="20"/>
                <w:color w:val="auto"/>
              </w:rPr>
            </w:pPr>
            <w:r>
              <w:rPr>
                <w:rFonts w:ascii="Arial" w:cs="Arial" w:eastAsia="Arial" w:hAnsi="Arial"/>
                <w:sz w:val="15"/>
                <w:szCs w:val="15"/>
                <w:b w:val="1"/>
                <w:bCs w:val="1"/>
                <w:color w:val="auto"/>
                <w:w w:val="97"/>
              </w:rPr>
              <w:t>Markets for Identical</w:t>
            </w:r>
          </w:p>
        </w:tc>
        <w:tc>
          <w:tcPr>
            <w:tcW w:w="1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3"/>
              </w:rPr>
              <w:t>Observable Inputs</w:t>
            </w:r>
          </w:p>
        </w:tc>
        <w:tc>
          <w:tcPr>
            <w:tcW w:w="120" w:type="dxa"/>
            <w:vAlign w:val="bottom"/>
          </w:tcPr>
          <w:p>
            <w:pPr>
              <w:spacing w:after="0"/>
              <w:rPr>
                <w:sz w:val="6"/>
                <w:szCs w:val="6"/>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2"/>
              </w:rPr>
              <w:t>Unobservable Inputs</w:t>
            </w: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85"/>
              </w:rPr>
              <w:t>Assets</w:t>
            </w:r>
          </w:p>
        </w:tc>
        <w:tc>
          <w:tcPr>
            <w:tcW w:w="16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As of December 31, 2021</w:t>
            </w: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95"/>
              </w:rPr>
              <w:t>(Level 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w w:val="95"/>
              </w:rPr>
              <w:t>(Level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95"/>
              </w:rPr>
              <w:t>(Level 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1"/>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tcPr>
          <w:p>
            <w:pPr>
              <w:ind w:left="20"/>
              <w:spacing w:after="0"/>
              <w:rPr>
                <w:sz w:val="20"/>
                <w:szCs w:val="20"/>
                <w:color w:val="auto"/>
              </w:rPr>
            </w:pPr>
            <w:r>
              <w:rPr>
                <w:rFonts w:ascii="Arial" w:cs="Arial" w:eastAsia="Arial" w:hAnsi="Arial"/>
                <w:sz w:val="17"/>
                <w:szCs w:val="17"/>
                <w:color w:val="auto"/>
              </w:rPr>
              <w:t>Cash equivalents - 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5,374</w:t>
            </w:r>
          </w:p>
        </w:tc>
        <w:tc>
          <w:tcPr>
            <w:tcW w:w="1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5,374</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127,551</w:t>
            </w:r>
          </w:p>
        </w:tc>
        <w:tc>
          <w:tcPr>
            <w:tcW w:w="0" w:type="dxa"/>
            <w:vAlign w:val="bottom"/>
          </w:tcPr>
          <w:p>
            <w:pPr>
              <w:spacing w:after="0"/>
              <w:rPr>
                <w:sz w:val="1"/>
                <w:szCs w:val="1"/>
                <w:color w:val="auto"/>
              </w:rPr>
            </w:pPr>
          </w:p>
        </w:tc>
      </w:tr>
      <w:tr>
        <w:trPr>
          <w:trHeight w:val="218"/>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Derivative financial instruments</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14,989</w:t>
            </w:r>
          </w:p>
        </w:tc>
        <w:tc>
          <w:tcPr>
            <w:tcW w:w="0" w:type="dxa"/>
            <w:vAlign w:val="bottom"/>
          </w:tcPr>
          <w:p>
            <w:pPr>
              <w:spacing w:after="0"/>
              <w:rPr>
                <w:sz w:val="1"/>
                <w:szCs w:val="1"/>
                <w:color w:val="auto"/>
              </w:rPr>
            </w:pPr>
          </w:p>
        </w:tc>
      </w:tr>
      <w:tr>
        <w:trPr>
          <w:trHeight w:val="23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147,914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3,637</w:t>
            </w:r>
          </w:p>
        </w:tc>
        <w:tc>
          <w:tcPr>
            <w:tcW w:w="0" w:type="dxa"/>
            <w:vAlign w:val="bottom"/>
          </w:tcPr>
          <w:p>
            <w:pPr>
              <w:spacing w:after="0"/>
              <w:rPr>
                <w:sz w:val="1"/>
                <w:szCs w:val="1"/>
                <w:color w:val="auto"/>
              </w:rPr>
            </w:pPr>
          </w:p>
        </w:tc>
      </w:tr>
      <w:tr>
        <w:trPr>
          <w:trHeight w:val="218"/>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consideration***</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12,637</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 Represents money market funds which are carried at the fair value option under ASC Topic 825 </w:t>
      </w:r>
      <w:r>
        <w:rPr>
          <w:rFonts w:ascii="Arial" w:cs="Arial" w:eastAsia="Arial" w:hAnsi="Arial"/>
          <w:sz w:val="17"/>
          <w:szCs w:val="17"/>
          <w:color w:val="auto"/>
        </w:rPr>
        <w:t>“</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282" w:lineRule="exact"/>
        <w:rPr>
          <w:sz w:val="20"/>
          <w:szCs w:val="20"/>
          <w:color w:val="auto"/>
        </w:rPr>
      </w:pPr>
    </w:p>
    <w:p>
      <w:pPr>
        <w:ind w:left="640" w:hanging="211"/>
        <w:spacing w:after="0"/>
        <w:tabs>
          <w:tab w:leader="none" w:pos="64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Represents those short-term investments which are carried at the fair value option under ASC Topic 825 </w:t>
      </w:r>
      <w:r>
        <w:rPr>
          <w:rFonts w:ascii="Arial" w:cs="Arial" w:eastAsia="Arial" w:hAnsi="Arial"/>
          <w:sz w:val="17"/>
          <w:szCs w:val="17"/>
          <w:color w:val="auto"/>
        </w:rPr>
        <w:t>“</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255" w:lineRule="exact"/>
        <w:rPr>
          <w:rFonts w:ascii="Arial" w:cs="Arial" w:eastAsia="Arial" w:hAnsi="Arial"/>
          <w:sz w:val="17"/>
          <w:szCs w:val="17"/>
          <w:i w:val="1"/>
          <w:iCs w:val="1"/>
          <w:color w:val="auto"/>
        </w:rPr>
      </w:pPr>
    </w:p>
    <w:p>
      <w:pPr>
        <w:ind w:firstLine="429"/>
        <w:spacing w:after="0" w:line="279" w:lineRule="auto"/>
        <w:tabs>
          <w:tab w:leader="none" w:pos="726"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Contingent consideration is presented under “Accrued Expenses and Other Current Liabilities” and “Other Non-Current Liabilities,” as applicable, in the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consolidated financial statements for further details.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Contingent Consideration</w:t>
      </w:r>
      <w:r>
        <w:rPr>
          <w:rFonts w:ascii="Arial" w:cs="Arial" w:eastAsia="Arial" w:hAnsi="Arial"/>
          <w:sz w:val="17"/>
          <w:szCs w:val="17"/>
          <w:color w:val="auto"/>
        </w:rPr>
        <w:t>:</w:t>
      </w:r>
    </w:p>
    <w:p>
      <w:pPr>
        <w:spacing w:after="0" w:line="217"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5"/>
          <w:szCs w:val="15"/>
          <w:color w:val="auto"/>
        </w:rPr>
        <w:t>The fair value measurement of contingent consideration is determined using Level 3 inputs. The Company’s contingent consideration represents a component of the total purchase consideration for its acquisitions of Clairvoyant and Inbound. The measurement is calculated using unobservable inputs based on the Company’s own assessment of achievement of certain performance goals by Clairvoyant during the 2022 and 2023 calendar years and Inbound during the 2022 to 2024 calendar years. The Company estimated the fair value of the contingent consideration based on the Monte Carlo simulation model and scenario-based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method. Refer to Note 10 - Business Combinations, Goodwill and Other Intangible Asset</w:t>
      </w:r>
      <w:r>
        <w:rPr>
          <w:rFonts w:ascii="Arial" w:cs="Arial" w:eastAsia="Arial" w:hAnsi="Arial"/>
          <w:sz w:val="20"/>
          <w:szCs w:val="20"/>
          <w:b w:val="1"/>
          <w:bCs w:val="1"/>
          <w:color w:val="auto"/>
        </w:rPr>
        <w:t>s</w:t>
      </w:r>
      <w:r>
        <w:rPr>
          <w:rFonts w:ascii="Arial" w:cs="Arial" w:eastAsia="Arial" w:hAnsi="Arial"/>
          <w:sz w:val="17"/>
          <w:szCs w:val="17"/>
          <w:color w:val="auto"/>
        </w:rPr>
        <w:t xml:space="preserve"> to the consolidated financial statements for further details.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changes in the fair value of contingent consideration:</w:t>
      </w:r>
    </w:p>
    <w:p>
      <w:pPr>
        <w:spacing w:after="0" w:line="48"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6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4"/>
              </w:rPr>
              <w:t>Year ended December 31,</w:t>
            </w:r>
          </w:p>
        </w:tc>
        <w:tc>
          <w:tcPr>
            <w:tcW w:w="1300" w:type="dxa"/>
            <w:vAlign w:val="bottom"/>
            <w:tcBorders>
              <w:bottom w:val="single" w:sz="8" w:color="auto"/>
            </w:tcBorders>
          </w:tcPr>
          <w:p>
            <w:pPr>
              <w:spacing w:after="0"/>
              <w:rPr>
                <w:sz w:val="17"/>
                <w:szCs w:val="17"/>
                <w:color w:val="auto"/>
              </w:rPr>
            </w:pPr>
          </w:p>
        </w:tc>
      </w:tr>
      <w:tr>
        <w:trPr>
          <w:trHeight w:val="200"/>
        </w:trPr>
        <w:tc>
          <w:tcPr>
            <w:tcW w:w="56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36"/>
              <w:spacing w:after="0"/>
              <w:rPr>
                <w:sz w:val="20"/>
                <w:szCs w:val="20"/>
                <w:color w:val="auto"/>
              </w:rPr>
            </w:pPr>
            <w:r>
              <w:rPr>
                <w:rFonts w:ascii="Arial" w:cs="Arial" w:eastAsia="Arial" w:hAnsi="Arial"/>
                <w:sz w:val="15"/>
                <w:szCs w:val="15"/>
                <w:b w:val="1"/>
                <w:bCs w:val="1"/>
                <w:color w:val="auto"/>
              </w:rPr>
              <w:t>2021</w:t>
            </w:r>
          </w:p>
        </w:tc>
      </w:tr>
      <w:tr>
        <w:trPr>
          <w:trHeight w:val="214"/>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Opening balance</w:t>
            </w:r>
          </w:p>
        </w:tc>
        <w:tc>
          <w:tcPr>
            <w:tcW w:w="1280" w:type="dxa"/>
            <w:vAlign w:val="bottom"/>
            <w:shd w:val="clear" w:color="auto" w:fill="CCEEFF"/>
          </w:tcPr>
          <w:p>
            <w:pPr>
              <w:jc w:val="right"/>
              <w:ind w:right="109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Acquisitions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1,439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9,000</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changes</w:t>
            </w:r>
          </w:p>
        </w:tc>
        <w:tc>
          <w:tcPr>
            <w:tcW w:w="1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640" w:type="dxa"/>
            <w:vAlign w:val="bottom"/>
          </w:tcPr>
          <w:p>
            <w:pPr>
              <w:ind w:left="20"/>
              <w:spacing w:after="0"/>
              <w:rPr>
                <w:sz w:val="20"/>
                <w:szCs w:val="20"/>
                <w:color w:val="auto"/>
              </w:rPr>
            </w:pPr>
            <w:r>
              <w:rPr>
                <w:rFonts w:ascii="Arial" w:cs="Arial" w:eastAsia="Arial" w:hAnsi="Arial"/>
                <w:sz w:val="17"/>
                <w:szCs w:val="17"/>
                <w:b w:val="1"/>
                <w:bCs w:val="1"/>
                <w:color w:val="auto"/>
              </w:rPr>
              <w:t>Closing balance</w:t>
            </w:r>
          </w:p>
        </w:tc>
        <w:tc>
          <w:tcPr>
            <w:tcW w:w="1280" w:type="dxa"/>
            <w:vAlign w:val="bottom"/>
            <w:tcBorders>
              <w:bottom w:val="single" w:sz="8" w:color="auto"/>
            </w:tcBorders>
          </w:tcPr>
          <w:p>
            <w:pPr>
              <w:jc w:val="right"/>
              <w:ind w:right="109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18,689</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w:t>
            </w:r>
          </w:p>
        </w:tc>
      </w:tr>
      <w:tr>
        <w:trPr>
          <w:trHeight w:val="20"/>
        </w:trPr>
        <w:tc>
          <w:tcPr>
            <w:tcW w:w="5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2022, 2021 and 2020, there were no transfers among Level 1, Level 2 and Level 3.</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Carried at Fair Value</w:t>
      </w:r>
      <w:r>
        <w:rPr>
          <w:rFonts w:ascii="Arial" w:cs="Arial" w:eastAsia="Arial" w:hAnsi="Arial"/>
          <w:sz w:val="17"/>
          <w:szCs w:val="17"/>
          <w:color w:val="auto"/>
        </w:rPr>
        <w:t>:</w:t>
      </w:r>
    </w:p>
    <w:p>
      <w:pPr>
        <w:spacing w:after="0" w:line="230" w:lineRule="exact"/>
        <w:rPr>
          <w:sz w:val="20"/>
          <w:szCs w:val="20"/>
          <w:color w:val="auto"/>
        </w:rPr>
      </w:pPr>
    </w:p>
    <w:p>
      <w:pPr>
        <w:jc w:val="both"/>
        <w:ind w:firstLine="387"/>
        <w:spacing w:after="0" w:line="244" w:lineRule="auto"/>
        <w:rPr>
          <w:sz w:val="20"/>
          <w:szCs w:val="20"/>
          <w:color w:val="auto"/>
        </w:rPr>
      </w:pPr>
      <w:r>
        <w:rPr>
          <w:rFonts w:ascii="Arial" w:cs="Arial" w:eastAsia="Arial" w:hAnsi="Arial"/>
          <w:sz w:val="17"/>
          <w:szCs w:val="17"/>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Nonrecurring Fair Value Measurements of Assets: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Nonrecurring fair value measurements include impairment tests of goodwill conducted by the Company during the years ended December 31, 2022 and</w:t>
      </w:r>
    </w:p>
    <w:p>
      <w:pPr>
        <w:spacing w:after="0" w:line="3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2021. The fair value determination of the Company's reporting units was based on a combination of the income approach, using a DCF model, which are Level 3 inputs, and also the market approach, as applicable, using market multiples for reporting units, which are Level 2 inputs. During the years ended December 31, 2022 and 2021, the Company did not recognize any impairment charges on goodwill as the fair values of the reporting units exceeded their carrying value. Refer to Note 10 - Business Combinations, Goodwill and Other Intangible Assets to the consolidated financial statements for further details.</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Derivatives and Hedge Accounting</w:t>
      </w:r>
    </w:p>
    <w:p>
      <w:pPr>
        <w:spacing w:after="0" w:line="171" w:lineRule="exact"/>
        <w:rPr>
          <w:sz w:val="20"/>
          <w:szCs w:val="20"/>
          <w:color w:val="auto"/>
        </w:rPr>
      </w:pPr>
    </w:p>
    <w:p>
      <w:pPr>
        <w:jc w:val="both"/>
        <w:ind w:firstLine="425"/>
        <w:spacing w:after="0" w:line="272" w:lineRule="auto"/>
        <w:rPr>
          <w:sz w:val="20"/>
          <w:szCs w:val="20"/>
          <w:color w:val="auto"/>
        </w:rPr>
      </w:pPr>
      <w:r>
        <w:rPr>
          <w:rFonts w:ascii="Arial" w:cs="Arial" w:eastAsia="Arial" w:hAnsi="Arial"/>
          <w:sz w:val="16"/>
          <w:szCs w:val="16"/>
          <w:color w:val="auto"/>
        </w:rPr>
        <w:t>The Company uses derivative instruments to mitigate cash flow volatility from risk of fluctuations in foreign currency exchange rates and interest rates.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qualify as cash flow hedges under ASC Topic 815 and are with counterparties that are highly rated financial institutions. For derivatives in cash flow hedging relationships as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of December 31, 2022 and 2021, the Company had outstanding foreign currency forward contracts totaling $841,620 and $514,580, respectively and interest rate swaps totaling $75,000 and $nil, respectively.</w:t>
      </w:r>
    </w:p>
    <w:p>
      <w:pPr>
        <w:spacing w:after="0" w:line="124"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The Company estimates that approximately $8,773 of derivative losses, net, excluding tax effects, included in AOCI, representing changes in the value of cash flow hedges based on exchange rates prevailing as of December 31, 2022, could be reclassified into earnings within the next twelve months. As of December 31, 2022, the maximum outstanding term of the cash flow hedges was approximately 45 months.</w:t>
      </w:r>
    </w:p>
    <w:p>
      <w:pPr>
        <w:spacing w:after="0" w:line="111" w:lineRule="exact"/>
        <w:rPr>
          <w:sz w:val="20"/>
          <w:szCs w:val="20"/>
          <w:color w:val="auto"/>
        </w:rPr>
      </w:pPr>
    </w:p>
    <w:p>
      <w:pPr>
        <w:jc w:val="both"/>
        <w:ind w:firstLine="425"/>
        <w:spacing w:after="0" w:line="277" w:lineRule="auto"/>
        <w:rPr>
          <w:sz w:val="20"/>
          <w:szCs w:val="20"/>
          <w:color w:val="auto"/>
        </w:rPr>
      </w:pPr>
      <w:r>
        <w:rPr>
          <w:rFonts w:ascii="Arial" w:cs="Arial" w:eastAsia="Arial" w:hAnsi="Arial"/>
          <w:sz w:val="15"/>
          <w:szCs w:val="15"/>
          <w:color w:val="auto"/>
        </w:rPr>
        <w:t>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Changes in the fair value of these financial instruments are recognized in the consolidated statements of income and are included in the foreign exchange gain/(loss) line item. The Company’s primary exchange rate exposure is with the Indian rupee, the Philippine peso and the U.K. pound sterling (GBP). The Company also has exposure to Colombian pesos (COP), Czech koruna, the Euro (EUR), South African ZAR, the Australian dollar (AUD) and other local currencies in which it operates.</w:t>
      </w:r>
    </w:p>
    <w:p>
      <w:pPr>
        <w:spacing w:after="0" w:line="185" w:lineRule="exact"/>
        <w:rPr>
          <w:sz w:val="20"/>
          <w:szCs w:val="20"/>
          <w:color w:val="auto"/>
        </w:rPr>
      </w:pPr>
    </w:p>
    <w:p>
      <w:pPr>
        <w:jc w:val="both"/>
        <w:ind w:firstLine="425"/>
        <w:spacing w:after="0" w:line="264" w:lineRule="auto"/>
        <w:rPr>
          <w:sz w:val="20"/>
          <w:szCs w:val="20"/>
          <w:color w:val="auto"/>
        </w:rPr>
      </w:pPr>
      <w:r>
        <w:rPr>
          <w:rFonts w:ascii="Arial" w:cs="Arial" w:eastAsia="Arial" w:hAnsi="Arial"/>
          <w:sz w:val="17"/>
          <w:szCs w:val="17"/>
          <w:color w:val="auto"/>
        </w:rPr>
        <w:t>The following table sets forth the aggregate notional principal amounts of outstanding foreign currency forward contracts for derivatives not designated as hedging instruments:</w:t>
      </w:r>
    </w:p>
    <w:p>
      <w:pPr>
        <w:spacing w:after="0" w:line="161"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6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Borders>
              <w:bottom w:val="single" w:sz="8" w:color="auto"/>
            </w:tcBorders>
            <w:gridSpan w:val="3"/>
          </w:tcPr>
          <w:p>
            <w:pPr>
              <w:ind w:left="2020"/>
              <w:spacing w:after="0"/>
              <w:rPr>
                <w:sz w:val="20"/>
                <w:szCs w:val="20"/>
                <w:color w:val="auto"/>
              </w:rPr>
            </w:pPr>
            <w:r>
              <w:rPr>
                <w:rFonts w:ascii="Arial" w:cs="Arial" w:eastAsia="Arial" w:hAnsi="Arial"/>
                <w:sz w:val="15"/>
                <w:szCs w:val="15"/>
                <w:b w:val="1"/>
                <w:bCs w:val="1"/>
                <w:color w:val="auto"/>
              </w:rPr>
              <w:t>As of</w:t>
            </w:r>
          </w:p>
        </w:tc>
        <w:tc>
          <w:tcPr>
            <w:tcW w:w="1860" w:type="dxa"/>
            <w:vAlign w:val="bottom"/>
            <w:tcBorders>
              <w:bottom w:val="single" w:sz="8" w:color="auto"/>
            </w:tcBorders>
          </w:tcPr>
          <w:p>
            <w:pPr>
              <w:spacing w:after="0"/>
              <w:rPr>
                <w:sz w:val="17"/>
                <w:szCs w:val="17"/>
                <w:color w:val="auto"/>
              </w:rPr>
            </w:pPr>
          </w:p>
        </w:tc>
      </w:tr>
      <w:tr>
        <w:trPr>
          <w:trHeight w:val="20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Foreign currency forward contracts denominated in:</w:t>
            </w:r>
          </w:p>
        </w:tc>
        <w:tc>
          <w:tcPr>
            <w:tcW w:w="8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December 31, 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December 31, 2021</w:t>
            </w:r>
          </w:p>
        </w:tc>
      </w:tr>
      <w:tr>
        <w:trPr>
          <w:trHeight w:val="214"/>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 S. dollar (USD)</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134,612</w:t>
            </w: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U.K. pound sterling (GBP)</w:t>
            </w:r>
          </w:p>
        </w:tc>
        <w:tc>
          <w:tcPr>
            <w:tcW w:w="2140" w:type="dxa"/>
            <w:vAlign w:val="bottom"/>
          </w:tcPr>
          <w:p>
            <w:pPr>
              <w:jc w:val="right"/>
              <w:spacing w:after="0"/>
              <w:rPr>
                <w:sz w:val="20"/>
                <w:szCs w:val="20"/>
                <w:color w:val="auto"/>
              </w:rPr>
            </w:pPr>
            <w:r>
              <w:rPr>
                <w:rFonts w:ascii="Arial" w:cs="Arial" w:eastAsia="Arial" w:hAnsi="Arial"/>
                <w:sz w:val="17"/>
                <w:szCs w:val="17"/>
                <w:color w:val="auto"/>
              </w:rPr>
              <w:t>8,351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6,763</w:t>
            </w: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Euro (EUR)</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Australian dollar (AUD)</w:t>
            </w:r>
          </w:p>
        </w:tc>
        <w:tc>
          <w:tcPr>
            <w:tcW w:w="2140" w:type="dxa"/>
            <w:vAlign w:val="bottom"/>
          </w:tcPr>
          <w:p>
            <w:pPr>
              <w:jc w:val="right"/>
              <w:spacing w:after="0"/>
              <w:rPr>
                <w:sz w:val="20"/>
                <w:szCs w:val="20"/>
                <w:color w:val="auto"/>
              </w:rPr>
            </w:pPr>
            <w:r>
              <w:rPr>
                <w:rFonts w:ascii="Arial" w:cs="Arial" w:eastAsia="Arial" w:hAnsi="Arial"/>
                <w:sz w:val="17"/>
                <w:szCs w:val="17"/>
                <w:color w:val="auto"/>
              </w:rPr>
              <w:t>1,951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Colombian peso (COP)</w:t>
            </w:r>
          </w:p>
        </w:tc>
        <w:tc>
          <w:tcPr>
            <w:tcW w:w="252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2,541,902</w:t>
            </w:r>
          </w:p>
        </w:tc>
      </w:tr>
    </w:tbl>
    <w:p>
      <w:pPr>
        <w:spacing w:after="0" w:line="220" w:lineRule="exact"/>
        <w:rPr>
          <w:sz w:val="20"/>
          <w:szCs w:val="20"/>
          <w:color w:val="auto"/>
        </w:rPr>
      </w:pPr>
    </w:p>
    <w:p>
      <w:pPr>
        <w:ind w:firstLine="425"/>
        <w:spacing w:after="0" w:line="264" w:lineRule="auto"/>
        <w:rPr>
          <w:sz w:val="20"/>
          <w:szCs w:val="20"/>
          <w:color w:val="auto"/>
        </w:rPr>
      </w:pPr>
      <w:r>
        <w:rPr>
          <w:rFonts w:ascii="Arial" w:cs="Arial" w:eastAsia="Arial" w:hAnsi="Arial"/>
          <w:sz w:val="17"/>
          <w:szCs w:val="17"/>
          <w:color w:val="auto"/>
        </w:rPr>
        <w:t>The following table sets forth the fair value of the foreign currency forward contracts and interest rate swaps and their location on the consolidated balance sheets:</w:t>
      </w:r>
    </w:p>
    <w:p>
      <w:pPr>
        <w:sectPr>
          <w:pgSz w:w="11900" w:h="16838" w:orient="portrait"/>
          <w:cols w:equalWidth="0" w:num="1">
            <w:col w:w="11240"/>
          </w:cols>
          <w:pgMar w:left="320" w:top="121" w:right="339" w:bottom="1440" w:gutter="0" w:footer="0" w:header="0"/>
        </w:sectPr>
      </w:pPr>
    </w:p>
    <w:p>
      <w:pPr>
        <w:spacing w:after="0" w:line="161" w:lineRule="exact"/>
        <w:rPr>
          <w:sz w:val="20"/>
          <w:szCs w:val="20"/>
          <w:color w:val="auto"/>
        </w:rPr>
      </w:pPr>
    </w:p>
    <w:p>
      <w:pPr>
        <w:jc w:val="center"/>
        <w:ind w:left="3940"/>
        <w:spacing w:after="0"/>
        <w:rPr>
          <w:sz w:val="20"/>
          <w:szCs w:val="20"/>
          <w:color w:val="auto"/>
        </w:rPr>
      </w:pPr>
      <w:r>
        <w:rPr>
          <w:rFonts w:ascii="Arial" w:cs="Arial" w:eastAsia="Arial" w:hAnsi="Arial"/>
          <w:sz w:val="14"/>
          <w:szCs w:val="14"/>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29210</wp:posOffset>
            </wp:positionV>
            <wp:extent cx="2349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38" w:lineRule="exact"/>
        <w:rPr>
          <w:sz w:val="20"/>
          <w:szCs w:val="20"/>
          <w:color w:val="auto"/>
        </w:rPr>
      </w:pPr>
    </w:p>
    <w:p>
      <w:pPr>
        <w:jc w:val="center"/>
        <w:ind w:left="3940"/>
        <w:spacing w:after="0"/>
        <w:rPr>
          <w:sz w:val="20"/>
          <w:szCs w:val="20"/>
          <w:color w:val="auto"/>
        </w:rPr>
      </w:pPr>
      <w:r>
        <w:rPr>
          <w:rFonts w:ascii="Arial" w:cs="Arial" w:eastAsia="Arial" w:hAnsi="Arial"/>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22225</wp:posOffset>
            </wp:positionV>
            <wp:extent cx="2349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27" w:lineRule="exact"/>
        <w:rPr>
          <w:sz w:val="20"/>
          <w:szCs w:val="20"/>
          <w:color w:val="auto"/>
        </w:rPr>
      </w:pPr>
    </w:p>
    <w:p>
      <w:pPr>
        <w:ind w:left="3920"/>
        <w:spacing w:after="0"/>
        <w:tabs>
          <w:tab w:leader="none" w:pos="5800" w:val="left"/>
        </w:tabs>
        <w:rPr>
          <w:sz w:val="20"/>
          <w:szCs w:val="20"/>
          <w:color w:val="auto"/>
        </w:rPr>
      </w:pPr>
      <w:r>
        <w:rPr>
          <w:rFonts w:ascii="Arial" w:cs="Arial" w:eastAsia="Arial" w:hAnsi="Arial"/>
          <w:sz w:val="15"/>
          <w:szCs w:val="15"/>
          <w:b w:val="1"/>
          <w:bCs w:val="1"/>
          <w:color w:val="auto"/>
        </w:rPr>
        <w:t>December 31, 2022</w:t>
      </w:r>
      <w:r>
        <w:rPr>
          <w:sz w:val="20"/>
          <w:szCs w:val="20"/>
          <w:color w:val="auto"/>
        </w:rPr>
        <w:tab/>
      </w:r>
      <w:r>
        <w:rPr>
          <w:rFonts w:ascii="Arial" w:cs="Arial" w:eastAsia="Arial" w:hAnsi="Arial"/>
          <w:sz w:val="13"/>
          <w:szCs w:val="13"/>
          <w:b w:val="1"/>
          <w:bCs w:val="1"/>
          <w:color w:val="auto"/>
        </w:rPr>
        <w:t>December 31, 2021</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36830</wp:posOffset>
            </wp:positionV>
            <wp:extent cx="23660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22225</wp:posOffset>
            </wp:positionV>
            <wp:extent cx="23660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7" w:lineRule="exact"/>
        <w:rPr>
          <w:sz w:val="20"/>
          <w:szCs w:val="20"/>
          <w:color w:val="auto"/>
        </w:rPr>
      </w:pPr>
    </w:p>
    <w:p>
      <w:pPr>
        <w:ind w:left="80"/>
        <w:spacing w:after="0"/>
        <w:tabs>
          <w:tab w:leader="none" w:pos="1980" w:val="left"/>
        </w:tabs>
        <w:rPr>
          <w:sz w:val="20"/>
          <w:szCs w:val="20"/>
          <w:color w:val="auto"/>
        </w:rPr>
      </w:pPr>
      <w:r>
        <w:rPr>
          <w:rFonts w:ascii="Arial" w:cs="Arial" w:eastAsia="Arial" w:hAnsi="Arial"/>
          <w:sz w:val="15"/>
          <w:szCs w:val="15"/>
          <w:b w:val="1"/>
          <w:bCs w:val="1"/>
          <w:color w:val="auto"/>
        </w:rPr>
        <w:t>December 31, 2022</w:t>
      </w:r>
      <w:r>
        <w:rPr>
          <w:sz w:val="20"/>
          <w:szCs w:val="20"/>
          <w:color w:val="auto"/>
        </w:rPr>
        <w:tab/>
      </w:r>
      <w:r>
        <w:rPr>
          <w:rFonts w:ascii="Arial" w:cs="Arial" w:eastAsia="Arial" w:hAnsi="Arial"/>
          <w:sz w:val="13"/>
          <w:szCs w:val="13"/>
          <w:b w:val="1"/>
          <w:bCs w:val="1"/>
          <w:color w:val="auto"/>
        </w:rPr>
        <w:t>December 31, 2021</w:t>
      </w:r>
    </w:p>
    <w:p>
      <w:pPr>
        <w:spacing w:after="0" w:line="29" w:lineRule="exact"/>
        <w:rPr>
          <w:sz w:val="20"/>
          <w:szCs w:val="20"/>
          <w:color w:val="auto"/>
        </w:rPr>
      </w:pPr>
    </w:p>
    <w:p>
      <w:pPr>
        <w:sectPr>
          <w:pgSz w:w="11900" w:h="16838" w:orient="portrait"/>
          <w:cols w:equalWidth="0" w:num="2">
            <w:col w:w="7060" w:space="580"/>
            <w:col w:w="3600"/>
          </w:cols>
          <w:pgMar w:left="320" w:top="121" w:right="339" w:bottom="1440" w:gutter="0" w:footer="0" w:header="0"/>
          <w:type w:val="continuous"/>
        </w:sectPr>
      </w:pPr>
    </w:p>
    <w:tbl>
      <w:tblPr>
        <w:tblLayout w:type="fixed"/>
        <w:tblInd w:w="500" w:type="dxa"/>
        <w:tblCellMar>
          <w:top w:w="0" w:type="dxa"/>
          <w:left w:w="0" w:type="dxa"/>
          <w:bottom w:w="0" w:type="dxa"/>
          <w:right w:w="0" w:type="dxa"/>
        </w:tblCellMar>
      </w:tblPr>
      <w:tr>
        <w:trPr>
          <w:trHeight w:val="218"/>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8"/>
        </w:trPr>
        <w:tc>
          <w:tcPr>
            <w:tcW w:w="3160" w:type="dxa"/>
            <w:vAlign w:val="bottom"/>
            <w:gridSpan w:val="2"/>
          </w:tcPr>
          <w:p>
            <w:pPr>
              <w:ind w:left="120"/>
              <w:spacing w:after="0"/>
              <w:rPr>
                <w:sz w:val="20"/>
                <w:szCs w:val="20"/>
                <w:color w:val="auto"/>
              </w:rPr>
            </w:pPr>
            <w:r>
              <w:rPr>
                <w:rFonts w:ascii="Arial" w:cs="Arial" w:eastAsia="Arial" w:hAnsi="Arial"/>
                <w:sz w:val="17"/>
                <w:szCs w:val="17"/>
                <w:color w:val="auto"/>
              </w:rPr>
              <w:t>Other current assets</w:t>
            </w:r>
          </w:p>
        </w:tc>
        <w:tc>
          <w:tcPr>
            <w:tcW w:w="660" w:type="dxa"/>
            <w:vAlign w:val="bottom"/>
          </w:tcPr>
          <w:p>
            <w:pPr>
              <w:jc w:val="right"/>
              <w:ind w:right="47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1,271</w:t>
            </w:r>
          </w:p>
        </w:tc>
        <w:tc>
          <w:tcPr>
            <w:tcW w:w="100" w:type="dxa"/>
            <w:vAlign w:val="bottom"/>
          </w:tcPr>
          <w:p>
            <w:pPr>
              <w:spacing w:after="0"/>
              <w:rPr>
                <w:sz w:val="18"/>
                <w:szCs w:val="18"/>
                <w:color w:val="auto"/>
              </w:rPr>
            </w:pPr>
          </w:p>
        </w:tc>
        <w:tc>
          <w:tcPr>
            <w:tcW w:w="720" w:type="dxa"/>
            <w:vAlign w:val="bottom"/>
          </w:tcPr>
          <w:p>
            <w:pPr>
              <w:jc w:val="right"/>
              <w:ind w:right="5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8,669</w:t>
            </w:r>
          </w:p>
        </w:tc>
        <w:tc>
          <w:tcPr>
            <w:tcW w:w="80" w:type="dxa"/>
            <w:vAlign w:val="bottom"/>
          </w:tcPr>
          <w:p>
            <w:pPr>
              <w:spacing w:after="0"/>
              <w:rPr>
                <w:sz w:val="18"/>
                <w:szCs w:val="18"/>
                <w:color w:val="auto"/>
              </w:rPr>
            </w:pPr>
          </w:p>
        </w:tc>
        <w:tc>
          <w:tcPr>
            <w:tcW w:w="800" w:type="dxa"/>
            <w:vAlign w:val="bottom"/>
          </w:tcPr>
          <w:p>
            <w:pPr>
              <w:jc w:val="right"/>
              <w:ind w:right="6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255</w:t>
            </w:r>
          </w:p>
        </w:tc>
        <w:tc>
          <w:tcPr>
            <w:tcW w:w="80" w:type="dxa"/>
            <w:vAlign w:val="bottom"/>
          </w:tcPr>
          <w:p>
            <w:pPr>
              <w:spacing w:after="0"/>
              <w:rPr>
                <w:sz w:val="18"/>
                <w:szCs w:val="18"/>
                <w:color w:val="auto"/>
              </w:rPr>
            </w:pPr>
          </w:p>
        </w:tc>
        <w:tc>
          <w:tcPr>
            <w:tcW w:w="80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0"/>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3160" w:type="dxa"/>
            <w:vAlign w:val="bottom"/>
            <w:gridSpan w:val="2"/>
          </w:tcPr>
          <w:p>
            <w:pPr>
              <w:ind w:left="20"/>
              <w:spacing w:after="0"/>
              <w:rPr>
                <w:sz w:val="20"/>
                <w:szCs w:val="20"/>
                <w:color w:val="auto"/>
              </w:rPr>
            </w:pPr>
            <w:r>
              <w:rPr>
                <w:rFonts w:ascii="Arial" w:cs="Arial" w:eastAsia="Arial" w:hAnsi="Arial"/>
                <w:sz w:val="17"/>
                <w:szCs w:val="17"/>
                <w:b w:val="1"/>
                <w:bCs w:val="1"/>
                <w:color w:val="auto"/>
              </w:rPr>
              <w:t>Liabilities:</w:t>
            </w: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68"/>
        </w:trPr>
        <w:tc>
          <w:tcPr>
            <w:tcW w:w="3160" w:type="dxa"/>
            <w:vAlign w:val="bottom"/>
            <w:gridSpan w:val="2"/>
            <w:shd w:val="clear" w:color="auto" w:fill="CCEEFF"/>
          </w:tcPr>
          <w:p>
            <w:pPr>
              <w:ind w:left="120"/>
              <w:spacing w:after="0" w:line="168" w:lineRule="exact"/>
              <w:rPr>
                <w:sz w:val="20"/>
                <w:szCs w:val="20"/>
                <w:color w:val="auto"/>
              </w:rPr>
            </w:pPr>
            <w:r>
              <w:rPr>
                <w:rFonts w:ascii="Arial" w:cs="Arial" w:eastAsia="Arial" w:hAnsi="Arial"/>
                <w:sz w:val="17"/>
                <w:szCs w:val="17"/>
                <w:color w:val="auto"/>
              </w:rPr>
              <w:t>Accrued expenses and other current</w:t>
            </w:r>
          </w:p>
        </w:tc>
        <w:tc>
          <w:tcPr>
            <w:tcW w:w="6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2"/>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liabilities</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10,044</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r>
      <w:tr>
        <w:trPr>
          <w:trHeight w:val="218"/>
        </w:trPr>
        <w:tc>
          <w:tcPr>
            <w:tcW w:w="3160" w:type="dxa"/>
            <w:vAlign w:val="bottom"/>
            <w:gridSpan w:val="2"/>
          </w:tcPr>
          <w:p>
            <w:pPr>
              <w:ind w:left="120"/>
              <w:spacing w:after="0"/>
              <w:rPr>
                <w:sz w:val="20"/>
                <w:szCs w:val="20"/>
                <w:color w:val="auto"/>
              </w:rPr>
            </w:pPr>
            <w:r>
              <w:rPr>
                <w:rFonts w:ascii="Arial" w:cs="Arial" w:eastAsia="Arial" w:hAnsi="Arial"/>
                <w:sz w:val="17"/>
                <w:szCs w:val="17"/>
                <w:color w:val="auto"/>
              </w:rPr>
              <w:t>Other non-current liabilities</w:t>
            </w:r>
          </w:p>
        </w:tc>
        <w:tc>
          <w:tcPr>
            <w:tcW w:w="660" w:type="dxa"/>
            <w:vAlign w:val="bottom"/>
          </w:tcPr>
          <w:p>
            <w:pPr>
              <w:jc w:val="right"/>
              <w:ind w:right="47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6,218</w:t>
            </w:r>
          </w:p>
        </w:tc>
        <w:tc>
          <w:tcPr>
            <w:tcW w:w="100" w:type="dxa"/>
            <w:vAlign w:val="bottom"/>
          </w:tcPr>
          <w:p>
            <w:pPr>
              <w:spacing w:after="0"/>
              <w:rPr>
                <w:sz w:val="18"/>
                <w:szCs w:val="18"/>
                <w:color w:val="auto"/>
              </w:rPr>
            </w:pPr>
          </w:p>
        </w:tc>
        <w:tc>
          <w:tcPr>
            <w:tcW w:w="720" w:type="dxa"/>
            <w:vAlign w:val="bottom"/>
          </w:tcPr>
          <w:p>
            <w:pPr>
              <w:jc w:val="right"/>
              <w:ind w:right="5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1,785</w:t>
            </w:r>
          </w:p>
        </w:tc>
        <w:tc>
          <w:tcPr>
            <w:tcW w:w="80" w:type="dxa"/>
            <w:vAlign w:val="bottom"/>
          </w:tcPr>
          <w:p>
            <w:pPr>
              <w:spacing w:after="0"/>
              <w:rPr>
                <w:sz w:val="18"/>
                <w:szCs w:val="18"/>
                <w:color w:val="auto"/>
              </w:rPr>
            </w:pPr>
          </w:p>
        </w:tc>
        <w:tc>
          <w:tcPr>
            <w:tcW w:w="800" w:type="dxa"/>
            <w:vAlign w:val="bottom"/>
          </w:tcPr>
          <w:p>
            <w:pPr>
              <w:jc w:val="right"/>
              <w:ind w:right="61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following tables set forth the effect of foreign currency forward contracts and interest rate swaps on AOCI and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 w:type="dxa"/>
            <w:vAlign w:val="bottom"/>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11"/>
          </w:tcPr>
          <w:p>
            <w:pPr>
              <w:ind w:left="40"/>
              <w:spacing w:after="0"/>
              <w:rPr>
                <w:sz w:val="20"/>
                <w:szCs w:val="20"/>
                <w:color w:val="auto"/>
              </w:rPr>
            </w:pPr>
            <w:r>
              <w:rPr>
                <w:rFonts w:ascii="Arial" w:cs="Arial" w:eastAsia="Arial" w:hAnsi="Arial"/>
                <w:sz w:val="15"/>
                <w:szCs w:val="15"/>
                <w:b w:val="1"/>
                <w:bCs w:val="1"/>
                <w:color w:val="auto"/>
                <w:w w:val="93"/>
              </w:rPr>
              <w:t>Year ended December 31,</w:t>
            </w: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0" w:type="dxa"/>
            <w:vAlign w:val="bottom"/>
          </w:tcPr>
          <w:p>
            <w:pPr>
              <w:spacing w:after="0"/>
              <w:rPr>
                <w:sz w:val="17"/>
                <w:szCs w:val="17"/>
                <w:color w:val="auto"/>
              </w:rPr>
            </w:pPr>
          </w:p>
        </w:tc>
        <w:tc>
          <w:tcPr>
            <w:tcW w:w="3040" w:type="dxa"/>
            <w:vAlign w:val="bottom"/>
            <w:gridSpan w:val="2"/>
          </w:tcPr>
          <w:p>
            <w:pPr>
              <w:ind w:left="20"/>
              <w:spacing w:after="0"/>
              <w:rPr>
                <w:sz w:val="20"/>
                <w:szCs w:val="20"/>
                <w:color w:val="auto"/>
              </w:rPr>
            </w:pPr>
            <w:r>
              <w:rPr>
                <w:rFonts w:ascii="Arial" w:cs="Arial" w:eastAsia="Arial" w:hAnsi="Arial"/>
                <w:sz w:val="15"/>
                <w:szCs w:val="15"/>
                <w:b w:val="1"/>
                <w:bCs w:val="1"/>
                <w:color w:val="auto"/>
              </w:rPr>
              <w:t>Derivative financial instruments: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rPr>
              <w:t>2022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4"/>
          </w:tcPr>
          <w:p>
            <w:pPr>
              <w:jc w:val="right"/>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 w:type="dxa"/>
            <w:vAlign w:val="bottom"/>
          </w:tcPr>
          <w:p>
            <w:pPr>
              <w:spacing w:after="0"/>
              <w:rPr>
                <w:sz w:val="17"/>
                <w:szCs w:val="17"/>
                <w:color w:val="auto"/>
              </w:rPr>
            </w:pPr>
          </w:p>
        </w:tc>
        <w:tc>
          <w:tcPr>
            <w:tcW w:w="3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Unrealized gain/(loss) recognized in AOCI</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3240" w:type="dxa"/>
            <w:vAlign w:val="bottom"/>
            <w:gridSpan w:val="3"/>
          </w:tcPr>
          <w:p>
            <w:pPr>
              <w:ind w:left="20"/>
              <w:spacing w:after="0"/>
              <w:rPr>
                <w:sz w:val="20"/>
                <w:szCs w:val="20"/>
                <w:color w:val="auto"/>
              </w:rPr>
            </w:pPr>
            <w:r>
              <w:rPr>
                <w:rFonts w:ascii="Arial" w:cs="Arial" w:eastAsia="Arial" w:hAnsi="Arial"/>
                <w:sz w:val="17"/>
                <w:szCs w:val="17"/>
                <w:color w:val="auto"/>
                <w:w w:val="93"/>
              </w:rPr>
              <w:t>Derivatives in cash flow hedging relationships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(27,333)</w:t>
            </w:r>
          </w:p>
        </w:tc>
        <w:tc>
          <w:tcPr>
            <w:tcW w:w="8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7"/>
                <w:szCs w:val="17"/>
                <w:color w:val="auto"/>
                <w:w w:val="93"/>
              </w:rPr>
              <w:t>4,663</w:t>
            </w:r>
          </w:p>
        </w:tc>
        <w:tc>
          <w:tcPr>
            <w:tcW w:w="2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12,665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40" w:type="dxa"/>
            <w:vAlign w:val="bottom"/>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4380" w:type="dxa"/>
            <w:vAlign w:val="bottom"/>
            <w:gridSpan w:val="6"/>
          </w:tcPr>
          <w:p>
            <w:pPr>
              <w:ind w:left="20"/>
              <w:spacing w:after="0"/>
              <w:rPr>
                <w:sz w:val="20"/>
                <w:szCs w:val="20"/>
                <w:color w:val="auto"/>
              </w:rPr>
            </w:pPr>
            <w:r>
              <w:rPr>
                <w:rFonts w:ascii="Arial" w:cs="Arial" w:eastAsia="Arial" w:hAnsi="Arial"/>
                <w:sz w:val="15"/>
                <w:szCs w:val="15"/>
                <w:b w:val="1"/>
                <w:bCs w:val="1"/>
                <w:color w:val="auto"/>
              </w:rPr>
              <w:t>Gain/(loss) recognized in consolidated statements of income</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438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Derivatives not designated as hedging instruments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(9,571)</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196</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3,686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240" w:type="dxa"/>
            <w:vAlign w:val="bottom"/>
            <w:gridSpan w:val="34"/>
          </w:tcPr>
          <w:p>
            <w:pPr>
              <w:spacing w:after="0"/>
              <w:rPr>
                <w:sz w:val="20"/>
                <w:szCs w:val="20"/>
                <w:color w:val="auto"/>
              </w:rPr>
            </w:pPr>
            <w:r>
              <w:rPr>
                <w:rFonts w:ascii="Arial" w:cs="Arial" w:eastAsia="Arial" w:hAnsi="Arial"/>
                <w:sz w:val="17"/>
                <w:szCs w:val="17"/>
                <w:color w:val="auto"/>
                <w:w w:val="97"/>
              </w:rPr>
              <w:t>Location and amount of gain/(loss) recognized in consolidated statements of income for derivatives in cash flow hedging relationships and derivatives not</w:t>
            </w:r>
          </w:p>
        </w:tc>
        <w:tc>
          <w:tcPr>
            <w:tcW w:w="0" w:type="dxa"/>
            <w:vAlign w:val="bottom"/>
          </w:tcPr>
          <w:p>
            <w:pPr>
              <w:spacing w:after="0"/>
              <w:rPr>
                <w:sz w:val="1"/>
                <w:szCs w:val="1"/>
                <w:color w:val="auto"/>
              </w:rPr>
            </w:pPr>
          </w:p>
        </w:tc>
      </w:tr>
      <w:tr>
        <w:trPr>
          <w:trHeight w:val="217"/>
        </w:trPr>
        <w:tc>
          <w:tcPr>
            <w:tcW w:w="3680" w:type="dxa"/>
            <w:vAlign w:val="bottom"/>
            <w:gridSpan w:val="3"/>
          </w:tcPr>
          <w:p>
            <w:pPr>
              <w:spacing w:after="0"/>
              <w:rPr>
                <w:sz w:val="20"/>
                <w:szCs w:val="20"/>
                <w:color w:val="auto"/>
              </w:rPr>
            </w:pPr>
            <w:r>
              <w:rPr>
                <w:rFonts w:ascii="Arial" w:cs="Arial" w:eastAsia="Arial" w:hAnsi="Arial"/>
                <w:sz w:val="17"/>
                <w:szCs w:val="17"/>
                <w:color w:val="auto"/>
              </w:rPr>
              <w:t>designated as hedging instruments: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4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gridSpan w:val="9"/>
            <w:shd w:val="clear" w:color="auto" w:fill="CCEEFF"/>
          </w:tcPr>
          <w:p>
            <w:pPr>
              <w:jc w:val="right"/>
              <w:ind w:right="334"/>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95"/>
              </w:rPr>
              <w:t>As per consolidated</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19"/>
              <w:spacing w:after="0" w:line="129" w:lineRule="exact"/>
              <w:rPr>
                <w:sz w:val="20"/>
                <w:szCs w:val="20"/>
                <w:color w:val="auto"/>
              </w:rPr>
            </w:pPr>
            <w:r>
              <w:rPr>
                <w:rFonts w:ascii="Arial" w:cs="Arial" w:eastAsia="Arial" w:hAnsi="Arial"/>
                <w:sz w:val="14"/>
                <w:szCs w:val="14"/>
                <w:b w:val="1"/>
                <w:bCs w:val="1"/>
                <w:color w:val="auto"/>
                <w:w w:val="87"/>
              </w:rPr>
              <w:t>Gain/(loss) on</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gridSpan w:val="6"/>
            <w:vMerge w:val="restart"/>
            <w:shd w:val="clear" w:color="auto" w:fill="CCEEFF"/>
          </w:tcPr>
          <w:p>
            <w:pPr>
              <w:jc w:val="center"/>
              <w:ind w:right="83"/>
              <w:spacing w:after="0"/>
              <w:rPr>
                <w:sz w:val="20"/>
                <w:szCs w:val="20"/>
                <w:color w:val="auto"/>
              </w:rPr>
            </w:pPr>
            <w:r>
              <w:rPr>
                <w:rFonts w:ascii="Arial" w:cs="Arial" w:eastAsia="Arial" w:hAnsi="Arial"/>
                <w:sz w:val="14"/>
                <w:szCs w:val="14"/>
                <w:b w:val="1"/>
                <w:bCs w:val="1"/>
                <w:color w:val="auto"/>
                <w:w w:val="86"/>
              </w:rPr>
              <w:t>As per consolidated</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120"/>
              <w:spacing w:after="0" w:line="129" w:lineRule="exact"/>
              <w:rPr>
                <w:sz w:val="20"/>
                <w:szCs w:val="20"/>
                <w:color w:val="auto"/>
              </w:rPr>
            </w:pPr>
            <w:r>
              <w:rPr>
                <w:rFonts w:ascii="Arial" w:cs="Arial" w:eastAsia="Arial" w:hAnsi="Arial"/>
                <w:sz w:val="14"/>
                <w:szCs w:val="14"/>
                <w:b w:val="1"/>
                <w:bCs w:val="1"/>
                <w:color w:val="auto"/>
              </w:rPr>
              <w:t>Gain on</w:t>
            </w:r>
          </w:p>
        </w:tc>
        <w:tc>
          <w:tcPr>
            <w:tcW w:w="120" w:type="dxa"/>
            <w:vAlign w:val="bottom"/>
            <w:shd w:val="clear" w:color="auto" w:fill="CCEEFF"/>
          </w:tcPr>
          <w:p>
            <w:pPr>
              <w:spacing w:after="0"/>
              <w:rPr>
                <w:sz w:val="11"/>
                <w:szCs w:val="11"/>
                <w:color w:val="auto"/>
              </w:rPr>
            </w:pPr>
          </w:p>
        </w:tc>
        <w:tc>
          <w:tcPr>
            <w:tcW w:w="1240" w:type="dxa"/>
            <w:vAlign w:val="bottom"/>
            <w:gridSpan w:val="6"/>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6"/>
              </w:rPr>
              <w:t>As per consolidated</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94"/>
              <w:spacing w:after="0" w:line="129" w:lineRule="exact"/>
              <w:rPr>
                <w:sz w:val="20"/>
                <w:szCs w:val="20"/>
                <w:color w:val="auto"/>
              </w:rPr>
            </w:pPr>
            <w:r>
              <w:rPr>
                <w:rFonts w:ascii="Arial" w:cs="Arial" w:eastAsia="Arial" w:hAnsi="Arial"/>
                <w:sz w:val="14"/>
                <w:szCs w:val="14"/>
                <w:b w:val="1"/>
                <w:bCs w:val="1"/>
                <w:color w:val="auto"/>
                <w:w w:val="85"/>
              </w:rPr>
              <w:t>Gain/(loss)</w:t>
            </w:r>
          </w:p>
        </w:tc>
        <w:tc>
          <w:tcPr>
            <w:tcW w:w="0" w:type="dxa"/>
            <w:vAlign w:val="bottom"/>
          </w:tcPr>
          <w:p>
            <w:pPr>
              <w:spacing w:after="0"/>
              <w:rPr>
                <w:sz w:val="1"/>
                <w:szCs w:val="1"/>
                <w:color w:val="auto"/>
              </w:rPr>
            </w:pPr>
          </w:p>
        </w:tc>
      </w:tr>
      <w:tr>
        <w:trPr>
          <w:trHeight w:val="64"/>
        </w:trPr>
        <w:tc>
          <w:tcPr>
            <w:tcW w:w="640" w:type="dxa"/>
            <w:vAlign w:val="bottom"/>
            <w:shd w:val="clear" w:color="auto" w:fill="CCEEFF"/>
          </w:tcPr>
          <w:p>
            <w:pPr>
              <w:spacing w:after="0"/>
              <w:rPr>
                <w:sz w:val="5"/>
                <w:szCs w:val="5"/>
                <w:color w:val="auto"/>
              </w:rPr>
            </w:pPr>
          </w:p>
        </w:tc>
        <w:tc>
          <w:tcPr>
            <w:tcW w:w="2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gridSpan w:val="4"/>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gridSpan w:val="3"/>
            <w:vMerge w:val="restart"/>
            <w:shd w:val="clear" w:color="auto" w:fill="CCEEFF"/>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derivative</w:t>
            </w:r>
          </w:p>
        </w:tc>
        <w:tc>
          <w:tcPr>
            <w:tcW w:w="1360" w:type="dxa"/>
            <w:vAlign w:val="bottom"/>
            <w:gridSpan w:val="6"/>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60" w:type="dxa"/>
            <w:vAlign w:val="bottom"/>
            <w:gridSpan w:val="3"/>
            <w:vMerge w:val="restart"/>
            <w:shd w:val="clear" w:color="auto" w:fill="CCEEFF"/>
          </w:tcPr>
          <w:p>
            <w:pPr>
              <w:jc w:val="right"/>
              <w:ind w:right="134"/>
              <w:spacing w:after="0" w:line="133" w:lineRule="exact"/>
              <w:rPr>
                <w:sz w:val="20"/>
                <w:szCs w:val="20"/>
                <w:color w:val="auto"/>
              </w:rPr>
            </w:pPr>
            <w:r>
              <w:rPr>
                <w:rFonts w:ascii="Arial" w:cs="Arial" w:eastAsia="Arial" w:hAnsi="Arial"/>
                <w:sz w:val="14"/>
                <w:szCs w:val="14"/>
                <w:b w:val="1"/>
                <w:bCs w:val="1"/>
                <w:color w:val="auto"/>
                <w:w w:val="94"/>
              </w:rPr>
              <w:t>derivative</w:t>
            </w:r>
          </w:p>
        </w:tc>
        <w:tc>
          <w:tcPr>
            <w:tcW w:w="120" w:type="dxa"/>
            <w:vAlign w:val="bottom"/>
            <w:shd w:val="clear" w:color="auto" w:fill="CCEEFF"/>
          </w:tcPr>
          <w:p>
            <w:pPr>
              <w:spacing w:after="0"/>
              <w:rPr>
                <w:sz w:val="5"/>
                <w:szCs w:val="5"/>
                <w:color w:val="auto"/>
              </w:rPr>
            </w:pPr>
          </w:p>
        </w:tc>
        <w:tc>
          <w:tcPr>
            <w:tcW w:w="1240" w:type="dxa"/>
            <w:vAlign w:val="bottom"/>
            <w:gridSpan w:val="6"/>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gridSpan w:val="2"/>
            <w:vMerge w:val="restart"/>
            <w:shd w:val="clear" w:color="auto" w:fill="CCEEFF"/>
          </w:tcPr>
          <w:p>
            <w:pPr>
              <w:jc w:val="center"/>
              <w:ind w:right="74"/>
              <w:spacing w:after="0" w:line="133" w:lineRule="exact"/>
              <w:rPr>
                <w:sz w:val="20"/>
                <w:szCs w:val="20"/>
                <w:color w:val="auto"/>
              </w:rPr>
            </w:pPr>
            <w:r>
              <w:rPr>
                <w:rFonts w:ascii="Arial" w:cs="Arial" w:eastAsia="Arial" w:hAnsi="Arial"/>
                <w:sz w:val="14"/>
                <w:szCs w:val="14"/>
                <w:b w:val="1"/>
                <w:bCs w:val="1"/>
                <w:color w:val="auto"/>
                <w:w w:val="87"/>
              </w:rPr>
              <w:t>on derivative</w:t>
            </w:r>
          </w:p>
        </w:tc>
        <w:tc>
          <w:tcPr>
            <w:tcW w:w="0" w:type="dxa"/>
            <w:vAlign w:val="bottom"/>
          </w:tcPr>
          <w:p>
            <w:pPr>
              <w:spacing w:after="0"/>
              <w:rPr>
                <w:sz w:val="1"/>
                <w:szCs w:val="1"/>
                <w:color w:val="auto"/>
              </w:rPr>
            </w:pPr>
          </w:p>
        </w:tc>
      </w:tr>
      <w:tr>
        <w:trPr>
          <w:trHeight w:val="68"/>
        </w:trPr>
        <w:tc>
          <w:tcPr>
            <w:tcW w:w="640" w:type="dxa"/>
            <w:vAlign w:val="bottom"/>
            <w:shd w:val="clear" w:color="auto" w:fill="CCEEFF"/>
          </w:tcPr>
          <w:p>
            <w:pPr>
              <w:spacing w:after="0"/>
              <w:rPr>
                <w:sz w:val="5"/>
                <w:szCs w:val="5"/>
                <w:color w:val="auto"/>
              </w:rPr>
            </w:pPr>
          </w:p>
        </w:tc>
        <w:tc>
          <w:tcPr>
            <w:tcW w:w="2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gridSpan w:val="3"/>
            <w:vMerge w:val="restart"/>
            <w:shd w:val="clear" w:color="auto" w:fill="CCEEFF"/>
          </w:tcPr>
          <w:p>
            <w:pPr>
              <w:jc w:val="center"/>
              <w:ind w:right="320"/>
              <w:spacing w:after="0" w:line="133" w:lineRule="exact"/>
              <w:rPr>
                <w:sz w:val="20"/>
                <w:szCs w:val="20"/>
                <w:color w:val="auto"/>
              </w:rPr>
            </w:pPr>
            <w:r>
              <w:rPr>
                <w:rFonts w:ascii="Arial" w:cs="Arial" w:eastAsia="Arial" w:hAnsi="Arial"/>
                <w:sz w:val="14"/>
                <w:szCs w:val="14"/>
                <w:b w:val="1"/>
                <w:bCs w:val="1"/>
                <w:color w:val="auto"/>
                <w:w w:val="85"/>
              </w:rPr>
              <w:t>statements of</w:t>
            </w:r>
          </w:p>
        </w:tc>
        <w:tc>
          <w:tcPr>
            <w:tcW w:w="100" w:type="dxa"/>
            <w:vAlign w:val="bottom"/>
            <w:shd w:val="clear" w:color="auto" w:fill="CCEEFF"/>
          </w:tcPr>
          <w:p>
            <w:pPr>
              <w:spacing w:after="0"/>
              <w:rPr>
                <w:sz w:val="5"/>
                <w:szCs w:val="5"/>
                <w:color w:val="auto"/>
              </w:rPr>
            </w:pPr>
          </w:p>
        </w:tc>
        <w:tc>
          <w:tcPr>
            <w:tcW w:w="1100" w:type="dxa"/>
            <w:vAlign w:val="bottom"/>
            <w:gridSpan w:val="3"/>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gridSpan w:val="4"/>
            <w:vMerge w:val="restart"/>
            <w:shd w:val="clear" w:color="auto" w:fill="CCEEFF"/>
          </w:tcPr>
          <w:p>
            <w:pPr>
              <w:jc w:val="center"/>
              <w:ind w:right="303"/>
              <w:spacing w:after="0" w:line="133" w:lineRule="exact"/>
              <w:rPr>
                <w:sz w:val="20"/>
                <w:szCs w:val="20"/>
                <w:color w:val="auto"/>
              </w:rPr>
            </w:pPr>
            <w:r>
              <w:rPr>
                <w:rFonts w:ascii="Arial" w:cs="Arial" w:eastAsia="Arial" w:hAnsi="Arial"/>
                <w:sz w:val="14"/>
                <w:szCs w:val="14"/>
                <w:b w:val="1"/>
                <w:bCs w:val="1"/>
                <w:color w:val="auto"/>
                <w:w w:val="85"/>
              </w:rPr>
              <w:t>statements of</w:t>
            </w: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6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gridSpan w:val="6"/>
            <w:vMerge w:val="restart"/>
            <w:shd w:val="clear" w:color="auto" w:fill="CCEEFF"/>
          </w:tcPr>
          <w:p>
            <w:pPr>
              <w:jc w:val="center"/>
              <w:ind w:right="20"/>
              <w:spacing w:after="0" w:line="133" w:lineRule="exact"/>
              <w:rPr>
                <w:sz w:val="20"/>
                <w:szCs w:val="20"/>
                <w:color w:val="auto"/>
              </w:rPr>
            </w:pPr>
            <w:r>
              <w:rPr>
                <w:rFonts w:ascii="Arial" w:cs="Arial" w:eastAsia="Arial" w:hAnsi="Arial"/>
                <w:sz w:val="14"/>
                <w:szCs w:val="14"/>
                <w:b w:val="1"/>
                <w:bCs w:val="1"/>
                <w:color w:val="auto"/>
                <w:w w:val="85"/>
              </w:rPr>
              <w:t>statements of</w:t>
            </w: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40" w:type="dxa"/>
            <w:vAlign w:val="bottom"/>
            <w:shd w:val="clear" w:color="auto" w:fill="CCEEFF"/>
          </w:tcPr>
          <w:p>
            <w:pPr>
              <w:spacing w:after="0"/>
              <w:rPr>
                <w:sz w:val="5"/>
                <w:szCs w:val="5"/>
                <w:color w:val="auto"/>
              </w:rPr>
            </w:pPr>
          </w:p>
        </w:tc>
        <w:tc>
          <w:tcPr>
            <w:tcW w:w="2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gridSpan w:val="3"/>
            <w:vMerge w:val="restart"/>
            <w:shd w:val="clear" w:color="auto" w:fill="CCEEFF"/>
          </w:tcPr>
          <w:p>
            <w:pPr>
              <w:jc w:val="center"/>
              <w:ind w:right="240"/>
              <w:spacing w:after="0" w:line="142" w:lineRule="exact"/>
              <w:rPr>
                <w:sz w:val="20"/>
                <w:szCs w:val="20"/>
                <w:color w:val="auto"/>
              </w:rPr>
            </w:pPr>
            <w:r>
              <w:rPr>
                <w:rFonts w:ascii="Arial" w:cs="Arial" w:eastAsia="Arial" w:hAnsi="Arial"/>
                <w:sz w:val="14"/>
                <w:szCs w:val="14"/>
                <w:b w:val="1"/>
                <w:bCs w:val="1"/>
                <w:color w:val="auto"/>
                <w:w w:val="87"/>
              </w:rPr>
              <w:t>financial</w:t>
            </w: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gridSpan w:val="4"/>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60" w:type="dxa"/>
            <w:vAlign w:val="bottom"/>
            <w:gridSpan w:val="3"/>
            <w:vMerge w:val="restart"/>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financial</w:t>
            </w:r>
          </w:p>
        </w:tc>
        <w:tc>
          <w:tcPr>
            <w:tcW w:w="120" w:type="dxa"/>
            <w:vAlign w:val="bottom"/>
            <w:shd w:val="clear" w:color="auto" w:fill="CCEEFF"/>
          </w:tcPr>
          <w:p>
            <w:pPr>
              <w:spacing w:after="0"/>
              <w:rPr>
                <w:sz w:val="5"/>
                <w:szCs w:val="5"/>
                <w:color w:val="auto"/>
              </w:rPr>
            </w:pPr>
          </w:p>
        </w:tc>
        <w:tc>
          <w:tcPr>
            <w:tcW w:w="1240" w:type="dxa"/>
            <w:vAlign w:val="bottom"/>
            <w:gridSpan w:val="6"/>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gridSpan w:val="2"/>
            <w:vMerge w:val="restart"/>
            <w:shd w:val="clear" w:color="auto" w:fill="CCEEFF"/>
          </w:tcPr>
          <w:p>
            <w:pPr>
              <w:jc w:val="center"/>
              <w:ind w:right="74"/>
              <w:spacing w:after="0" w:line="142" w:lineRule="exact"/>
              <w:rPr>
                <w:sz w:val="20"/>
                <w:szCs w:val="20"/>
                <w:color w:val="auto"/>
              </w:rPr>
            </w:pPr>
            <w:r>
              <w:rPr>
                <w:rFonts w:ascii="Arial" w:cs="Arial" w:eastAsia="Arial" w:hAnsi="Arial"/>
                <w:sz w:val="14"/>
                <w:szCs w:val="14"/>
                <w:b w:val="1"/>
                <w:bCs w:val="1"/>
                <w:color w:val="auto"/>
                <w:w w:val="91"/>
              </w:rPr>
              <w:t>financial</w:t>
            </w:r>
          </w:p>
        </w:tc>
        <w:tc>
          <w:tcPr>
            <w:tcW w:w="0" w:type="dxa"/>
            <w:vAlign w:val="bottom"/>
          </w:tcPr>
          <w:p>
            <w:pPr>
              <w:spacing w:after="0"/>
              <w:rPr>
                <w:sz w:val="1"/>
                <w:szCs w:val="1"/>
                <w:color w:val="auto"/>
              </w:rPr>
            </w:pPr>
          </w:p>
        </w:tc>
      </w:tr>
      <w:tr>
        <w:trPr>
          <w:trHeight w:val="77"/>
        </w:trPr>
        <w:tc>
          <w:tcPr>
            <w:tcW w:w="640" w:type="dxa"/>
            <w:vAlign w:val="bottom"/>
            <w:shd w:val="clear" w:color="auto" w:fill="CCEEFF"/>
          </w:tcPr>
          <w:p>
            <w:pPr>
              <w:spacing w:after="0"/>
              <w:rPr>
                <w:sz w:val="6"/>
                <w:szCs w:val="6"/>
                <w:color w:val="auto"/>
              </w:rPr>
            </w:pPr>
          </w:p>
        </w:tc>
        <w:tc>
          <w:tcPr>
            <w:tcW w:w="2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gridSpan w:val="3"/>
            <w:vMerge w:val="restart"/>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shd w:val="clear" w:color="auto" w:fill="CCEEFF"/>
          </w:tcPr>
          <w:p>
            <w:pPr>
              <w:spacing w:after="0"/>
              <w:rPr>
                <w:sz w:val="6"/>
                <w:szCs w:val="6"/>
                <w:color w:val="auto"/>
              </w:rPr>
            </w:pPr>
          </w:p>
        </w:tc>
        <w:tc>
          <w:tcPr>
            <w:tcW w:w="110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4"/>
            <w:vMerge w:val="restart"/>
            <w:shd w:val="clear" w:color="auto" w:fill="CCEEFF"/>
          </w:tcPr>
          <w:p>
            <w:pPr>
              <w:jc w:val="center"/>
              <w:ind w:right="303"/>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gridSpan w:val="5"/>
            <w:vMerge w:val="restart"/>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40" w:type="dxa"/>
            <w:vAlign w:val="bottom"/>
            <w:shd w:val="clear" w:color="auto" w:fill="CCEEFF"/>
          </w:tcPr>
          <w:p>
            <w:pPr>
              <w:spacing w:after="0"/>
              <w:rPr>
                <w:sz w:val="8"/>
                <w:szCs w:val="8"/>
                <w:color w:val="auto"/>
              </w:rPr>
            </w:pPr>
          </w:p>
        </w:tc>
        <w:tc>
          <w:tcPr>
            <w:tcW w:w="2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4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gridSpan w:val="3"/>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87"/>
              </w:rPr>
              <w:t>instruments</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gridSpan w:val="4"/>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gridSpan w:val="3"/>
            <w:vMerge w:val="restart"/>
            <w:shd w:val="clear" w:color="auto" w:fill="CCEEFF"/>
          </w:tcPr>
          <w:p>
            <w:pPr>
              <w:spacing w:after="0"/>
              <w:rPr>
                <w:sz w:val="20"/>
                <w:szCs w:val="20"/>
                <w:color w:val="auto"/>
              </w:rPr>
            </w:pPr>
            <w:r>
              <w:rPr>
                <w:rFonts w:ascii="Arial" w:cs="Arial" w:eastAsia="Arial" w:hAnsi="Arial"/>
                <w:sz w:val="14"/>
                <w:szCs w:val="14"/>
                <w:b w:val="1"/>
                <w:bCs w:val="1"/>
                <w:color w:val="auto"/>
              </w:rPr>
              <w:t>instruments</w:t>
            </w: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60" w:type="dxa"/>
            <w:vAlign w:val="bottom"/>
            <w:gridSpan w:val="5"/>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center"/>
              <w:ind w:right="54"/>
              <w:spacing w:after="0"/>
              <w:rPr>
                <w:sz w:val="20"/>
                <w:szCs w:val="20"/>
                <w:color w:val="auto"/>
              </w:rPr>
            </w:pPr>
            <w:r>
              <w:rPr>
                <w:rFonts w:ascii="Arial" w:cs="Arial" w:eastAsia="Arial" w:hAnsi="Arial"/>
                <w:sz w:val="14"/>
                <w:szCs w:val="14"/>
                <w:b w:val="1"/>
                <w:bCs w:val="1"/>
                <w:color w:val="auto"/>
                <w:w w:val="87"/>
              </w:rPr>
              <w:t>instruments</w:t>
            </w:r>
          </w:p>
        </w:tc>
        <w:tc>
          <w:tcPr>
            <w:tcW w:w="0" w:type="dxa"/>
            <w:vAlign w:val="bottom"/>
          </w:tcPr>
          <w:p>
            <w:pPr>
              <w:spacing w:after="0"/>
              <w:rPr>
                <w:sz w:val="1"/>
                <w:szCs w:val="1"/>
                <w:color w:val="auto"/>
              </w:rPr>
            </w:pPr>
          </w:p>
        </w:tc>
      </w:tr>
      <w:tr>
        <w:trPr>
          <w:trHeight w:val="102"/>
        </w:trPr>
        <w:tc>
          <w:tcPr>
            <w:tcW w:w="640" w:type="dxa"/>
            <w:vAlign w:val="bottom"/>
            <w:tcBorders>
              <w:bottom w:val="single" w:sz="8" w:color="CCEEFF"/>
            </w:tcBorders>
            <w:shd w:val="clear" w:color="auto" w:fill="CCEEFF"/>
          </w:tcPr>
          <w:p>
            <w:pPr>
              <w:spacing w:after="0"/>
              <w:rPr>
                <w:sz w:val="8"/>
                <w:szCs w:val="8"/>
                <w:color w:val="auto"/>
              </w:rPr>
            </w:pPr>
          </w:p>
        </w:tc>
        <w:tc>
          <w:tcPr>
            <w:tcW w:w="29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gridSpan w:val="3"/>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gridSpan w:val="3"/>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58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Cash flow hedging relationships</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6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7"/>
                <w:szCs w:val="17"/>
                <w:color w:val="auto"/>
              </w:rPr>
              <w:t>Location in consolidated statements of income</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where gain/(loss) was reclassified from AOCI</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2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896,595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690,934</w:t>
            </w:r>
          </w:p>
        </w:tc>
        <w:tc>
          <w:tcPr>
            <w:tcW w:w="1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7,785</w:t>
            </w:r>
          </w:p>
        </w:tc>
        <w:tc>
          <w:tcPr>
            <w:tcW w:w="5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623,936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18"/>
        </w:trPr>
        <w:tc>
          <w:tcPr>
            <w:tcW w:w="3680" w:type="dxa"/>
            <w:vAlign w:val="bottom"/>
            <w:gridSpan w:val="3"/>
          </w:tcPr>
          <w:p>
            <w:pPr>
              <w:ind w:left="20"/>
              <w:spacing w:after="0"/>
              <w:rPr>
                <w:sz w:val="20"/>
                <w:szCs w:val="20"/>
                <w:color w:val="auto"/>
              </w:rPr>
            </w:pPr>
            <w:r>
              <w:rPr>
                <w:rFonts w:ascii="Arial" w:cs="Arial" w:eastAsia="Arial" w:hAnsi="Arial"/>
                <w:sz w:val="17"/>
                <w:szCs w:val="17"/>
                <w:color w:val="auto"/>
              </w:rPr>
              <w:t>General and administrative expenses</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169,016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142,040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948</w:t>
            </w:r>
          </w:p>
        </w:tc>
        <w:tc>
          <w:tcPr>
            <w:tcW w:w="500" w:type="dxa"/>
            <w:vAlign w:val="bottom"/>
            <w:gridSpan w:val="2"/>
          </w:tcPr>
          <w:p>
            <w:pPr>
              <w:jc w:val="right"/>
              <w:ind w:right="20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113,891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20"/>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Selling and marketing expenses</w:t>
            </w: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84,306</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5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8"/>
        </w:trPr>
        <w:tc>
          <w:tcPr>
            <w:tcW w:w="3680" w:type="dxa"/>
            <w:vAlign w:val="bottom"/>
            <w:gridSpan w:val="3"/>
          </w:tcPr>
          <w:p>
            <w:pPr>
              <w:ind w:left="20"/>
              <w:spacing w:after="0"/>
              <w:rPr>
                <w:sz w:val="20"/>
                <w:szCs w:val="20"/>
                <w:color w:val="auto"/>
              </w:rPr>
            </w:pPr>
            <w:r>
              <w:rPr>
                <w:rFonts w:ascii="Arial" w:cs="Arial" w:eastAsia="Arial" w:hAnsi="Arial"/>
                <w:sz w:val="17"/>
                <w:szCs w:val="17"/>
                <w:color w:val="auto"/>
              </w:rPr>
              <w:t>Depreciation and amortization expense</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56,282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49,132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478</w:t>
            </w:r>
          </w:p>
        </w:tc>
        <w:tc>
          <w:tcPr>
            <w:tcW w:w="500" w:type="dxa"/>
            <w:vAlign w:val="bottom"/>
            <w:gridSpan w:val="2"/>
          </w:tcPr>
          <w:p>
            <w:pPr>
              <w:jc w:val="right"/>
              <w:ind w:right="20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50,462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0"/>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7,561</w:t>
            </w:r>
          </w:p>
        </w:tc>
        <w:tc>
          <w:tcPr>
            <w:tcW w:w="1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11,190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68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 before tax</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9,264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801</w:t>
            </w:r>
          </w:p>
        </w:tc>
        <w:tc>
          <w:tcPr>
            <w:tcW w:w="0" w:type="dxa"/>
            <w:vAlign w:val="bottom"/>
          </w:tcPr>
          <w:p>
            <w:pPr>
              <w:spacing w:after="0"/>
              <w:rPr>
                <w:sz w:val="1"/>
                <w:szCs w:val="1"/>
                <w:color w:val="auto"/>
              </w:rPr>
            </w:pPr>
          </w:p>
        </w:tc>
      </w:tr>
      <w:tr>
        <w:trPr>
          <w:trHeight w:val="219"/>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Income tax effects on above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3"/>
        </w:trPr>
        <w:tc>
          <w:tcPr>
            <w:tcW w:w="368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of tax</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7,734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1,301</w:t>
            </w:r>
          </w:p>
        </w:tc>
        <w:tc>
          <w:tcPr>
            <w:tcW w:w="0" w:type="dxa"/>
            <w:vAlign w:val="bottom"/>
          </w:tcPr>
          <w:p>
            <w:pPr>
              <w:spacing w:after="0"/>
              <w:rPr>
                <w:sz w:val="1"/>
                <w:szCs w:val="1"/>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680" w:type="dxa"/>
            <w:vAlign w:val="bottom"/>
            <w:gridSpan w:val="3"/>
          </w:tcPr>
          <w:p>
            <w:pPr>
              <w:ind w:left="20"/>
              <w:spacing w:after="0"/>
              <w:rPr>
                <w:sz w:val="20"/>
                <w:szCs w:val="20"/>
                <w:color w:val="auto"/>
              </w:rPr>
            </w:pPr>
            <w:r>
              <w:rPr>
                <w:rFonts w:ascii="Arial" w:cs="Arial" w:eastAsia="Arial" w:hAnsi="Arial"/>
                <w:sz w:val="15"/>
                <w:szCs w:val="15"/>
                <w:b w:val="1"/>
                <w:bCs w:val="1"/>
                <w:color w:val="auto"/>
                <w:w w:val="99"/>
              </w:rPr>
              <w:t>Derivatives not designated as hedging instruments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6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7"/>
                <w:szCs w:val="17"/>
                <w:color w:val="auto"/>
              </w:rPr>
              <w:t>Location in consolidated statements of income</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where gain/(loss) was recognized</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2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exchange gain, net</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(9,571)</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4,313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3,686</w:t>
            </w: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6,199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(9,571)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4,313</w:t>
            </w:r>
          </w:p>
        </w:tc>
        <w:tc>
          <w:tcPr>
            <w:tcW w:w="14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196</w:t>
            </w:r>
          </w:p>
        </w:tc>
        <w:tc>
          <w:tcPr>
            <w:tcW w:w="500" w:type="dxa"/>
            <w:vAlign w:val="bottom"/>
            <w:gridSpan w:val="2"/>
          </w:tcPr>
          <w:p>
            <w:pPr>
              <w:jc w:val="right"/>
              <w:ind w:right="20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4,432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3,686</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7"/>
                <w:szCs w:val="17"/>
                <w:color w:val="auto"/>
              </w:rPr>
              <w:t>Effect of net investment hedges on AOCI:</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9"/>
        </w:trPr>
        <w:tc>
          <w:tcPr>
            <w:tcW w:w="36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0"/>
          </w:tcPr>
          <w:p>
            <w:pPr>
              <w:ind w:left="100"/>
              <w:spacing w:after="0"/>
              <w:rPr>
                <w:sz w:val="20"/>
                <w:szCs w:val="20"/>
                <w:color w:val="auto"/>
              </w:rPr>
            </w:pPr>
            <w:r>
              <w:rPr>
                <w:rFonts w:ascii="Arial" w:cs="Arial" w:eastAsia="Arial" w:hAnsi="Arial"/>
                <w:sz w:val="15"/>
                <w:szCs w:val="15"/>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14"/>
          </w:tcPr>
          <w:p>
            <w:pPr>
              <w:jc w:val="right"/>
              <w:ind w:right="120"/>
              <w:spacing w:after="0"/>
              <w:rPr>
                <w:sz w:val="20"/>
                <w:szCs w:val="20"/>
                <w:color w:val="auto"/>
              </w:rPr>
            </w:pPr>
            <w:r>
              <w:rPr>
                <w:rFonts w:ascii="Arial" w:cs="Arial" w:eastAsia="Arial" w:hAnsi="Arial"/>
                <w:sz w:val="15"/>
                <w:szCs w:val="15"/>
                <w:b w:val="1"/>
                <w:bCs w:val="1"/>
                <w:color w:val="auto"/>
                <w:w w:val="95"/>
              </w:rPr>
              <w:t>Amount of loss recognized in AOCI</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investment hedging relationships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6"/>
          </w:tcPr>
          <w:p>
            <w:pPr>
              <w:jc w:val="right"/>
              <w:ind w:right="20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4"/>
          </w:tcPr>
          <w:p>
            <w:pPr>
              <w:jc w:val="right"/>
              <w:ind w:right="14"/>
              <w:spacing w:after="0"/>
              <w:rPr>
                <w:sz w:val="20"/>
                <w:szCs w:val="20"/>
                <w:color w:val="auto"/>
              </w:rPr>
            </w:pPr>
            <w:r>
              <w:rPr>
                <w:rFonts w:ascii="Arial" w:cs="Arial" w:eastAsia="Arial" w:hAnsi="Arial"/>
                <w:sz w:val="15"/>
                <w:szCs w:val="15"/>
                <w:b w:val="1"/>
                <w:bCs w:val="1"/>
                <w:color w:val="auto"/>
              </w:rPr>
              <w:t>2020</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680" w:type="dxa"/>
            <w:vAlign w:val="bottom"/>
            <w:tcBorders>
              <w:bottom w:val="single" w:sz="8" w:color="CCEEFF"/>
            </w:tcBorders>
            <w:gridSpan w:val="3"/>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currency forward contracts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2"/>
        </w:trPr>
        <w:tc>
          <w:tcPr>
            <w:tcW w:w="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ind w:left="340"/>
              <w:spacing w:after="0"/>
              <w:rPr>
                <w:sz w:val="20"/>
                <w:szCs w:val="20"/>
                <w:color w:val="auto"/>
              </w:rPr>
            </w:pPr>
            <w:r>
              <w:rPr>
                <w:rFonts w:ascii="Arial" w:cs="Arial" w:eastAsia="Arial" w:hAnsi="Arial"/>
                <w:sz w:val="17"/>
                <w:szCs w:val="17"/>
                <w:color w:val="auto"/>
              </w:rPr>
              <w:t>F-42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4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Borrowings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summarizes the Company’s debt position: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83"/>
              <w:spacing w:after="0"/>
              <w:rPr>
                <w:sz w:val="20"/>
                <w:szCs w:val="20"/>
                <w:color w:val="auto"/>
              </w:rPr>
            </w:pPr>
            <w:r>
              <w:rPr>
                <w:rFonts w:ascii="Arial" w:cs="Arial" w:eastAsia="Arial" w:hAnsi="Arial"/>
                <w:sz w:val="15"/>
                <w:szCs w:val="15"/>
                <w:b w:val="1"/>
                <w:bCs w:val="1"/>
                <w:color w:val="auto"/>
                <w:w w:val="91"/>
              </w:rPr>
              <w:t>As of December 31,</w:t>
            </w:r>
          </w:p>
        </w:tc>
        <w:tc>
          <w:tcPr>
            <w:tcW w:w="580" w:type="dxa"/>
            <w:vAlign w:val="bottom"/>
            <w:tcBorders>
              <w:bottom w:val="single" w:sz="8" w:color="auto"/>
            </w:tcBorders>
          </w:tcPr>
          <w:p>
            <w:pPr>
              <w:spacing w:after="0"/>
              <w:rPr>
                <w:sz w:val="17"/>
                <w:szCs w:val="17"/>
                <w:color w:val="auto"/>
              </w:rPr>
            </w:pPr>
          </w:p>
        </w:tc>
      </w:tr>
      <w:tr>
        <w:trPr>
          <w:trHeight w:val="176"/>
        </w:trPr>
        <w:tc>
          <w:tcPr>
            <w:tcW w:w="48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80" w:type="dxa"/>
            <w:vAlign w:val="bottom"/>
            <w:tcBorders>
              <w:bottom w:val="single" w:sz="8" w:color="auto"/>
            </w:tcBorders>
          </w:tcPr>
          <w:p>
            <w:pPr>
              <w:spacing w:after="0"/>
              <w:rPr>
                <w:sz w:val="15"/>
                <w:szCs w:val="15"/>
                <w:color w:val="auto"/>
              </w:rPr>
            </w:pPr>
          </w:p>
        </w:tc>
      </w:tr>
      <w:tr>
        <w:trPr>
          <w:trHeight w:val="173"/>
        </w:trPr>
        <w:tc>
          <w:tcPr>
            <w:tcW w:w="4800" w:type="dxa"/>
            <w:vAlign w:val="bottom"/>
            <w:tcBorders>
              <w:bottom w:val="single" w:sz="8" w:color="CCEEFF"/>
            </w:tcBorders>
          </w:tcPr>
          <w:p>
            <w:pPr>
              <w:spacing w:after="0"/>
              <w:rPr>
                <w:sz w:val="15"/>
                <w:szCs w:val="15"/>
                <w:color w:val="auto"/>
              </w:rPr>
            </w:pPr>
          </w:p>
        </w:tc>
        <w:tc>
          <w:tcPr>
            <w:tcW w:w="260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5"/>
                <w:szCs w:val="15"/>
                <w:b w:val="1"/>
                <w:bCs w:val="1"/>
                <w:color w:val="auto"/>
              </w:rPr>
              <w:t>Revolving credit facility</w:t>
            </w:r>
          </w:p>
        </w:tc>
        <w:tc>
          <w:tcPr>
            <w:tcW w:w="580" w:type="dxa"/>
            <w:vAlign w:val="bottom"/>
            <w:tcBorders>
              <w:bottom w:val="single" w:sz="8" w:color="auto"/>
            </w:tcBorders>
          </w:tcPr>
          <w:p>
            <w:pPr>
              <w:spacing w:after="0"/>
              <w:rPr>
                <w:sz w:val="15"/>
                <w:szCs w:val="15"/>
                <w:color w:val="auto"/>
              </w:rPr>
            </w:pPr>
          </w:p>
        </w:tc>
      </w:tr>
      <w:tr>
        <w:trPr>
          <w:trHeight w:val="199"/>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long-term borrowings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260,016</w:t>
            </w:r>
          </w:p>
        </w:tc>
      </w:tr>
      <w:tr>
        <w:trPr>
          <w:trHeight w:val="258"/>
        </w:trPr>
        <w:tc>
          <w:tcPr>
            <w:tcW w:w="4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18"/>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borrowings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220,000</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4800" w:type="dxa"/>
            <w:vAlign w:val="bottom"/>
          </w:tcPr>
          <w:p>
            <w:pPr>
              <w:ind w:left="20"/>
              <w:spacing w:after="0"/>
              <w:rPr>
                <w:sz w:val="20"/>
                <w:szCs w:val="20"/>
                <w:color w:val="auto"/>
              </w:rPr>
            </w:pPr>
            <w:r>
              <w:rPr>
                <w:rFonts w:ascii="Arial" w:cs="Arial" w:eastAsia="Arial" w:hAnsi="Arial"/>
                <w:sz w:val="17"/>
                <w:szCs w:val="17"/>
                <w:b w:val="1"/>
                <w:bCs w:val="1"/>
                <w:color w:val="auto"/>
              </w:rPr>
              <w:t>Total borrowings</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250,000</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260,016</w:t>
            </w:r>
          </w:p>
        </w:tc>
      </w:tr>
      <w:tr>
        <w:trPr>
          <w:trHeight w:val="20"/>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Unamortized debt issuance costs for the Company’s revolving credit facility of $1,177 and $232 as of December 31, 2022 and 2021, respectively, are presented under “Other current assets” and “Other assets,” as applicable in the consolidated balance sheets.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153"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The Company held a $300,000 revolving credit facility pursuant to its credit agreement (the “Credit Agreement”), dated as of November 21, 2017 with certain lenders and Citibank N.A. as Administrative Agent. The revolving credit facility originally had a maturity date of November 21, 2022 and was voluntarily pre-payable from time to time without premium or penalty.</w:t>
      </w:r>
    </w:p>
    <w:p>
      <w:pPr>
        <w:spacing w:after="0" w:line="188" w:lineRule="exact"/>
        <w:rPr>
          <w:sz w:val="20"/>
          <w:szCs w:val="20"/>
          <w:color w:val="auto"/>
        </w:rPr>
      </w:pPr>
    </w:p>
    <w:p>
      <w:pPr>
        <w:jc w:val="both"/>
        <w:ind w:firstLine="387"/>
        <w:spacing w:after="0" w:line="242" w:lineRule="auto"/>
        <w:rPr>
          <w:sz w:val="20"/>
          <w:szCs w:val="20"/>
          <w:color w:val="auto"/>
        </w:rPr>
      </w:pPr>
      <w:r>
        <w:rPr>
          <w:rFonts w:ascii="Arial" w:cs="Arial" w:eastAsia="Arial" w:hAnsi="Arial"/>
          <w:sz w:val="17"/>
          <w:szCs w:val="17"/>
          <w:color w:val="auto"/>
        </w:rPr>
        <w:t>On April 18, 2022, the Company and each of the Company’s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revolving credit facility from November 21, 2022 to April 18, 2027; and (c) replaces LIBOR with Secured Overnight Financing Rate (“SOFR”) as the reference rate for the U.S. dollar borrowings.</w:t>
      </w:r>
    </w:p>
    <w:p>
      <w:pPr>
        <w:spacing w:after="0" w:line="210"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The 2022 Credit Agreement provides an option to increase the commitments by up to $200,000,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spacing w:after="0" w:line="188"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6"/>
          <w:szCs w:val="16"/>
          <w:color w:val="auto"/>
        </w:rPr>
        <w:t>Obligations under the 2022 Credit Agreement are guaranteed by the Company’s material domestic subsidiaries and are secured by all or substantially all of the Company’s and our material domestic subsidiaries’ assets.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certain assets or subsidiaries. In addition, the 2022 Credit Agreement contains a covenant to not permit the interest coverage ratio or the total net leverage ratio, both as defined for the four consecutive quarter period ending on the last day of each fiscal quarter, to be less than 3.0 to 1.0 or more than 3.5 to 1.0, respectively.</w:t>
      </w:r>
    </w:p>
    <w:p>
      <w:pPr>
        <w:spacing w:after="0" w:line="197"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6"/>
          <w:szCs w:val="16"/>
          <w:color w:val="auto"/>
        </w:rPr>
        <w:t>The 2022 Credit Agreement bears interest at a rate equal to specified prime rate (alternate base rate) or adjusted SOFR, plus, in each case, an applicable margin. The applicable margin is tied to the Company’s total net leverage ratio and ranges from 0% to 0.75% per annum on loans pegged to the specified prime rate, and 0.88% to 1.75% per annum on loans pegged to the adjusted SOFR. The revolving credit commitments under the 2022 Credit Agreement are subject to a commitment fee which is also tied to the Company’s total net leverage ratio, and ranges from 0.13% to 0.28% per annum on the average daily amount by which the aggregate revolving commitments exceed the sum of outstanding revolving loans and letter of credit obligations.</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revolving credit facility carried an effective interest rate as shown below: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3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ind w:left="400"/>
              <w:spacing w:after="0"/>
              <w:rPr>
                <w:sz w:val="20"/>
                <w:szCs w:val="20"/>
                <w:color w:val="auto"/>
              </w:rPr>
            </w:pPr>
            <w:r>
              <w:rPr>
                <w:rFonts w:ascii="Arial" w:cs="Arial" w:eastAsia="Arial" w:hAnsi="Arial"/>
                <w:sz w:val="15"/>
                <w:szCs w:val="15"/>
                <w:b w:val="1"/>
                <w:bCs w:val="1"/>
                <w:color w:val="auto"/>
              </w:rPr>
              <w:t>Year ended December 31,</w:t>
            </w:r>
          </w:p>
        </w:tc>
        <w:tc>
          <w:tcPr>
            <w:tcW w:w="1360" w:type="dxa"/>
            <w:vAlign w:val="bottom"/>
            <w:tcBorders>
              <w:bottom w:val="single" w:sz="8" w:color="auto"/>
            </w:tcBorders>
          </w:tcPr>
          <w:p>
            <w:pPr>
              <w:spacing w:after="0"/>
              <w:rPr>
                <w:sz w:val="17"/>
                <w:szCs w:val="17"/>
                <w:color w:val="auto"/>
              </w:rPr>
            </w:pPr>
          </w:p>
        </w:tc>
      </w:tr>
      <w:tr>
        <w:trPr>
          <w:trHeight w:val="215"/>
        </w:trPr>
        <w:tc>
          <w:tcPr>
            <w:tcW w:w="53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r>
      <w:tr>
        <w:trPr>
          <w:trHeight w:val="21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Interest Rate</w:t>
            </w: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r>
    </w:tbl>
    <w:p>
      <w:pPr>
        <w:spacing w:after="0" w:line="23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As of December 31, 2022 and 2021, the Company was in compliance with all financial and non-financial covenants listed under the applicable revolving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153"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6"/>
          <w:szCs w:val="16"/>
          <w:color w:val="auto"/>
        </w:rPr>
        <w:t>On October 1, 2018, the Company entered into an investment agreement with Orogen Echo LLC (the “Purchaser”), an affiliate of The Orogen Group LLC, relating to the issuance to the Purchaser of $150,000, in an aggregate principal amount (the “Notes”). The Notes carried interest at a rate of 3.5% per annum, payable semi-annually in arrears in cash on April 1 and October 1 of each year. The Notes were convertible at an initial conversion rate of 13.3333 shares of the common stock per one thousand dollar principal amount of the Notes (which represented an initial conversion price of approximately $75 per share). The Company had the option to redeem the principal amount of the Notes, at its option, if the closing sale price of the common stock exceeded 150% of the then-current conversion price for 20 or more trading days in the 30 consecutive trading day period preceding the Company’s exercise of this redemption right (including the trading day immediately prior to the date of the notice of redemption).</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Notes carried an effective interest rate as shown below:</w:t>
      </w:r>
    </w:p>
    <w:p>
      <w:pPr>
        <w:spacing w:after="0" w:line="48" w:lineRule="exact"/>
        <w:rPr>
          <w:sz w:val="20"/>
          <w:szCs w:val="20"/>
          <w:color w:val="auto"/>
        </w:rPr>
      </w:pPr>
    </w:p>
    <w:p>
      <w:pPr>
        <w:ind w:left="6200"/>
        <w:spacing w:after="0"/>
        <w:rPr>
          <w:sz w:val="20"/>
          <w:szCs w:val="20"/>
          <w:color w:val="auto"/>
        </w:rPr>
      </w:pPr>
      <w:r>
        <w:rPr>
          <w:rFonts w:ascii="Arial" w:cs="Arial" w:eastAsia="Arial" w:hAnsi="Arial"/>
          <w:sz w:val="15"/>
          <w:szCs w:val="15"/>
          <w:b w:val="1"/>
          <w:bCs w:val="1"/>
          <w:color w:val="auto"/>
        </w:rPr>
        <w:t>Year ended December 31,</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218"/>
        </w:trPr>
        <w:tc>
          <w:tcPr>
            <w:tcW w:w="51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Interest Rate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r>
    </w:tbl>
    <w:p>
      <w:pPr>
        <w:spacing w:after="0" w:line="297"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6"/>
          <w:szCs w:val="16"/>
          <w:color w:val="auto"/>
        </w:rPr>
        <w:t>On August 27, 2021, the Company entered into a Payoff and Termination Agreement with the Purchaser, pursuant to which the Company prepaid and settled its outstanding obligations under the Notes, by electing a combination of cash and shares of the Company’s common stock. During the year ended December 31, 2021, the Company recognized a loss on settlement of the Notes of $12,845, representing the difference between the fair value of the consideration allocated to the debt component and the carrying value of the debt component immediately before settlement, and is presented as “Loss on settlement of convertible notes,” in the Company’s consolidated statements of income. During the years ended December 31, 2021 and 2020, the Company recognized interest expense and amortization of debt discount of $5,237 and $7,866, respectively, on the Notes.</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Expected payments for all of the Company’s borrowings as of December 31, 2022 were as follows:</w:t>
      </w:r>
    </w:p>
    <w:p>
      <w:pPr>
        <w:spacing w:after="0" w:line="203" w:lineRule="exact"/>
        <w:rPr>
          <w:sz w:val="20"/>
          <w:szCs w:val="20"/>
          <w:color w:val="auto"/>
        </w:rPr>
      </w:pPr>
    </w:p>
    <w:tbl>
      <w:tblPr>
        <w:tblLayout w:type="fixed"/>
        <w:tblInd w:w="2280" w:type="dxa"/>
        <w:tblCellMar>
          <w:top w:w="0" w:type="dxa"/>
          <w:left w:w="0" w:type="dxa"/>
          <w:bottom w:w="0" w:type="dxa"/>
          <w:right w:w="0" w:type="dxa"/>
        </w:tblCellMar>
      </w:tblPr>
      <w:tr>
        <w:trPr>
          <w:trHeight w:val="205"/>
        </w:trPr>
        <w:tc>
          <w:tcPr>
            <w:tcW w:w="3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5"/>
                <w:szCs w:val="15"/>
                <w:b w:val="1"/>
                <w:bCs w:val="1"/>
                <w:color w:val="auto"/>
              </w:rPr>
              <w:t>Revolving credit facility</w:t>
            </w:r>
          </w:p>
        </w:tc>
      </w:tr>
      <w:tr>
        <w:trPr>
          <w:trHeight w:val="200"/>
        </w:trPr>
        <w:tc>
          <w:tcPr>
            <w:tcW w:w="38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Principal Payments</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4"/>
              </w:rPr>
              <w:t>Interest Payments*</w:t>
            </w:r>
          </w:p>
        </w:tc>
      </w:tr>
      <w:tr>
        <w:trPr>
          <w:trHeight w:val="214"/>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12,374</w:t>
            </w:r>
          </w:p>
        </w:tc>
      </w:tr>
      <w:tr>
        <w:trPr>
          <w:trHeight w:val="218"/>
        </w:trPr>
        <w:tc>
          <w:tcPr>
            <w:tcW w:w="3880" w:type="dxa"/>
            <w:vAlign w:val="bottom"/>
          </w:tcPr>
          <w:p>
            <w:pPr>
              <w:ind w:left="20"/>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11,926</w:t>
            </w:r>
          </w:p>
        </w:tc>
      </w:tr>
      <w:tr>
        <w:trPr>
          <w:trHeight w:val="220"/>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11,926</w:t>
            </w:r>
          </w:p>
        </w:tc>
      </w:tr>
      <w:tr>
        <w:trPr>
          <w:trHeight w:val="218"/>
        </w:trPr>
        <w:tc>
          <w:tcPr>
            <w:tcW w:w="3880" w:type="dxa"/>
            <w:vAlign w:val="bottom"/>
          </w:tcPr>
          <w:p>
            <w:pPr>
              <w:ind w:left="20"/>
              <w:spacing w:after="0"/>
              <w:rPr>
                <w:sz w:val="20"/>
                <w:szCs w:val="20"/>
                <w:color w:val="auto"/>
              </w:rPr>
            </w:pPr>
            <w:r>
              <w:rPr>
                <w:rFonts w:ascii="Arial" w:cs="Arial" w:eastAsia="Arial" w:hAnsi="Arial"/>
                <w:sz w:val="17"/>
                <w:szCs w:val="17"/>
                <w:color w:val="auto"/>
              </w:rPr>
              <w:t>2026</w:t>
            </w: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11,926</w:t>
            </w: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220,000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4,472</w:t>
            </w:r>
          </w:p>
        </w:tc>
      </w:tr>
      <w:tr>
        <w:trPr>
          <w:trHeight w:val="213"/>
        </w:trPr>
        <w:tc>
          <w:tcPr>
            <w:tcW w:w="388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52,624</w:t>
            </w: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Interest payments are based on effective interest rate as of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165"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In the ordinary course of business, the Company provides standby letters of credit to third parties primarily for facility leases. As of December 31, 2022 and 2021, the Company had outstanding letters of credit of $461, each, that were not recognized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Capital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one class of common stock outstanding.</w:t>
      </w:r>
    </w:p>
    <w:p>
      <w:pPr>
        <w:spacing w:after="0" w:line="153" w:lineRule="exact"/>
        <w:rPr>
          <w:sz w:val="20"/>
          <w:szCs w:val="20"/>
          <w:color w:val="auto"/>
        </w:rPr>
      </w:pPr>
    </w:p>
    <w:p>
      <w:pPr>
        <w:ind w:right="120" w:firstLine="425"/>
        <w:spacing w:after="0" w:line="264" w:lineRule="auto"/>
        <w:rPr>
          <w:sz w:val="20"/>
          <w:szCs w:val="20"/>
          <w:color w:val="auto"/>
        </w:rPr>
      </w:pPr>
      <w:r>
        <w:rPr>
          <w:rFonts w:ascii="Arial" w:cs="Arial" w:eastAsia="Arial" w:hAnsi="Arial"/>
          <w:sz w:val="17"/>
          <w:szCs w:val="17"/>
          <w:color w:val="auto"/>
        </w:rPr>
        <w:t>The Company purchased shares of its common stock from employees in connection with withholding tax payments related to the vesting of restricted stock units and performance-based restricted stock units, as below:</w:t>
      </w:r>
    </w:p>
    <w:p>
      <w:pPr>
        <w:spacing w:after="0" w:line="145"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w w:val="98"/>
              </w:rPr>
              <w:t>Shares repurchased</w:t>
            </w:r>
          </w:p>
        </w:tc>
        <w:tc>
          <w:tcPr>
            <w:tcW w:w="148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Total consideration</w:t>
            </w:r>
          </w:p>
        </w:tc>
        <w:tc>
          <w:tcPr>
            <w:tcW w:w="200" w:type="dxa"/>
            <w:vAlign w:val="bottom"/>
          </w:tcPr>
          <w:p>
            <w:pPr>
              <w:spacing w:after="0"/>
              <w:rPr>
                <w:sz w:val="14"/>
                <w:szCs w:val="14"/>
                <w:color w:val="auto"/>
              </w:rPr>
            </w:pPr>
          </w:p>
        </w:tc>
        <w:tc>
          <w:tcPr>
            <w:tcW w:w="1600" w:type="dxa"/>
            <w:vAlign w:val="bottom"/>
          </w:tcPr>
          <w:p>
            <w:pPr>
              <w:jc w:val="center"/>
              <w:ind w:right="143"/>
              <w:spacing w:after="0"/>
              <w:rPr>
                <w:sz w:val="20"/>
                <w:szCs w:val="20"/>
                <w:color w:val="auto"/>
              </w:rPr>
            </w:pPr>
            <w:r>
              <w:rPr>
                <w:rFonts w:ascii="Arial" w:cs="Arial" w:eastAsia="Arial" w:hAnsi="Arial"/>
                <w:sz w:val="15"/>
                <w:szCs w:val="15"/>
                <w:b w:val="1"/>
                <w:bCs w:val="1"/>
                <w:color w:val="auto"/>
                <w:w w:val="91"/>
              </w:rPr>
              <w:t>Weighted average</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800" w:type="dxa"/>
            <w:vAlign w:val="bottom"/>
            <w:gridSpan w:val="2"/>
          </w:tcPr>
          <w:p>
            <w:pPr>
              <w:jc w:val="center"/>
              <w:spacing w:after="0" w:line="155" w:lineRule="exact"/>
              <w:rPr>
                <w:sz w:val="20"/>
                <w:szCs w:val="20"/>
                <w:color w:val="auto"/>
              </w:rPr>
            </w:pPr>
            <w:r>
              <w:rPr>
                <w:rFonts w:ascii="Arial" w:cs="Arial" w:eastAsia="Arial" w:hAnsi="Arial"/>
                <w:sz w:val="15"/>
                <w:szCs w:val="15"/>
                <w:b w:val="1"/>
                <w:bCs w:val="1"/>
                <w:color w:val="auto"/>
                <w:w w:val="91"/>
              </w:rPr>
              <w:t>purchase price per share</w:t>
            </w:r>
          </w:p>
        </w:tc>
        <w:tc>
          <w:tcPr>
            <w:tcW w:w="0" w:type="dxa"/>
            <w:vAlign w:val="bottom"/>
          </w:tcPr>
          <w:p>
            <w:pPr>
              <w:spacing w:after="0"/>
              <w:rPr>
                <w:sz w:val="1"/>
                <w:szCs w:val="1"/>
                <w:color w:val="auto"/>
              </w:rPr>
            </w:pPr>
          </w:p>
        </w:tc>
      </w:tr>
      <w:tr>
        <w:trPr>
          <w:trHeight w:val="130"/>
        </w:trPr>
        <w:tc>
          <w:tcPr>
            <w:tcW w:w="5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center"/>
              <w:ind w:right="123"/>
              <w:spacing w:after="0"/>
              <w:rPr>
                <w:sz w:val="20"/>
                <w:szCs w:val="20"/>
                <w:color w:val="auto"/>
              </w:rPr>
            </w:pPr>
            <w:r>
              <w:rPr>
                <w:rFonts w:ascii="Arial" w:cs="Arial" w:eastAsia="Arial" w:hAnsi="Arial"/>
                <w:sz w:val="10"/>
                <w:szCs w:val="10"/>
                <w:b w:val="1"/>
                <w:bCs w:val="1"/>
                <w:color w:val="auto"/>
                <w:w w:val="97"/>
              </w:rPr>
              <w:t>(1)</w:t>
            </w:r>
          </w:p>
        </w:tc>
        <w:tc>
          <w:tcPr>
            <w:tcW w:w="0" w:type="dxa"/>
            <w:vAlign w:val="bottom"/>
          </w:tcPr>
          <w:p>
            <w:pPr>
              <w:spacing w:after="0"/>
              <w:rPr>
                <w:sz w:val="1"/>
                <w:szCs w:val="1"/>
                <w:color w:val="auto"/>
              </w:rPr>
            </w:pPr>
          </w:p>
        </w:tc>
      </w:tr>
      <w:tr>
        <w:trPr>
          <w:trHeight w:val="25"/>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Twelve months ended December 31, 2022</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32,816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125.58</w:t>
            </w:r>
          </w:p>
        </w:tc>
        <w:tc>
          <w:tcPr>
            <w:tcW w:w="0" w:type="dxa"/>
            <w:vAlign w:val="bottom"/>
          </w:tcPr>
          <w:p>
            <w:pPr>
              <w:spacing w:after="0"/>
              <w:rPr>
                <w:sz w:val="1"/>
                <w:szCs w:val="1"/>
                <w:color w:val="auto"/>
              </w:rPr>
            </w:pP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Twelve months ended December 31, 2021</w:t>
            </w:r>
          </w:p>
        </w:tc>
        <w:tc>
          <w:tcPr>
            <w:tcW w:w="1380" w:type="dxa"/>
            <w:vAlign w:val="bottom"/>
          </w:tcPr>
          <w:p>
            <w:pPr>
              <w:jc w:val="right"/>
              <w:spacing w:after="0"/>
              <w:rPr>
                <w:sz w:val="20"/>
                <w:szCs w:val="20"/>
                <w:color w:val="auto"/>
              </w:rPr>
            </w:pPr>
            <w:r>
              <w:rPr>
                <w:rFonts w:ascii="Arial" w:cs="Arial" w:eastAsia="Arial" w:hAnsi="Arial"/>
                <w:sz w:val="17"/>
                <w:szCs w:val="17"/>
                <w:color w:val="auto"/>
              </w:rPr>
              <w:t>31,309</w:t>
            </w:r>
          </w:p>
        </w:tc>
        <w:tc>
          <w:tcPr>
            <w:tcW w:w="100" w:type="dxa"/>
            <w:vAlign w:val="bottom"/>
          </w:tcPr>
          <w:p>
            <w:pPr>
              <w:spacing w:after="0"/>
              <w:rPr>
                <w:sz w:val="18"/>
                <w:szCs w:val="18"/>
                <w:color w:val="auto"/>
              </w:rPr>
            </w:pPr>
          </w:p>
        </w:tc>
        <w:tc>
          <w:tcPr>
            <w:tcW w:w="520" w:type="dxa"/>
            <w:vAlign w:val="bottom"/>
          </w:tcPr>
          <w:p>
            <w:pPr>
              <w:jc w:val="right"/>
              <w:ind w:right="33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2,752</w:t>
            </w:r>
          </w:p>
        </w:tc>
        <w:tc>
          <w:tcPr>
            <w:tcW w:w="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ind w:right="3"/>
              <w:spacing w:after="0"/>
              <w:rPr>
                <w:sz w:val="20"/>
                <w:szCs w:val="20"/>
                <w:color w:val="auto"/>
              </w:rPr>
            </w:pPr>
            <w:r>
              <w:rPr>
                <w:rFonts w:ascii="Arial" w:cs="Arial" w:eastAsia="Arial" w:hAnsi="Arial"/>
                <w:sz w:val="17"/>
                <w:szCs w:val="17"/>
                <w:color w:val="auto"/>
              </w:rPr>
              <w:t>87.90</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Twelve months ended December 31, 2020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75.96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firstLine="429"/>
        <w:spacing w:after="0" w:line="303" w:lineRule="auto"/>
        <w:tabs>
          <w:tab w:leader="none" w:pos="583"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The weighted average purchase price per share is based on the closing price of the Company’s common stock on the Nasdaq Global Select Market on the trading day prior to the applicable vesting date of the shares of restricted stock.</w:t>
      </w:r>
    </w:p>
    <w:p>
      <w:pPr>
        <w:spacing w:after="0" w:line="128" w:lineRule="exact"/>
        <w:rPr>
          <w:sz w:val="20"/>
          <w:szCs w:val="20"/>
          <w:color w:val="auto"/>
        </w:rPr>
      </w:pPr>
    </w:p>
    <w:p>
      <w:pPr>
        <w:jc w:val="both"/>
        <w:ind w:firstLine="425"/>
        <w:spacing w:after="0" w:line="264" w:lineRule="auto"/>
        <w:rPr>
          <w:sz w:val="20"/>
          <w:szCs w:val="20"/>
          <w:color w:val="auto"/>
        </w:rPr>
      </w:pPr>
      <w:r>
        <w:rPr>
          <w:rFonts w:ascii="Arial" w:cs="Arial" w:eastAsia="Arial" w:hAnsi="Arial"/>
          <w:sz w:val="17"/>
          <w:szCs w:val="17"/>
          <w:color w:val="auto"/>
        </w:rPr>
        <w:t>On December 16, 2019, the Company’s board of directors authorized a $200,000 common stock repurchase program beginning January 1, 2020 through December 31, 2022 (the “2019 Repurchase Program”).</w:t>
      </w:r>
    </w:p>
    <w:p>
      <w:pPr>
        <w:spacing w:after="0" w:line="176" w:lineRule="exact"/>
        <w:rPr>
          <w:sz w:val="20"/>
          <w:szCs w:val="20"/>
          <w:color w:val="auto"/>
        </w:rPr>
      </w:pPr>
    </w:p>
    <w:p>
      <w:pPr>
        <w:jc w:val="both"/>
        <w:ind w:firstLine="425"/>
        <w:spacing w:after="0" w:line="264" w:lineRule="auto"/>
        <w:rPr>
          <w:sz w:val="20"/>
          <w:szCs w:val="20"/>
          <w:color w:val="auto"/>
        </w:rPr>
      </w:pPr>
      <w:r>
        <w:rPr>
          <w:rFonts w:ascii="Arial" w:cs="Arial" w:eastAsia="Arial" w:hAnsi="Arial"/>
          <w:sz w:val="17"/>
          <w:szCs w:val="17"/>
          <w:color w:val="auto"/>
        </w:rPr>
        <w:t>On October 5, 2021, the Company’s board of directors authorized a $300,000 common stock repurchase program beginning January 1, 2022 (the “2022 Repurchase Program”), and terminated the 2019 Repurchase Program on December 31, 2021.</w:t>
      </w:r>
    </w:p>
    <w:p>
      <w:pPr>
        <w:spacing w:after="0" w:line="163" w:lineRule="exact"/>
        <w:rPr>
          <w:sz w:val="20"/>
          <w:szCs w:val="20"/>
          <w:color w:val="auto"/>
        </w:rPr>
      </w:pPr>
    </w:p>
    <w:p>
      <w:pPr>
        <w:jc w:val="both"/>
        <w:ind w:firstLine="425"/>
        <w:spacing w:after="0" w:line="258" w:lineRule="auto"/>
        <w:rPr>
          <w:sz w:val="20"/>
          <w:szCs w:val="20"/>
          <w:color w:val="auto"/>
        </w:rPr>
      </w:pPr>
      <w:r>
        <w:rPr>
          <w:rFonts w:ascii="Arial" w:cs="Arial" w:eastAsia="Arial" w:hAnsi="Arial"/>
          <w:sz w:val="17"/>
          <w:szCs w:val="17"/>
          <w:color w:val="auto"/>
        </w:rPr>
        <w:t>Under the 2022 Repurchase Program and 2019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purchased shares of its common stock, for a total consideration including commissions, under repurchase programs, as below:</w:t>
      </w:r>
    </w:p>
    <w:p>
      <w:pPr>
        <w:spacing w:after="0" w:line="186"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w w:val="98"/>
              </w:rPr>
              <w:t>Shares repurchased</w:t>
            </w:r>
          </w:p>
        </w:tc>
        <w:tc>
          <w:tcPr>
            <w:tcW w:w="148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Total consideration</w:t>
            </w:r>
          </w:p>
        </w:tc>
        <w:tc>
          <w:tcPr>
            <w:tcW w:w="200" w:type="dxa"/>
            <w:vAlign w:val="bottom"/>
          </w:tcPr>
          <w:p>
            <w:pPr>
              <w:spacing w:after="0"/>
              <w:rPr>
                <w:sz w:val="15"/>
                <w:szCs w:val="15"/>
                <w:color w:val="auto"/>
              </w:rPr>
            </w:pPr>
          </w:p>
        </w:tc>
        <w:tc>
          <w:tcPr>
            <w:tcW w:w="1600" w:type="dxa"/>
            <w:vAlign w:val="bottom"/>
          </w:tcPr>
          <w:p>
            <w:pPr>
              <w:jc w:val="right"/>
              <w:ind w:right="236"/>
              <w:spacing w:after="0"/>
              <w:rPr>
                <w:sz w:val="20"/>
                <w:szCs w:val="20"/>
                <w:color w:val="auto"/>
              </w:rPr>
            </w:pPr>
            <w:r>
              <w:rPr>
                <w:rFonts w:ascii="Arial" w:cs="Arial" w:eastAsia="Arial" w:hAnsi="Arial"/>
                <w:sz w:val="15"/>
                <w:szCs w:val="15"/>
                <w:b w:val="1"/>
                <w:bCs w:val="1"/>
                <w:color w:val="auto"/>
                <w:w w:val="98"/>
              </w:rPr>
              <w:t>Weighted average</w:t>
            </w:r>
          </w:p>
        </w:tc>
        <w:tc>
          <w:tcPr>
            <w:tcW w:w="0" w:type="dxa"/>
            <w:vAlign w:val="bottom"/>
          </w:tcPr>
          <w:p>
            <w:pPr>
              <w:spacing w:after="0"/>
              <w:rPr>
                <w:sz w:val="1"/>
                <w:szCs w:val="1"/>
                <w:color w:val="auto"/>
              </w:rPr>
            </w:pPr>
          </w:p>
        </w:tc>
      </w:tr>
      <w:tr>
        <w:trPr>
          <w:trHeight w:val="123"/>
        </w:trPr>
        <w:tc>
          <w:tcPr>
            <w:tcW w:w="526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5"/>
              </w:rPr>
              <w:t>purchase price per share</w:t>
            </w:r>
          </w:p>
        </w:tc>
        <w:tc>
          <w:tcPr>
            <w:tcW w:w="0" w:type="dxa"/>
            <w:vAlign w:val="bottom"/>
          </w:tcPr>
          <w:p>
            <w:pPr>
              <w:spacing w:after="0"/>
              <w:rPr>
                <w:sz w:val="1"/>
                <w:szCs w:val="1"/>
                <w:color w:val="auto"/>
              </w:rPr>
            </w:pPr>
          </w:p>
        </w:tc>
      </w:tr>
      <w:tr>
        <w:trPr>
          <w:trHeight w:val="81"/>
        </w:trPr>
        <w:tc>
          <w:tcPr>
            <w:tcW w:w="526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80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Twelve months ended December 31, 2022</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503,858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135.99</w:t>
            </w:r>
          </w:p>
        </w:tc>
        <w:tc>
          <w:tcPr>
            <w:tcW w:w="0" w:type="dxa"/>
            <w:vAlign w:val="bottom"/>
          </w:tcPr>
          <w:p>
            <w:pPr>
              <w:spacing w:after="0"/>
              <w:rPr>
                <w:sz w:val="1"/>
                <w:szCs w:val="1"/>
                <w:color w:val="auto"/>
              </w:rPr>
            </w:pP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Twelve months ended December 31, 2021</w:t>
            </w:r>
          </w:p>
        </w:tc>
        <w:tc>
          <w:tcPr>
            <w:tcW w:w="1380" w:type="dxa"/>
            <w:vAlign w:val="bottom"/>
          </w:tcPr>
          <w:p>
            <w:pPr>
              <w:jc w:val="right"/>
              <w:spacing w:after="0"/>
              <w:rPr>
                <w:sz w:val="20"/>
                <w:szCs w:val="20"/>
                <w:color w:val="auto"/>
              </w:rPr>
            </w:pPr>
            <w:r>
              <w:rPr>
                <w:rFonts w:ascii="Arial" w:cs="Arial" w:eastAsia="Arial" w:hAnsi="Arial"/>
                <w:sz w:val="17"/>
                <w:szCs w:val="17"/>
                <w:color w:val="auto"/>
              </w:rPr>
              <w:t>1,087,325</w:t>
            </w:r>
          </w:p>
        </w:tc>
        <w:tc>
          <w:tcPr>
            <w:tcW w:w="100" w:type="dxa"/>
            <w:vAlign w:val="bottom"/>
          </w:tcPr>
          <w:p>
            <w:pPr>
              <w:spacing w:after="0"/>
              <w:rPr>
                <w:sz w:val="18"/>
                <w:szCs w:val="18"/>
                <w:color w:val="auto"/>
              </w:rPr>
            </w:pPr>
          </w:p>
        </w:tc>
        <w:tc>
          <w:tcPr>
            <w:tcW w:w="440" w:type="dxa"/>
            <w:vAlign w:val="bottom"/>
          </w:tcPr>
          <w:p>
            <w:pPr>
              <w:jc w:val="right"/>
              <w:ind w:right="25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115,605</w:t>
            </w:r>
          </w:p>
        </w:tc>
        <w:tc>
          <w:tcPr>
            <w:tcW w:w="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106.32</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Twelve months ended December 31, 2020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1,085,153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71.71</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Repurchased shares have been recorded as treasury shares and will be held until the Company’s board of directors designates that these shares be retired or used for other purposes.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65"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The Company has not paid or declared any cash dividends on its common stock during the years ended December 31, 2022, 2021 and 2020. The Company’s borrowings under the revolving credit facility could restrict its ability to declare or make any dividends or similar distributions.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Employee Benefit Plans</w:t>
      </w:r>
    </w:p>
    <w:p>
      <w:pPr>
        <w:spacing w:after="0" w:line="159" w:lineRule="exact"/>
        <w:rPr>
          <w:sz w:val="20"/>
          <w:szCs w:val="20"/>
          <w:color w:val="auto"/>
        </w:rPr>
      </w:pPr>
    </w:p>
    <w:p>
      <w:pPr>
        <w:jc w:val="both"/>
        <w:ind w:firstLine="425"/>
        <w:spacing w:after="0" w:line="241" w:lineRule="auto"/>
        <w:rPr>
          <w:sz w:val="20"/>
          <w:szCs w:val="20"/>
          <w:color w:val="auto"/>
        </w:rPr>
      </w:pPr>
      <w:r>
        <w:rPr>
          <w:rFonts w:ascii="Arial" w:cs="Arial" w:eastAsia="Arial" w:hAnsi="Arial"/>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89" w:lineRule="exact"/>
        <w:rPr>
          <w:sz w:val="20"/>
          <w:szCs w:val="20"/>
          <w:color w:val="auto"/>
        </w:rPr>
      </w:pPr>
    </w:p>
    <w:p>
      <w:pPr>
        <w:jc w:val="both"/>
        <w:ind w:firstLine="425"/>
        <w:spacing w:after="0" w:line="283" w:lineRule="auto"/>
        <w:rPr>
          <w:sz w:val="20"/>
          <w:szCs w:val="20"/>
          <w:color w:val="auto"/>
        </w:rPr>
      </w:pPr>
      <w:r>
        <w:rPr>
          <w:rFonts w:ascii="Arial" w:cs="Arial" w:eastAsia="Arial" w:hAnsi="Arial"/>
          <w:sz w:val="16"/>
          <w:szCs w:val="16"/>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earned a return of approximately 5.9% per annum on the India Plan for the year ended December 31, 2022.</w:t>
      </w:r>
    </w:p>
    <w:p>
      <w:pPr>
        <w:spacing w:after="0" w:line="112"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The benefit obligation has been measured as of December 31, 2022 and 2021. The following table sets forth the activity and the funded status of the gratuity plans and the amounts recognized in the Company’s consolidated financial statements at the end of the relevant periods:</w:t>
      </w:r>
    </w:p>
    <w:p>
      <w:pPr>
        <w:spacing w:after="0" w:line="145" w:lineRule="exact"/>
        <w:rPr>
          <w:sz w:val="20"/>
          <w:szCs w:val="20"/>
          <w:color w:val="auto"/>
        </w:rPr>
      </w:pPr>
    </w:p>
    <w:tbl>
      <w:tblPr>
        <w:tblLayout w:type="fixed"/>
        <w:tblInd w:w="420" w:type="dxa"/>
        <w:tblCellMar>
          <w:top w:w="0" w:type="dxa"/>
          <w:left w:w="0" w:type="dxa"/>
          <w:bottom w:w="0" w:type="dxa"/>
          <w:right w:w="0" w:type="dxa"/>
        </w:tblCellMar>
      </w:tblPr>
      <w:tr>
        <w:trPr>
          <w:trHeight w:val="224"/>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Change in projected benefit obligation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Projected benefit obligation as of January 1</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23,271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20,466</w:t>
            </w:r>
          </w:p>
        </w:tc>
        <w:tc>
          <w:tcPr>
            <w:tcW w:w="0" w:type="dxa"/>
            <w:vAlign w:val="bottom"/>
          </w:tcPr>
          <w:p>
            <w:pPr>
              <w:spacing w:after="0"/>
              <w:rPr>
                <w:sz w:val="1"/>
                <w:szCs w:val="1"/>
                <w:color w:val="auto"/>
              </w:rPr>
            </w:pPr>
          </w:p>
        </w:tc>
      </w:tr>
      <w:tr>
        <w:trPr>
          <w:trHeight w:val="218"/>
        </w:trPr>
        <w:tc>
          <w:tcPr>
            <w:tcW w:w="6700" w:type="dxa"/>
            <w:vAlign w:val="bottom"/>
          </w:tcPr>
          <w:p>
            <w:pPr>
              <w:ind w:left="120"/>
              <w:spacing w:after="0"/>
              <w:rPr>
                <w:sz w:val="20"/>
                <w:szCs w:val="20"/>
                <w:color w:val="auto"/>
              </w:rPr>
            </w:pPr>
            <w:r>
              <w:rPr>
                <w:rFonts w:ascii="Arial" w:cs="Arial" w:eastAsia="Arial" w:hAnsi="Arial"/>
                <w:sz w:val="17"/>
                <w:szCs w:val="17"/>
                <w:color w:val="auto"/>
              </w:rPr>
              <w:t>Service cost</w:t>
            </w:r>
          </w:p>
        </w:tc>
        <w:tc>
          <w:tcPr>
            <w:tcW w:w="32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3,770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3,512</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cost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0" w:type="dxa"/>
            <w:vAlign w:val="bottom"/>
          </w:tcPr>
          <w:p>
            <w:pPr>
              <w:spacing w:after="0"/>
              <w:rPr>
                <w:sz w:val="1"/>
                <w:szCs w:val="1"/>
                <w:color w:val="auto"/>
              </w:rPr>
            </w:pPr>
          </w:p>
        </w:tc>
      </w:tr>
      <w:tr>
        <w:trPr>
          <w:trHeight w:val="218"/>
        </w:trPr>
        <w:tc>
          <w:tcPr>
            <w:tcW w:w="6700" w:type="dxa"/>
            <w:vAlign w:val="bottom"/>
          </w:tcPr>
          <w:p>
            <w:pPr>
              <w:ind w:left="120"/>
              <w:spacing w:after="0"/>
              <w:rPr>
                <w:sz w:val="20"/>
                <w:szCs w:val="20"/>
                <w:color w:val="auto"/>
              </w:rPr>
            </w:pPr>
            <w:r>
              <w:rPr>
                <w:rFonts w:ascii="Arial" w:cs="Arial" w:eastAsia="Arial" w:hAnsi="Arial"/>
                <w:sz w:val="17"/>
                <w:szCs w:val="17"/>
                <w:color w:val="auto"/>
              </w:rPr>
              <w:t>Benefits paid</w:t>
            </w:r>
          </w:p>
        </w:tc>
        <w:tc>
          <w:tcPr>
            <w:tcW w:w="32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(1,757)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(1,844)</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Acquisition adjustments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18"/>
        </w:trPr>
        <w:tc>
          <w:tcPr>
            <w:tcW w:w="6700" w:type="dxa"/>
            <w:vAlign w:val="bottom"/>
          </w:tcPr>
          <w:p>
            <w:pPr>
              <w:ind w:left="120"/>
              <w:spacing w:after="0"/>
              <w:rPr>
                <w:sz w:val="20"/>
                <w:szCs w:val="20"/>
                <w:color w:val="auto"/>
              </w:rPr>
            </w:pPr>
            <w:r>
              <w:rPr>
                <w:rFonts w:ascii="Arial" w:cs="Arial" w:eastAsia="Arial" w:hAnsi="Arial"/>
                <w:sz w:val="17"/>
                <w:szCs w:val="17"/>
                <w:color w:val="auto"/>
              </w:rPr>
              <w:t>Actuarial (gain)/loss*</w:t>
            </w:r>
          </w:p>
        </w:tc>
        <w:tc>
          <w:tcPr>
            <w:tcW w:w="32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(2,639)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Effect of exchange rate changes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(2,346)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7"/>
                <w:szCs w:val="17"/>
                <w:color w:val="auto"/>
              </w:rPr>
              <w:t>Projected benefit obligation as of December 31</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21,531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70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Change in Plan Assets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Arial" w:cs="Arial" w:eastAsia="Arial" w:hAnsi="Arial"/>
                <w:sz w:val="17"/>
                <w:szCs w:val="17"/>
                <w:color w:val="auto"/>
              </w:rPr>
              <w:t>Plan assets as of January 1</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13,605</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11,512</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Actual return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18"/>
        </w:trPr>
        <w:tc>
          <w:tcPr>
            <w:tcW w:w="6700" w:type="dxa"/>
            <w:vAlign w:val="bottom"/>
          </w:tcPr>
          <w:p>
            <w:pPr>
              <w:ind w:left="120"/>
              <w:spacing w:after="0"/>
              <w:rPr>
                <w:sz w:val="20"/>
                <w:szCs w:val="20"/>
                <w:color w:val="auto"/>
              </w:rPr>
            </w:pPr>
            <w:r>
              <w:rPr>
                <w:rFonts w:ascii="Arial" w:cs="Arial" w:eastAsia="Arial" w:hAnsi="Arial"/>
                <w:sz w:val="17"/>
                <w:szCs w:val="17"/>
                <w:color w:val="auto"/>
              </w:rPr>
              <w:t>Employer contribution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3,361</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Benefits paid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Effect of exchange rate changes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 assets as of December 31</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13,605</w:t>
            </w:r>
          </w:p>
        </w:tc>
        <w:tc>
          <w:tcPr>
            <w:tcW w:w="0" w:type="dxa"/>
            <w:vAlign w:val="bottom"/>
          </w:tcPr>
          <w:p>
            <w:pPr>
              <w:spacing w:after="0"/>
              <w:rPr>
                <w:sz w:val="1"/>
                <w:szCs w:val="1"/>
                <w:color w:val="auto"/>
              </w:rPr>
            </w:pPr>
          </w:p>
        </w:tc>
      </w:tr>
      <w:tr>
        <w:trPr>
          <w:trHeight w:val="32"/>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Unfunded status as of December 31</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7,082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9,666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Unfunded amount recognized in the consolidated balance sheets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7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Non-current liability (included under other non-current liabilities)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9,604</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Current liability (included under accrued employee costs)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accrued liability</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Accumulated benefit obligation as of December 31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320" w:type="dxa"/>
            <w:vAlign w:val="bottom"/>
          </w:tcPr>
          <w:p>
            <w:pPr>
              <w:jc w:val="right"/>
              <w:ind w:right="134"/>
              <w:spacing w:after="0" w:line="190"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line="190" w:lineRule="exact"/>
              <w:rPr>
                <w:sz w:val="20"/>
                <w:szCs w:val="20"/>
                <w:color w:val="auto"/>
              </w:rPr>
            </w:pPr>
            <w:r>
              <w:rPr>
                <w:rFonts w:ascii="Arial" w:cs="Arial" w:eastAsia="Arial" w:hAnsi="Arial"/>
                <w:sz w:val="17"/>
                <w:szCs w:val="17"/>
                <w:color w:val="auto"/>
              </w:rPr>
              <w:t>14,447</w:t>
            </w:r>
          </w:p>
        </w:tc>
        <w:tc>
          <w:tcPr>
            <w:tcW w:w="100" w:type="dxa"/>
            <w:vAlign w:val="bottom"/>
          </w:tcPr>
          <w:p>
            <w:pPr>
              <w:spacing w:after="0"/>
              <w:rPr>
                <w:sz w:val="16"/>
                <w:szCs w:val="16"/>
                <w:color w:val="auto"/>
              </w:rPr>
            </w:pPr>
          </w:p>
        </w:tc>
        <w:tc>
          <w:tcPr>
            <w:tcW w:w="340" w:type="dxa"/>
            <w:vAlign w:val="bottom"/>
          </w:tcPr>
          <w:p>
            <w:pPr>
              <w:jc w:val="right"/>
              <w:ind w:right="154"/>
              <w:spacing w:after="0" w:line="190" w:lineRule="exact"/>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line="190" w:lineRule="exact"/>
              <w:rPr>
                <w:sz w:val="20"/>
                <w:szCs w:val="20"/>
                <w:color w:val="auto"/>
              </w:rPr>
            </w:pPr>
            <w:r>
              <w:rPr>
                <w:rFonts w:ascii="Arial" w:cs="Arial" w:eastAsia="Arial" w:hAnsi="Arial"/>
                <w:sz w:val="17"/>
                <w:szCs w:val="17"/>
                <w:color w:val="auto"/>
              </w:rPr>
              <w:t>14,794</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benefit obligation in excess of plan assets as of December 31</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*During the year ended December 31, 2022, actuarial gain was driven by changes in actuarial assumptions, offset by experience adjustments on present value of benefit obligations. During the year ended December 31, 2021, actuarial loss was driven by experience adjustments on present value of benefit obligations offset by changes in actuarial assumptions.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Components of net periodic benefit costs recognized in consolidated statements of income and actuarial loss reclassified from AOCI, were as follows:</w:t>
      </w:r>
    </w:p>
    <w:p>
      <w:pPr>
        <w:spacing w:after="0" w:line="210" w:lineRule="exact"/>
        <w:rPr>
          <w:sz w:val="20"/>
          <w:szCs w:val="20"/>
          <w:color w:val="auto"/>
        </w:rPr>
      </w:pPr>
    </w:p>
    <w:tbl>
      <w:tblPr>
        <w:tblLayout w:type="fixed"/>
        <w:tblInd w:w="1000" w:type="dxa"/>
        <w:tblCellMar>
          <w:top w:w="0" w:type="dxa"/>
          <w:left w:w="0" w:type="dxa"/>
          <w:bottom w:w="0" w:type="dxa"/>
          <w:right w:w="0" w:type="dxa"/>
        </w:tblCellMar>
      </w:tblPr>
      <w:tr>
        <w:trPr>
          <w:trHeight w:val="224"/>
        </w:trPr>
        <w:tc>
          <w:tcPr>
            <w:tcW w:w="54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7"/>
                <w:szCs w:val="17"/>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13"/>
        </w:trPr>
        <w:tc>
          <w:tcPr>
            <w:tcW w:w="54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3,770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w:t>
            </w:r>
          </w:p>
        </w:tc>
      </w:tr>
      <w:tr>
        <w:trPr>
          <w:trHeight w:val="218"/>
        </w:trPr>
        <w:tc>
          <w:tcPr>
            <w:tcW w:w="546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964</w:t>
            </w:r>
          </w:p>
        </w:tc>
      </w:tr>
      <w:tr>
        <w:trPr>
          <w:trHeight w:val="220"/>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r>
      <w:tr>
        <w:trPr>
          <w:trHeight w:val="21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actuarial loss, gross of tax</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gratuity cost</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4,722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actuarial loss, gross of tax</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1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effects on above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actuarial loss, net of tax</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r>
    </w:tbl>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actuarial loss on retirement benefits included in AOCI, excluding tax effects, were as follows:</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224"/>
        </w:trPr>
        <w:tc>
          <w:tcPr>
            <w:tcW w:w="55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1"/>
              </w:rPr>
              <w:t>As of December 31,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13"/>
        </w:trPr>
        <w:tc>
          <w:tcPr>
            <w:tcW w:w="55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r>
      <w:tr>
        <w:trPr>
          <w:trHeight w:val="212"/>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Net actuarial loss</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(3,772)</w:t>
            </w:r>
          </w:p>
        </w:tc>
      </w:tr>
      <w:tr>
        <w:trPr>
          <w:trHeight w:val="218"/>
        </w:trPr>
        <w:tc>
          <w:tcPr>
            <w:tcW w:w="5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prior service cost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32"/>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Amount recognized in AOCI, excluding tax effects</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actuarial assumptions used to determine benefit obligations and net gratuity cost were:</w:t>
      </w:r>
    </w:p>
    <w:p>
      <w:pPr>
        <w:spacing w:after="0" w:line="198" w:lineRule="exact"/>
        <w:rPr>
          <w:sz w:val="20"/>
          <w:szCs w:val="20"/>
          <w:color w:val="auto"/>
        </w:rPr>
      </w:pPr>
    </w:p>
    <w:p>
      <w:pPr>
        <w:ind w:left="7940"/>
        <w:spacing w:after="0"/>
        <w:rPr>
          <w:sz w:val="20"/>
          <w:szCs w:val="20"/>
          <w:color w:val="auto"/>
        </w:rPr>
      </w:pPr>
      <w:r>
        <w:rPr>
          <w:rFonts w:ascii="Arial" w:cs="Arial" w:eastAsia="Arial" w:hAnsi="Arial"/>
          <w:sz w:val="17"/>
          <w:szCs w:val="17"/>
          <w:b w:val="1"/>
          <w:bCs w:val="1"/>
          <w:color w:val="auto"/>
        </w:rPr>
        <w:t>December 31,</w:t>
      </w:r>
    </w:p>
    <w:p>
      <w:pPr>
        <w:spacing w:after="0" w:line="28" w:lineRule="exact"/>
        <w:rPr>
          <w:sz w:val="20"/>
          <w:szCs w:val="20"/>
          <w:color w:val="auto"/>
        </w:rPr>
      </w:pPr>
    </w:p>
    <w:tbl>
      <w:tblPr>
        <w:tblLayout w:type="fixed"/>
        <w:tblInd w:w="1020" w:type="dxa"/>
        <w:tblCellMar>
          <w:top w:w="0" w:type="dxa"/>
          <w:left w:w="0" w:type="dxa"/>
          <w:bottom w:w="0" w:type="dxa"/>
          <w:right w:w="0" w:type="dxa"/>
        </w:tblCellMar>
      </w:tblPr>
      <w:tr>
        <w:trPr>
          <w:trHeight w:val="214"/>
        </w:trPr>
        <w:tc>
          <w:tcPr>
            <w:tcW w:w="52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15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7.3 %</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4.6 %</w:t>
            </w:r>
          </w:p>
        </w:tc>
      </w:tr>
      <w:tr>
        <w:trPr>
          <w:trHeight w:val="218"/>
        </w:trPr>
        <w:tc>
          <w:tcPr>
            <w:tcW w:w="6140" w:type="dxa"/>
            <w:vAlign w:val="bottom"/>
            <w:gridSpan w:val="2"/>
          </w:tcPr>
          <w:p>
            <w:pPr>
              <w:ind w:left="20"/>
              <w:spacing w:after="0"/>
              <w:rPr>
                <w:sz w:val="20"/>
                <w:szCs w:val="20"/>
                <w:color w:val="auto"/>
              </w:rPr>
            </w:pPr>
            <w:r>
              <w:rPr>
                <w:rFonts w:ascii="Arial" w:cs="Arial" w:eastAsia="Arial" w:hAnsi="Arial"/>
                <w:sz w:val="17"/>
                <w:szCs w:val="17"/>
                <w:color w:val="auto"/>
              </w:rPr>
              <w:t>Rate of increase in compensation levels</w:t>
            </w:r>
          </w:p>
        </w:tc>
        <w:tc>
          <w:tcPr>
            <w:tcW w:w="480" w:type="dxa"/>
            <w:vAlign w:val="bottom"/>
          </w:tcPr>
          <w:p>
            <w:pPr>
              <w:jc w:val="right"/>
              <w:spacing w:after="0"/>
              <w:rPr>
                <w:sz w:val="20"/>
                <w:szCs w:val="20"/>
                <w:color w:val="auto"/>
              </w:rPr>
            </w:pPr>
            <w:r>
              <w:rPr>
                <w:rFonts w:ascii="Arial" w:cs="Arial" w:eastAsia="Arial" w:hAnsi="Arial"/>
                <w:sz w:val="17"/>
                <w:szCs w:val="17"/>
                <w:color w:val="auto"/>
              </w:rPr>
              <w:t>7.8 %</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7.6 %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7.1 %</w:t>
            </w:r>
          </w:p>
        </w:tc>
      </w:tr>
      <w:tr>
        <w:trPr>
          <w:trHeight w:val="220"/>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long-term rate of return on plan assets per annum</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7.0 %</w:t>
            </w:r>
          </w:p>
        </w:tc>
      </w:tr>
    </w:tbl>
    <w:p>
      <w:pPr>
        <w:spacing w:after="0" w:line="200" w:lineRule="exact"/>
        <w:rPr>
          <w:sz w:val="20"/>
          <w:szCs w:val="20"/>
          <w:color w:val="auto"/>
        </w:rPr>
      </w:pPr>
    </w:p>
    <w:p>
      <w:pPr>
        <w:spacing w:after="0" w:line="329"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The Company evaluates these assumptions annually based on its long-term plans of growth and industry standards. The discount rates are either based on current market yields on government securities or yields on government securities adjusted for a suitable risk premium, if available.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1400" w:type="dxa"/>
        <w:tblCellMar>
          <w:top w:w="0" w:type="dxa"/>
          <w:left w:w="0" w:type="dxa"/>
          <w:bottom w:w="0" w:type="dxa"/>
          <w:right w:w="0" w:type="dxa"/>
        </w:tblCellMar>
      </w:tblPr>
      <w:tr>
        <w:trPr>
          <w:trHeight w:val="218"/>
        </w:trPr>
        <w:tc>
          <w:tcPr>
            <w:tcW w:w="6020" w:type="dxa"/>
            <w:vAlign w:val="bottom"/>
          </w:tcPr>
          <w:p>
            <w:pPr>
              <w:ind w:left="20"/>
              <w:spacing w:after="0"/>
              <w:rPr>
                <w:sz w:val="20"/>
                <w:szCs w:val="20"/>
                <w:color w:val="auto"/>
              </w:rPr>
            </w:pPr>
            <w:r>
              <w:rPr>
                <w:rFonts w:ascii="Arial" w:cs="Arial" w:eastAsia="Arial" w:hAnsi="Arial"/>
                <w:sz w:val="17"/>
                <w:szCs w:val="17"/>
                <w:color w:val="auto"/>
              </w:rPr>
              <w:t>Expected benefit payments during the year ending December 31,</w:t>
            </w:r>
          </w:p>
        </w:tc>
        <w:tc>
          <w:tcPr>
            <w:tcW w:w="20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0"/>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0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w:t>
            </w:r>
          </w:p>
        </w:tc>
      </w:tr>
      <w:tr>
        <w:trPr>
          <w:trHeight w:val="218"/>
        </w:trPr>
        <w:tc>
          <w:tcPr>
            <w:tcW w:w="6020" w:type="dxa"/>
            <w:vAlign w:val="bottom"/>
          </w:tcPr>
          <w:p>
            <w:pPr>
              <w:ind w:left="20"/>
              <w:spacing w:after="0"/>
              <w:rPr>
                <w:sz w:val="20"/>
                <w:szCs w:val="20"/>
                <w:color w:val="auto"/>
              </w:rPr>
            </w:pPr>
            <w:r>
              <w:rPr>
                <w:rFonts w:ascii="Arial" w:cs="Arial" w:eastAsia="Arial" w:hAnsi="Arial"/>
                <w:sz w:val="17"/>
                <w:szCs w:val="17"/>
                <w:color w:val="auto"/>
              </w:rPr>
              <w:t>2024</w:t>
            </w:r>
          </w:p>
        </w:tc>
        <w:tc>
          <w:tcPr>
            <w:tcW w:w="20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3,183</w:t>
            </w:r>
          </w:p>
        </w:tc>
      </w:tr>
      <w:tr>
        <w:trPr>
          <w:trHeight w:val="220"/>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0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w:t>
            </w:r>
          </w:p>
        </w:tc>
      </w:tr>
      <w:tr>
        <w:trPr>
          <w:trHeight w:val="218"/>
        </w:trPr>
        <w:tc>
          <w:tcPr>
            <w:tcW w:w="6020" w:type="dxa"/>
            <w:vAlign w:val="bottom"/>
          </w:tcPr>
          <w:p>
            <w:pPr>
              <w:ind w:left="20"/>
              <w:spacing w:after="0"/>
              <w:rPr>
                <w:sz w:val="20"/>
                <w:szCs w:val="20"/>
                <w:color w:val="auto"/>
              </w:rPr>
            </w:pPr>
            <w:r>
              <w:rPr>
                <w:rFonts w:ascii="Arial" w:cs="Arial" w:eastAsia="Arial" w:hAnsi="Arial"/>
                <w:sz w:val="17"/>
                <w:szCs w:val="17"/>
                <w:color w:val="auto"/>
              </w:rPr>
              <w:t>2026</w:t>
            </w:r>
          </w:p>
        </w:tc>
        <w:tc>
          <w:tcPr>
            <w:tcW w:w="20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2,661</w:t>
            </w:r>
          </w:p>
        </w:tc>
      </w:tr>
      <w:tr>
        <w:trPr>
          <w:trHeight w:val="220"/>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0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w:t>
            </w:r>
          </w:p>
        </w:tc>
      </w:tr>
      <w:tr>
        <w:trPr>
          <w:trHeight w:val="218"/>
        </w:trPr>
        <w:tc>
          <w:tcPr>
            <w:tcW w:w="6020" w:type="dxa"/>
            <w:vAlign w:val="bottom"/>
          </w:tcPr>
          <w:p>
            <w:pPr>
              <w:ind w:left="20"/>
              <w:spacing w:after="0"/>
              <w:rPr>
                <w:sz w:val="20"/>
                <w:szCs w:val="20"/>
                <w:color w:val="auto"/>
              </w:rPr>
            </w:pPr>
            <w:r>
              <w:rPr>
                <w:rFonts w:ascii="Arial" w:cs="Arial" w:eastAsia="Arial" w:hAnsi="Arial"/>
                <w:sz w:val="17"/>
                <w:szCs w:val="17"/>
                <w:color w:val="auto"/>
              </w:rPr>
              <w:t>2028 to 2032</w:t>
            </w:r>
          </w:p>
        </w:tc>
        <w:tc>
          <w:tcPr>
            <w:tcW w:w="20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8,388</w:t>
            </w:r>
          </w:p>
        </w:tc>
      </w:tr>
    </w:tbl>
    <w:p>
      <w:pPr>
        <w:spacing w:after="0" w:line="200" w:lineRule="exact"/>
        <w:rPr>
          <w:sz w:val="20"/>
          <w:szCs w:val="20"/>
          <w:color w:val="auto"/>
        </w:rPr>
      </w:pPr>
    </w:p>
    <w:p>
      <w:pPr>
        <w:spacing w:after="0" w:line="318" w:lineRule="exact"/>
        <w:rPr>
          <w:sz w:val="20"/>
          <w:szCs w:val="20"/>
          <w:color w:val="auto"/>
        </w:rPr>
      </w:pPr>
    </w:p>
    <w:p>
      <w:pPr>
        <w:jc w:val="both"/>
        <w:ind w:firstLine="425"/>
        <w:spacing w:after="0" w:line="250" w:lineRule="auto"/>
        <w:rPr>
          <w:sz w:val="20"/>
          <w:szCs w:val="20"/>
          <w:color w:val="auto"/>
        </w:rPr>
      </w:pPr>
      <w:r>
        <w:rPr>
          <w:rFonts w:ascii="Arial" w:cs="Arial" w:eastAsia="Arial" w:hAnsi="Arial"/>
          <w:sz w:val="17"/>
          <w:szCs w:val="17"/>
          <w:color w:val="auto"/>
        </w:rPr>
        <w:t>The Company maintains several 401(k) plans (the “401(k) Plans”) under Section 401(k) of the Internal Revenue Code of 1986, as amended (the “Code”), covering all eligible employees, as defined in the Code as a defined social security contribution plan. The Company may make discretionary contributions of up to a maximum of 3.0% of employee compensation within certain limits.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accrual for contributions to the 401(k) Plans were as follows:</w:t>
      </w:r>
    </w:p>
    <w:p>
      <w:pPr>
        <w:spacing w:after="0" w:line="164" w:lineRule="exact"/>
        <w:rPr>
          <w:sz w:val="20"/>
          <w:szCs w:val="20"/>
          <w:color w:val="auto"/>
        </w:rPr>
      </w:pPr>
    </w:p>
    <w:p>
      <w:pPr>
        <w:ind w:left="758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4152265</wp:posOffset>
            </wp:positionH>
            <wp:positionV relativeFrom="paragraph">
              <wp:posOffset>22225</wp:posOffset>
            </wp:positionV>
            <wp:extent cx="23901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27" w:lineRule="exact"/>
        <w:rPr>
          <w:sz w:val="20"/>
          <w:szCs w:val="20"/>
          <w:color w:val="auto"/>
        </w:rPr>
      </w:pPr>
    </w:p>
    <w:p>
      <w:pPr>
        <w:ind w:left="6980"/>
        <w:spacing w:after="0"/>
        <w:tabs>
          <w:tab w:leader="none" w:pos="8120" w:val="left"/>
          <w:tab w:leader="none" w:pos="9400" w:val="left"/>
        </w:tabs>
        <w:rPr>
          <w:sz w:val="20"/>
          <w:szCs w:val="20"/>
          <w:color w:val="auto"/>
        </w:rPr>
      </w:pPr>
      <w:r>
        <w:rPr>
          <w:rFonts w:ascii="Arial" w:cs="Arial" w:eastAsia="Arial" w:hAnsi="Arial"/>
          <w:sz w:val="15"/>
          <w:szCs w:val="15"/>
          <w:b w:val="1"/>
          <w:bCs w:val="1"/>
          <w:color w:val="auto"/>
        </w:rPr>
        <w:t>2022</w:t>
      </w:r>
      <w:r>
        <w:rPr>
          <w:sz w:val="20"/>
          <w:szCs w:val="20"/>
          <w:color w:val="auto"/>
        </w:rPr>
        <w:tab/>
      </w:r>
      <w:r>
        <w:rPr>
          <w:rFonts w:ascii="Arial" w:cs="Arial" w:eastAsia="Arial" w:hAnsi="Arial"/>
          <w:sz w:val="15"/>
          <w:szCs w:val="15"/>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9" w:lineRule="exact"/>
        <w:rPr>
          <w:sz w:val="20"/>
          <w:szCs w:val="20"/>
          <w:color w:val="auto"/>
        </w:rPr>
      </w:pPr>
    </w:p>
    <w:p>
      <w:pPr>
        <w:ind w:left="440"/>
        <w:spacing w:after="0"/>
        <w:tabs>
          <w:tab w:leader="none" w:pos="6540" w:val="left"/>
          <w:tab w:leader="none" w:pos="7260" w:val="left"/>
          <w:tab w:leader="none" w:pos="7820" w:val="left"/>
          <w:tab w:leader="none" w:pos="8300" w:val="left"/>
          <w:tab w:leader="none" w:pos="8860" w:val="left"/>
          <w:tab w:leader="none" w:pos="9820" w:val="left"/>
        </w:tabs>
        <w:rPr>
          <w:sz w:val="20"/>
          <w:szCs w:val="20"/>
          <w:color w:val="auto"/>
        </w:rPr>
      </w:pPr>
      <w:r>
        <w:rPr>
          <w:rFonts w:ascii="Arial" w:cs="Arial" w:eastAsia="Arial" w:hAnsi="Arial"/>
          <w:sz w:val="17"/>
          <w:szCs w:val="17"/>
          <w:color w:val="auto"/>
        </w:rPr>
        <w:t>Contribution to the 401(k) Plans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5,205</w:t>
        <w:tab/>
        <w:t>$</w:t>
      </w:r>
      <w:r>
        <w:rPr>
          <w:sz w:val="20"/>
          <w:szCs w:val="20"/>
          <w:color w:val="auto"/>
        </w:rPr>
        <w:tab/>
      </w:r>
      <w:r>
        <w:rPr>
          <w:rFonts w:ascii="Arial" w:cs="Arial" w:eastAsia="Arial" w:hAnsi="Arial"/>
          <w:sz w:val="17"/>
          <w:szCs w:val="17"/>
          <w:color w:val="auto"/>
        </w:rPr>
        <w:t>3,693</w:t>
        <w:tab/>
        <w:t>$</w:t>
      </w:r>
      <w:r>
        <w:rPr>
          <w:sz w:val="20"/>
          <w:szCs w:val="20"/>
          <w:color w:val="auto"/>
        </w:rPr>
        <w:tab/>
      </w:r>
      <w:r>
        <w:rPr>
          <w:rFonts w:ascii="Arial" w:cs="Arial" w:eastAsia="Arial" w:hAnsi="Arial"/>
          <w:sz w:val="15"/>
          <w:szCs w:val="15"/>
          <w:color w:val="auto"/>
        </w:rPr>
        <w:t>3,577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-120015</wp:posOffset>
            </wp:positionV>
            <wp:extent cx="6270625" cy="147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6270625" cy="147320"/>
                    </a:xfrm>
                    <a:prstGeom prst="rect">
                      <a:avLst/>
                    </a:prstGeom>
                    <a:noFill/>
                  </pic:spPr>
                </pic:pic>
              </a:graphicData>
            </a:graphic>
          </wp:anchor>
        </w:drawing>
      </w:r>
    </w:p>
    <w:p>
      <w:pPr>
        <w:spacing w:after="0" w:line="255"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The Company’s contribution for various defined social security contribution plans on behalf of employees in foreign subsidiaries of the Company were as follows:</w:t>
      </w:r>
    </w:p>
    <w:p>
      <w:pPr>
        <w:spacing w:after="0" w:line="150" w:lineRule="exact"/>
        <w:rPr>
          <w:sz w:val="20"/>
          <w:szCs w:val="20"/>
          <w:color w:val="auto"/>
        </w:rPr>
      </w:pPr>
    </w:p>
    <w:p>
      <w:pPr>
        <w:jc w:val="center"/>
        <w:ind w:left="554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4144010</wp:posOffset>
            </wp:positionH>
            <wp:positionV relativeFrom="paragraph">
              <wp:posOffset>22225</wp:posOffset>
            </wp:positionV>
            <wp:extent cx="23825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27" w:lineRule="exact"/>
        <w:rPr>
          <w:sz w:val="20"/>
          <w:szCs w:val="20"/>
          <w:color w:val="auto"/>
        </w:rPr>
      </w:pPr>
    </w:p>
    <w:p>
      <w:pPr>
        <w:ind w:left="7000"/>
        <w:spacing w:after="0"/>
        <w:tabs>
          <w:tab w:leader="none" w:pos="8260" w:val="left"/>
          <w:tab w:leader="none" w:pos="9520" w:val="left"/>
        </w:tabs>
        <w:rPr>
          <w:sz w:val="20"/>
          <w:szCs w:val="20"/>
          <w:color w:val="auto"/>
        </w:rPr>
      </w:pPr>
      <w:r>
        <w:rPr>
          <w:rFonts w:ascii="Arial" w:cs="Arial" w:eastAsia="Arial" w:hAnsi="Arial"/>
          <w:sz w:val="15"/>
          <w:szCs w:val="15"/>
          <w:b w:val="1"/>
          <w:bCs w:val="1"/>
          <w:color w:val="auto"/>
        </w:rPr>
        <w:t>2022</w:t>
      </w:r>
      <w:r>
        <w:rPr>
          <w:sz w:val="20"/>
          <w:szCs w:val="20"/>
          <w:color w:val="auto"/>
        </w:rPr>
        <w:tab/>
      </w:r>
      <w:r>
        <w:rPr>
          <w:rFonts w:ascii="Arial" w:cs="Arial" w:eastAsia="Arial" w:hAnsi="Arial"/>
          <w:sz w:val="15"/>
          <w:szCs w:val="15"/>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22225</wp:posOffset>
            </wp:positionV>
            <wp:extent cx="6254115" cy="147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6254115" cy="147320"/>
                    </a:xfrm>
                    <a:prstGeom prst="rect">
                      <a:avLst/>
                    </a:prstGeom>
                    <a:noFill/>
                  </pic:spPr>
                </pic:pic>
              </a:graphicData>
            </a:graphic>
          </wp:anchor>
        </w:drawing>
      </w:r>
    </w:p>
    <w:p>
      <w:pPr>
        <w:spacing w:after="0" w:line="28" w:lineRule="exact"/>
        <w:rPr>
          <w:sz w:val="20"/>
          <w:szCs w:val="20"/>
          <w:color w:val="auto"/>
        </w:rPr>
      </w:pPr>
    </w:p>
    <w:p>
      <w:pPr>
        <w:ind w:left="440"/>
        <w:spacing w:after="0"/>
        <w:tabs>
          <w:tab w:leader="none" w:pos="6520" w:val="left"/>
          <w:tab w:leader="none" w:pos="7200" w:val="left"/>
          <w:tab w:leader="none" w:pos="7860" w:val="left"/>
          <w:tab w:leader="none" w:pos="8440" w:val="left"/>
          <w:tab w:leader="none" w:pos="9080" w:val="left"/>
          <w:tab w:leader="none" w:pos="9720" w:val="left"/>
        </w:tabs>
        <w:rPr>
          <w:sz w:val="20"/>
          <w:szCs w:val="20"/>
          <w:color w:val="auto"/>
        </w:rPr>
      </w:pPr>
      <w:r>
        <w:rPr>
          <w:rFonts w:ascii="Arial" w:cs="Arial" w:eastAsia="Arial" w:hAnsi="Arial"/>
          <w:sz w:val="17"/>
          <w:szCs w:val="17"/>
          <w:color w:val="auto"/>
        </w:rPr>
        <w:t>Contributions to the defined social security contribution plans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18,215</w:t>
        <w:tab/>
        <w:t>$</w:t>
      </w:r>
      <w:r>
        <w:rPr>
          <w:sz w:val="20"/>
          <w:szCs w:val="20"/>
          <w:color w:val="auto"/>
        </w:rPr>
        <w:tab/>
      </w:r>
      <w:r>
        <w:rPr>
          <w:rFonts w:ascii="Arial" w:cs="Arial" w:eastAsia="Arial" w:hAnsi="Arial"/>
          <w:sz w:val="17"/>
          <w:szCs w:val="17"/>
          <w:color w:val="auto"/>
        </w:rPr>
        <w:t>16,340</w:t>
        <w:tab/>
        <w:t>$</w:t>
      </w:r>
      <w:r>
        <w:rPr>
          <w:sz w:val="20"/>
          <w:szCs w:val="20"/>
          <w:color w:val="auto"/>
        </w:rPr>
        <w:tab/>
      </w:r>
      <w:r>
        <w:rPr>
          <w:rFonts w:ascii="Arial" w:cs="Arial" w:eastAsia="Arial" w:hAnsi="Arial"/>
          <w:sz w:val="15"/>
          <w:szCs w:val="15"/>
          <w:color w:val="auto"/>
        </w:rPr>
        <w:t>11,332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Leases</w:t>
      </w:r>
    </w:p>
    <w:p>
      <w:pPr>
        <w:spacing w:after="0" w:line="17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11"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The Company had performed an evaluation of its contracts with suppliers in accordance with ASC Topic 842, and had determined that, except for leases for office facilities, motor vehicles and other equipment as described above, none of the Company’s contracts contain a lease. As part of the Company’s efforts to optimize its existing network of operations centers, the Company continued to evaluate its office facilities to determine where it can exit or consolidate its use of office space.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Supplemental balance sheet information</w:t>
      </w:r>
    </w:p>
    <w:p>
      <w:pPr>
        <w:spacing w:after="0" w:line="267" w:lineRule="exact"/>
        <w:rPr>
          <w:sz w:val="20"/>
          <w:szCs w:val="20"/>
          <w:color w:val="auto"/>
        </w:rPr>
      </w:pPr>
    </w:p>
    <w:tbl>
      <w:tblPr>
        <w:tblLayout w:type="fixed"/>
        <w:tblInd w:w="42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r>
      <w:tr>
        <w:trPr>
          <w:trHeight w:val="215"/>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2022</w:t>
            </w:r>
          </w:p>
        </w:tc>
        <w:tc>
          <w:tcPr>
            <w:tcW w:w="1600" w:type="dxa"/>
            <w:vAlign w:val="bottom"/>
            <w:gridSpan w:val="2"/>
          </w:tcPr>
          <w:p>
            <w:pPr>
              <w:jc w:val="right"/>
              <w:ind w:right="14"/>
              <w:spacing w:after="0"/>
              <w:rPr>
                <w:sz w:val="20"/>
                <w:szCs w:val="20"/>
                <w:color w:val="auto"/>
              </w:rPr>
            </w:pPr>
            <w:r>
              <w:rPr>
                <w:rFonts w:ascii="Arial" w:cs="Arial" w:eastAsia="Arial" w:hAnsi="Arial"/>
                <w:sz w:val="17"/>
                <w:szCs w:val="17"/>
                <w:b w:val="1"/>
                <w:bCs w:val="1"/>
                <w:color w:val="auto"/>
                <w:w w:val="96"/>
              </w:rPr>
              <w:t>December 31, 2021</w:t>
            </w:r>
          </w:p>
        </w:tc>
      </w:tr>
      <w:tr>
        <w:trPr>
          <w:trHeight w:val="19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w:t>
            </w: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right-of-use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55,347</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76,692</w:t>
            </w:r>
          </w:p>
        </w:tc>
      </w:tr>
      <w:tr>
        <w:trPr>
          <w:trHeight w:val="239"/>
        </w:trPr>
        <w:tc>
          <w:tcPr>
            <w:tcW w:w="6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4"/>
        </w:trPr>
        <w:tc>
          <w:tcPr>
            <w:tcW w:w="6600" w:type="dxa"/>
            <w:vAlign w:val="bottom"/>
          </w:tcPr>
          <w:p>
            <w:pPr>
              <w:ind w:left="20"/>
              <w:spacing w:after="0"/>
              <w:rPr>
                <w:sz w:val="20"/>
                <w:szCs w:val="20"/>
                <w:color w:val="auto"/>
              </w:rPr>
            </w:pPr>
            <w:r>
              <w:rPr>
                <w:rFonts w:ascii="Arial" w:cs="Arial" w:eastAsia="Arial" w:hAnsi="Arial"/>
                <w:sz w:val="17"/>
                <w:szCs w:val="17"/>
                <w:color w:val="auto"/>
              </w:rPr>
              <w:t>Operating lease liabilities - Current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14,978</w:t>
            </w:r>
          </w:p>
        </w:tc>
        <w:tc>
          <w:tcPr>
            <w:tcW w:w="80" w:type="dxa"/>
            <w:vAlign w:val="bottom"/>
          </w:tcPr>
          <w:p>
            <w:pPr>
              <w:spacing w:after="0"/>
              <w:rPr>
                <w:sz w:val="21"/>
                <w:szCs w:val="21"/>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18,487</w:t>
            </w: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 Non-current</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48,155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68,506</w:t>
            </w:r>
          </w:p>
        </w:tc>
      </w:tr>
      <w:tr>
        <w:trPr>
          <w:trHeight w:val="211"/>
        </w:trPr>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7"/>
                <w:szCs w:val="17"/>
                <w:b w:val="1"/>
                <w:bCs w:val="1"/>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63,133</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86,993</w:t>
            </w:r>
          </w:p>
        </w:tc>
      </w:tr>
      <w:tr>
        <w:trPr>
          <w:trHeight w:val="239"/>
        </w:trPr>
        <w:tc>
          <w:tcPr>
            <w:tcW w:w="6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9"/>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Finance Lease</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gross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2,685</w:t>
            </w:r>
          </w:p>
        </w:tc>
      </w:tr>
      <w:tr>
        <w:trPr>
          <w:trHeight w:val="21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(1,999)</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(2,339)</w:t>
            </w:r>
          </w:p>
        </w:tc>
      </w:tr>
      <w:tr>
        <w:trPr>
          <w:trHeight w:val="212"/>
        </w:trPr>
        <w:tc>
          <w:tcPr>
            <w:tcW w:w="6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r>
      <w:tr>
        <w:trPr>
          <w:trHeight w:val="239"/>
        </w:trPr>
        <w:tc>
          <w:tcPr>
            <w:tcW w:w="6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5"/>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liabilities -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1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Finance lease liabilities - Non-current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r>
      <w:tr>
        <w:trPr>
          <w:trHeight w:val="238"/>
        </w:trPr>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Total finance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Finance lease liabilities are presented as a part of “Accrued expenses and other current liabilities” and “Other non-current liabilities,” as applicable, in the Company’s consolidated balance sheets.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lease cost, which are included in the Company’s consolidated statements of income, are as follows:</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202"/>
        </w:trPr>
        <w:tc>
          <w:tcPr>
            <w:tcW w:w="57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1240" w:type="dxa"/>
            <w:vAlign w:val="bottom"/>
            <w:tcBorders>
              <w:bottom w:val="single" w:sz="8" w:color="auto"/>
            </w:tcBorders>
          </w:tcPr>
          <w:p>
            <w:pPr>
              <w:spacing w:after="0"/>
              <w:rPr>
                <w:sz w:val="17"/>
                <w:szCs w:val="17"/>
                <w:color w:val="auto"/>
              </w:rPr>
            </w:pPr>
          </w:p>
        </w:tc>
      </w:tr>
      <w:tr>
        <w:trPr>
          <w:trHeight w:val="204"/>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Lease cost</w:t>
            </w: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6"/>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5"/>
              <w:spacing w:after="0"/>
              <w:rPr>
                <w:sz w:val="20"/>
                <w:szCs w:val="20"/>
                <w:color w:val="auto"/>
              </w:rPr>
            </w:pPr>
            <w:r>
              <w:rPr>
                <w:rFonts w:ascii="Arial" w:cs="Arial" w:eastAsia="Arial" w:hAnsi="Arial"/>
                <w:sz w:val="15"/>
                <w:szCs w:val="15"/>
                <w:b w:val="1"/>
                <w:bCs w:val="1"/>
                <w:color w:val="auto"/>
              </w:rPr>
              <w:t>2021</w:t>
            </w:r>
          </w:p>
        </w:tc>
      </w:tr>
      <w:tr>
        <w:trPr>
          <w:trHeight w:val="20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Finance lease:</w:t>
            </w: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8"/>
        </w:trPr>
        <w:tc>
          <w:tcPr>
            <w:tcW w:w="5720" w:type="dxa"/>
            <w:vAlign w:val="bottom"/>
          </w:tcPr>
          <w:p>
            <w:pPr>
              <w:ind w:left="320"/>
              <w:spacing w:after="0"/>
              <w:rPr>
                <w:sz w:val="20"/>
                <w:szCs w:val="20"/>
                <w:color w:val="auto"/>
              </w:rPr>
            </w:pPr>
            <w:r>
              <w:rPr>
                <w:rFonts w:ascii="Arial" w:cs="Arial" w:eastAsia="Arial" w:hAnsi="Arial"/>
                <w:sz w:val="17"/>
                <w:szCs w:val="17"/>
                <w:color w:val="auto"/>
              </w:rPr>
              <w:t>Amortization of right-of-use assets</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8"/>
                <w:szCs w:val="18"/>
                <w:color w:val="auto"/>
              </w:rPr>
            </w:pPr>
          </w:p>
        </w:tc>
        <w:tc>
          <w:tcPr>
            <w:tcW w:w="860" w:type="dxa"/>
            <w:vAlign w:val="bottom"/>
          </w:tcPr>
          <w:p>
            <w:pPr>
              <w:jc w:val="right"/>
              <w:ind w:right="67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188</w:t>
            </w:r>
          </w:p>
        </w:tc>
      </w:tr>
      <w:tr>
        <w:trPr>
          <w:trHeight w:val="219"/>
        </w:trPr>
        <w:tc>
          <w:tcPr>
            <w:tcW w:w="5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on lease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2"/>
        </w:trPr>
        <w:tc>
          <w:tcPr>
            <w:tcW w:w="5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210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251</w:t>
            </w:r>
          </w:p>
        </w:tc>
      </w:tr>
      <w:tr>
        <w:trPr>
          <w:trHeight w:val="220"/>
        </w:trPr>
        <w:tc>
          <w:tcPr>
            <w:tcW w:w="57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b w:val="1"/>
                <w:bCs w:val="1"/>
                <w:color w:val="auto"/>
              </w:rPr>
              <w:t>Operating lease</w:t>
            </w:r>
            <w:r>
              <w:rPr>
                <w:rFonts w:ascii="Arial" w:cs="Arial" w:eastAsia="Arial" w:hAnsi="Arial"/>
                <w:sz w:val="22"/>
                <w:szCs w:val="22"/>
                <w:b w:val="1"/>
                <w:bCs w:val="1"/>
                <w:color w:val="auto"/>
                <w:vertAlign w:val="superscript"/>
              </w:rPr>
              <w:t>(a)</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26,326</w:t>
            </w:r>
          </w:p>
        </w:tc>
      </w:tr>
      <w:tr>
        <w:trPr>
          <w:trHeight w:val="219"/>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Variable lease costs</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5,033</w:t>
            </w: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7,621</w:t>
            </w:r>
          </w:p>
        </w:tc>
      </w:tr>
      <w:tr>
        <w:trPr>
          <w:trHeight w:val="212"/>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Total lease cost</w:t>
            </w: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27,026</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34,198</w:t>
            </w:r>
          </w:p>
        </w:tc>
      </w:tr>
      <w:tr>
        <w:trPr>
          <w:trHeight w:val="20"/>
        </w:trPr>
        <w:tc>
          <w:tcPr>
            <w:tcW w:w="5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Supplemental cash flow and other information related to leases are as follows: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65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4"/>
              </w:rPr>
              <w:t>Year ended December 31</w:t>
            </w:r>
          </w:p>
        </w:tc>
        <w:tc>
          <w:tcPr>
            <w:tcW w:w="1280" w:type="dxa"/>
            <w:vAlign w:val="bottom"/>
            <w:tcBorders>
              <w:bottom w:val="single" w:sz="8" w:color="auto"/>
            </w:tcBorders>
          </w:tcPr>
          <w:p>
            <w:pPr>
              <w:spacing w:after="0"/>
              <w:rPr>
                <w:sz w:val="17"/>
                <w:szCs w:val="17"/>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95"/>
              <w:spacing w:after="0"/>
              <w:rPr>
                <w:sz w:val="20"/>
                <w:szCs w:val="20"/>
                <w:color w:val="auto"/>
              </w:rPr>
            </w:pPr>
            <w:r>
              <w:rPr>
                <w:rFonts w:ascii="Arial" w:cs="Arial" w:eastAsia="Arial" w:hAnsi="Arial"/>
                <w:sz w:val="15"/>
                <w:szCs w:val="15"/>
                <w:b w:val="1"/>
                <w:bCs w:val="1"/>
                <w:color w:val="auto"/>
              </w:rPr>
              <w:t>2021</w:t>
            </w:r>
          </w:p>
        </w:tc>
      </w:tr>
      <w:tr>
        <w:trPr>
          <w:trHeight w:val="200"/>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 for amounts included in the measurement of lease liabilities :</w:t>
            </w:r>
          </w:p>
        </w:tc>
        <w:tc>
          <w:tcPr>
            <w:tcW w:w="1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8"/>
        </w:trPr>
        <w:tc>
          <w:tcPr>
            <w:tcW w:w="6580" w:type="dxa"/>
            <w:vAlign w:val="bottom"/>
          </w:tcPr>
          <w:p>
            <w:pPr>
              <w:ind w:left="320"/>
              <w:spacing w:after="0"/>
              <w:rPr>
                <w:sz w:val="20"/>
                <w:szCs w:val="20"/>
                <w:color w:val="auto"/>
              </w:rPr>
            </w:pPr>
            <w:r>
              <w:rPr>
                <w:rFonts w:ascii="Arial" w:cs="Arial" w:eastAsia="Arial" w:hAnsi="Arial"/>
                <w:sz w:val="17"/>
                <w:szCs w:val="17"/>
                <w:color w:val="auto"/>
              </w:rPr>
              <w:t>Operating cash outflows for operating leases</w:t>
            </w:r>
          </w:p>
        </w:tc>
        <w:tc>
          <w:tcPr>
            <w:tcW w:w="1260" w:type="dxa"/>
            <w:vAlign w:val="bottom"/>
          </w:tcPr>
          <w:p>
            <w:pPr>
              <w:jc w:val="right"/>
              <w:ind w:right="107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23,227</w:t>
            </w:r>
          </w:p>
        </w:tc>
        <w:tc>
          <w:tcPr>
            <w:tcW w:w="100" w:type="dxa"/>
            <w:vAlign w:val="bottom"/>
          </w:tcPr>
          <w:p>
            <w:pPr>
              <w:spacing w:after="0"/>
              <w:rPr>
                <w:sz w:val="18"/>
                <w:szCs w:val="18"/>
                <w:color w:val="auto"/>
              </w:rPr>
            </w:pPr>
          </w:p>
        </w:tc>
        <w:tc>
          <w:tcPr>
            <w:tcW w:w="820" w:type="dxa"/>
            <w:vAlign w:val="bottom"/>
          </w:tcPr>
          <w:p>
            <w:pPr>
              <w:jc w:val="right"/>
              <w:ind w:right="63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25,674</w:t>
            </w:r>
          </w:p>
        </w:tc>
      </w:tr>
      <w:tr>
        <w:trPr>
          <w:trHeight w:val="220"/>
        </w:trPr>
        <w:tc>
          <w:tcPr>
            <w:tcW w:w="6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cash outflows for finance leases</w:t>
            </w:r>
          </w:p>
        </w:tc>
        <w:tc>
          <w:tcPr>
            <w:tcW w:w="1260" w:type="dxa"/>
            <w:vAlign w:val="bottom"/>
            <w:shd w:val="clear" w:color="auto" w:fill="CCEEFF"/>
          </w:tcPr>
          <w:p>
            <w:pPr>
              <w:jc w:val="right"/>
              <w:ind w:right="10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8"/>
        </w:trPr>
        <w:tc>
          <w:tcPr>
            <w:tcW w:w="6580" w:type="dxa"/>
            <w:vAlign w:val="bottom"/>
          </w:tcPr>
          <w:p>
            <w:pPr>
              <w:ind w:left="320"/>
              <w:spacing w:after="0"/>
              <w:rPr>
                <w:sz w:val="20"/>
                <w:szCs w:val="20"/>
                <w:color w:val="auto"/>
              </w:rPr>
            </w:pPr>
            <w:r>
              <w:rPr>
                <w:rFonts w:ascii="Arial" w:cs="Arial" w:eastAsia="Arial" w:hAnsi="Arial"/>
                <w:sz w:val="17"/>
                <w:szCs w:val="17"/>
                <w:color w:val="auto"/>
              </w:rPr>
              <w:t>Financing cash outflows for finance leases</w:t>
            </w:r>
          </w:p>
        </w:tc>
        <w:tc>
          <w:tcPr>
            <w:tcW w:w="1260" w:type="dxa"/>
            <w:vAlign w:val="bottom"/>
          </w:tcPr>
          <w:p>
            <w:pPr>
              <w:jc w:val="right"/>
              <w:ind w:right="107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8"/>
                <w:szCs w:val="18"/>
                <w:color w:val="auto"/>
              </w:rPr>
            </w:pPr>
          </w:p>
        </w:tc>
        <w:tc>
          <w:tcPr>
            <w:tcW w:w="820" w:type="dxa"/>
            <w:vAlign w:val="bottom"/>
          </w:tcPr>
          <w:p>
            <w:pPr>
              <w:jc w:val="right"/>
              <w:ind w:right="63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201</w:t>
            </w:r>
          </w:p>
        </w:tc>
      </w:tr>
      <w:tr>
        <w:trPr>
          <w:trHeight w:val="220"/>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1260" w:type="dxa"/>
            <w:vAlign w:val="bottom"/>
            <w:shd w:val="clear" w:color="auto" w:fill="CCEEFF"/>
          </w:tcPr>
          <w:p>
            <w:pPr>
              <w:jc w:val="right"/>
              <w:ind w:right="10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4,547</w:t>
            </w:r>
          </w:p>
        </w:tc>
      </w:tr>
      <w:tr>
        <w:trPr>
          <w:trHeight w:val="218"/>
        </w:trPr>
        <w:tc>
          <w:tcPr>
            <w:tcW w:w="658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1260" w:type="dxa"/>
            <w:vAlign w:val="bottom"/>
          </w:tcPr>
          <w:p>
            <w:pPr>
              <w:jc w:val="right"/>
              <w:ind w:right="107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8"/>
                <w:szCs w:val="18"/>
                <w:color w:val="auto"/>
              </w:rPr>
            </w:pPr>
          </w:p>
        </w:tc>
        <w:tc>
          <w:tcPr>
            <w:tcW w:w="820" w:type="dxa"/>
            <w:vAlign w:val="bottom"/>
          </w:tcPr>
          <w:p>
            <w:pPr>
              <w:jc w:val="right"/>
              <w:ind w:right="63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20"/>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6580" w:type="dxa"/>
            <w:vAlign w:val="bottom"/>
          </w:tcPr>
          <w:p>
            <w:pPr>
              <w:ind w:left="320"/>
              <w:spacing w:after="0"/>
              <w:rPr>
                <w:sz w:val="20"/>
                <w:szCs w:val="20"/>
                <w:color w:val="auto"/>
              </w:rPr>
            </w:pPr>
            <w:r>
              <w:rPr>
                <w:rFonts w:ascii="Arial" w:cs="Arial" w:eastAsia="Arial" w:hAnsi="Arial"/>
                <w:sz w:val="17"/>
                <w:szCs w:val="17"/>
                <w:color w:val="auto"/>
              </w:rPr>
              <w:t>Finance lease</w:t>
            </w:r>
          </w:p>
        </w:tc>
        <w:tc>
          <w:tcPr>
            <w:tcW w:w="12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7"/>
                <w:szCs w:val="17"/>
                <w:color w:val="auto"/>
              </w:rPr>
              <w:t>2.8 years</w:t>
            </w:r>
          </w:p>
        </w:tc>
        <w:tc>
          <w:tcPr>
            <w:tcW w:w="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2.1 years</w:t>
            </w:r>
          </w:p>
        </w:tc>
      </w:tr>
      <w:tr>
        <w:trPr>
          <w:trHeight w:val="220"/>
        </w:trPr>
        <w:tc>
          <w:tcPr>
            <w:tcW w:w="6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w:t>
            </w:r>
          </w:p>
        </w:tc>
        <w:tc>
          <w:tcPr>
            <w:tcW w:w="1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5.9 years</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5.8 years</w:t>
            </w:r>
          </w:p>
        </w:tc>
      </w:tr>
      <w:tr>
        <w:trPr>
          <w:trHeight w:val="218"/>
        </w:trPr>
        <w:tc>
          <w:tcPr>
            <w:tcW w:w="658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Finance lease</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14.5%</w:t>
            </w:r>
          </w:p>
        </w:tc>
      </w:tr>
      <w:tr>
        <w:trPr>
          <w:trHeight w:val="218"/>
        </w:trPr>
        <w:tc>
          <w:tcPr>
            <w:tcW w:w="6580" w:type="dxa"/>
            <w:vAlign w:val="bottom"/>
          </w:tcPr>
          <w:p>
            <w:pPr>
              <w:ind w:left="320"/>
              <w:spacing w:after="0"/>
              <w:rPr>
                <w:sz w:val="20"/>
                <w:szCs w:val="20"/>
                <w:color w:val="auto"/>
              </w:rPr>
            </w:pPr>
            <w:r>
              <w:rPr>
                <w:rFonts w:ascii="Arial" w:cs="Arial" w:eastAsia="Arial" w:hAnsi="Arial"/>
                <w:sz w:val="17"/>
                <w:szCs w:val="17"/>
                <w:color w:val="auto"/>
              </w:rPr>
              <w:t>Operating lease</w:t>
            </w:r>
          </w:p>
        </w:tc>
        <w:tc>
          <w:tcPr>
            <w:tcW w:w="126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7.2%</w:t>
            </w:r>
          </w:p>
        </w:tc>
      </w:tr>
    </w:tbl>
    <w:p>
      <w:pPr>
        <w:spacing w:after="0" w:line="234"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The Company modified certain of its operating leases, resulting in a decrease of its lease liabilities by $2,723, $2,917 and $3,143, during the years ended December 31, 2022, 2021 and 2020, respectively, with a corresponding adjustment to ROU assets.</w:t>
      </w:r>
    </w:p>
    <w:p>
      <w:pPr>
        <w:spacing w:after="0" w:line="113"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As of December 31, 2022 and 2021, the Company did not have any significant leases that have not yet commenced but that create significant rights and obligations for the Company.</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years ended December 31, 2022, 2021 and 2020, the Company recognized $nil impairment on ROU assets.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Maturities of lease liabilities as of December 31, 2022 were as follows:</w:t>
      </w:r>
    </w:p>
    <w:p>
      <w:pPr>
        <w:spacing w:after="0" w:line="209"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6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Arial" w:cs="Arial" w:eastAsia="Arial" w:hAnsi="Arial"/>
                <w:sz w:val="15"/>
                <w:szCs w:val="15"/>
                <w:b w:val="1"/>
                <w:bCs w:val="1"/>
                <w:color w:val="auto"/>
              </w:rPr>
              <w:t>Operating Leases</w:t>
            </w:r>
          </w:p>
        </w:tc>
        <w:tc>
          <w:tcPr>
            <w:tcW w:w="280" w:type="dxa"/>
            <w:vAlign w:val="bottom"/>
          </w:tcPr>
          <w:p>
            <w:pPr>
              <w:spacing w:after="0"/>
              <w:rPr>
                <w:sz w:val="17"/>
                <w:szCs w:val="17"/>
                <w:color w:val="auto"/>
              </w:rPr>
            </w:pPr>
          </w:p>
        </w:tc>
        <w:tc>
          <w:tcPr>
            <w:tcW w:w="1700" w:type="dxa"/>
            <w:vAlign w:val="bottom"/>
          </w:tcPr>
          <w:p>
            <w:pPr>
              <w:jc w:val="right"/>
              <w:ind w:right="415"/>
              <w:spacing w:after="0"/>
              <w:rPr>
                <w:sz w:val="20"/>
                <w:szCs w:val="20"/>
                <w:color w:val="auto"/>
              </w:rPr>
            </w:pPr>
            <w:r>
              <w:rPr>
                <w:rFonts w:ascii="Arial" w:cs="Arial" w:eastAsia="Arial" w:hAnsi="Arial"/>
                <w:sz w:val="15"/>
                <w:szCs w:val="15"/>
                <w:b w:val="1"/>
                <w:bCs w:val="1"/>
                <w:color w:val="auto"/>
              </w:rPr>
              <w:t>Finance Leases</w:t>
            </w:r>
          </w:p>
        </w:tc>
      </w:tr>
      <w:tr>
        <w:trPr>
          <w:trHeight w:val="215"/>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14,846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2026</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8,941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1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2028 and thereafter</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w:t>
            </w:r>
          </w:p>
        </w:tc>
      </w:tr>
      <w:tr>
        <w:trPr>
          <w:trHeight w:val="21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15,500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r>
      <w:tr>
        <w:trPr>
          <w:trHeight w:val="23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Maturities of lease liabilities as of December 31, 2021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ind w:left="100"/>
              <w:spacing w:after="0"/>
              <w:rPr>
                <w:sz w:val="20"/>
                <w:szCs w:val="20"/>
                <w:color w:val="auto"/>
              </w:rPr>
            </w:pPr>
            <w:r>
              <w:rPr>
                <w:rFonts w:ascii="Arial" w:cs="Arial" w:eastAsia="Arial" w:hAnsi="Arial"/>
                <w:sz w:val="15"/>
                <w:szCs w:val="15"/>
                <w:b w:val="1"/>
                <w:bCs w:val="1"/>
                <w:color w:val="auto"/>
              </w:rPr>
              <w:t>Operating Leases</w:t>
            </w: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gridSpan w:val="6"/>
          </w:tcPr>
          <w:p>
            <w:pPr>
              <w:jc w:val="right"/>
              <w:ind w:right="415"/>
              <w:spacing w:after="0"/>
              <w:rPr>
                <w:sz w:val="20"/>
                <w:szCs w:val="20"/>
                <w:color w:val="auto"/>
              </w:rPr>
            </w:pPr>
            <w:r>
              <w:rPr>
                <w:rFonts w:ascii="Arial" w:cs="Arial" w:eastAsia="Arial" w:hAnsi="Arial"/>
                <w:sz w:val="15"/>
                <w:szCs w:val="15"/>
                <w:b w:val="1"/>
                <w:bCs w:val="1"/>
                <w:color w:val="auto"/>
              </w:rPr>
              <w:t>Finance Leases</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8"/>
              </w:rPr>
              <w:t>24,020</w:t>
            </w:r>
          </w:p>
        </w:tc>
        <w:tc>
          <w:tcPr>
            <w:tcW w:w="680" w:type="dxa"/>
            <w:vAlign w:val="bottom"/>
            <w:gridSpan w:val="2"/>
            <w:shd w:val="clear" w:color="auto" w:fill="CCEEFF"/>
          </w:tcPr>
          <w:p>
            <w:pPr>
              <w:jc w:val="right"/>
              <w:ind w:right="40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 w:type="dxa"/>
            <w:vAlign w:val="bottom"/>
          </w:tcPr>
          <w:p>
            <w:pPr>
              <w:ind w:left="2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8"/>
              </w:rPr>
              <w:t>22,666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8"/>
              </w:rPr>
              <w:t>17,745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0" w:type="dxa"/>
            <w:vAlign w:val="bottom"/>
          </w:tcPr>
          <w:p>
            <w:pPr>
              <w:ind w:left="2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8"/>
              </w:rPr>
              <w:t>10,741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8,395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60" w:type="dxa"/>
            <w:vAlign w:val="bottom"/>
            <w:gridSpan w:val="3"/>
          </w:tcPr>
          <w:p>
            <w:pPr>
              <w:ind w:left="20"/>
              <w:spacing w:after="0"/>
              <w:rPr>
                <w:sz w:val="20"/>
                <w:szCs w:val="20"/>
                <w:color w:val="auto"/>
              </w:rPr>
            </w:pPr>
            <w:r>
              <w:rPr>
                <w:rFonts w:ascii="Arial" w:cs="Arial" w:eastAsia="Arial" w:hAnsi="Arial"/>
                <w:sz w:val="17"/>
                <w:szCs w:val="17"/>
                <w:color w:val="auto"/>
              </w:rPr>
              <w:t>2027 and thereafter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8"/>
              </w:rPr>
              <w:t>25,198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2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1"/>
              </w:rPr>
              <w:t>108,765</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Less: Imputed interest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8"/>
              </w:rPr>
              <w:t>21,772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8"/>
              </w:rPr>
              <w:t>86,993</w:t>
            </w:r>
          </w:p>
        </w:tc>
        <w:tc>
          <w:tcPr>
            <w:tcW w:w="680" w:type="dxa"/>
            <w:vAlign w:val="bottom"/>
            <w:gridSpan w:val="2"/>
            <w:shd w:val="clear" w:color="auto" w:fill="CCEEFF"/>
          </w:tcPr>
          <w:p>
            <w:pPr>
              <w:jc w:val="right"/>
              <w:ind w:right="40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22. Income Taxes</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2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260" w:type="dxa"/>
            <w:vAlign w:val="bottom"/>
            <w:gridSpan w:val="3"/>
          </w:tcPr>
          <w:p>
            <w:pPr>
              <w:ind w:left="420"/>
              <w:spacing w:after="0"/>
              <w:rPr>
                <w:sz w:val="20"/>
                <w:szCs w:val="20"/>
                <w:color w:val="auto"/>
              </w:rPr>
            </w:pPr>
            <w:r>
              <w:rPr>
                <w:rFonts w:ascii="Arial" w:cs="Arial" w:eastAsia="Arial" w:hAnsi="Arial"/>
                <w:sz w:val="17"/>
                <w:szCs w:val="17"/>
                <w:color w:val="auto"/>
                <w:w w:val="98"/>
              </w:rPr>
              <w:t>The components of income/(loss) before income taxes consist of the following: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10"/>
          </w:tcPr>
          <w:p>
            <w:pPr>
              <w:jc w:val="right"/>
              <w:ind w:right="54"/>
              <w:spacing w:after="0"/>
              <w:rPr>
                <w:sz w:val="20"/>
                <w:szCs w:val="20"/>
                <w:color w:val="auto"/>
              </w:rPr>
            </w:pPr>
            <w:r>
              <w:rPr>
                <w:rFonts w:ascii="Arial" w:cs="Arial" w:eastAsia="Arial" w:hAnsi="Arial"/>
                <w:sz w:val="15"/>
                <w:szCs w:val="15"/>
                <w:b w:val="1"/>
                <w:bCs w:val="1"/>
                <w:color w:val="auto"/>
                <w:w w:val="93"/>
              </w:rPr>
              <w:t>Year ended December 31,</w:t>
            </w: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2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rPr>
              <w:t>2020</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80,949</w:t>
            </w:r>
          </w:p>
        </w:tc>
        <w:tc>
          <w:tcPr>
            <w:tcW w:w="560" w:type="dxa"/>
            <w:vAlign w:val="bottom"/>
            <w:gridSpan w:val="3"/>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43,759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30,893</w:t>
            </w: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109,150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102,802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84,436</w:t>
            </w: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190,099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146,561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115,329</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420"/>
              <w:spacing w:after="0"/>
              <w:rPr>
                <w:sz w:val="20"/>
                <w:szCs w:val="20"/>
                <w:color w:val="auto"/>
              </w:rPr>
            </w:pPr>
            <w:r>
              <w:rPr>
                <w:rFonts w:ascii="Arial" w:cs="Arial" w:eastAsia="Arial" w:hAnsi="Arial"/>
                <w:sz w:val="17"/>
                <w:szCs w:val="17"/>
                <w:color w:val="auto"/>
              </w:rPr>
              <w:t>Income tax expense/(benefit) consists of the following:</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2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1"/>
          </w:tcPr>
          <w:p>
            <w:pPr>
              <w:ind w:left="840"/>
              <w:spacing w:after="0"/>
              <w:rPr>
                <w:sz w:val="20"/>
                <w:szCs w:val="20"/>
                <w:color w:val="auto"/>
              </w:rPr>
            </w:pPr>
            <w:r>
              <w:rPr>
                <w:rFonts w:ascii="Arial" w:cs="Arial" w:eastAsia="Arial" w:hAnsi="Arial"/>
                <w:sz w:val="15"/>
                <w:szCs w:val="15"/>
                <w:b w:val="1"/>
                <w:bCs w:val="1"/>
                <w:color w:val="auto"/>
                <w:w w:val="99"/>
              </w:rPr>
              <w:t>Year ended December 31,</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5"/>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0" w:type="dxa"/>
            <w:vAlign w:val="bottom"/>
          </w:tcPr>
          <w:p>
            <w:pPr>
              <w:spacing w:after="0"/>
              <w:rPr>
                <w:sz w:val="17"/>
                <w:szCs w:val="17"/>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provision: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7"/>
                <w:szCs w:val="17"/>
                <w:color w:val="auto"/>
              </w:rPr>
              <w:t>Domestic</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43,416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3"/>
              <w:spacing w:after="0"/>
              <w:rPr>
                <w:sz w:val="20"/>
                <w:szCs w:val="20"/>
                <w:color w:val="auto"/>
              </w:rPr>
            </w:pPr>
            <w:r>
              <w:rPr>
                <w:rFonts w:ascii="Arial" w:cs="Arial" w:eastAsia="Arial" w:hAnsi="Arial"/>
                <w:sz w:val="17"/>
                <w:szCs w:val="17"/>
                <w:color w:val="auto"/>
              </w:rPr>
              <w:t>18,532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7,946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23,701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7"/>
                <w:szCs w:val="17"/>
                <w:color w:val="auto"/>
              </w:rPr>
              <w:t>33,644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14,983</w:t>
            </w:r>
          </w:p>
        </w:tc>
        <w:tc>
          <w:tcPr>
            <w:tcW w:w="2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0" w:type="dxa"/>
            <w:vAlign w:val="bottom"/>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7"/>
                <w:szCs w:val="17"/>
                <w:color w:val="auto"/>
              </w:rPr>
              <w:t>52,176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22,929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provision/(benefit):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7"/>
                <w:szCs w:val="17"/>
                <w:color w:val="auto"/>
              </w:rPr>
              <w:t>Domestic</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(17,624)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7"/>
              </w:rPr>
              <w:t>(15,954)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w:t>
            </w:r>
          </w:p>
        </w:tc>
        <w:tc>
          <w:tcPr>
            <w:tcW w:w="2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0" w:type="dxa"/>
            <w:vAlign w:val="bottom"/>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(20,326)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47,565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7"/>
                <w:szCs w:val="17"/>
                <w:color w:val="auto"/>
              </w:rPr>
              <w:t>31,850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25,626</w:t>
            </w:r>
          </w:p>
        </w:tc>
        <w:tc>
          <w:tcPr>
            <w:tcW w:w="2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320" w:top="12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Income taxes (deferred) recognized in AOCI were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590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3"/>
              </w:rPr>
              <w:t>Year ended December 31,</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r>
      <w:tr>
        <w:trPr>
          <w:trHeight w:val="199"/>
        </w:trPr>
        <w:tc>
          <w:tcPr>
            <w:tcW w:w="59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2020</w:t>
            </w:r>
          </w:p>
        </w:tc>
      </w:tr>
      <w:tr>
        <w:trPr>
          <w:trHeight w:val="227"/>
        </w:trPr>
        <w:tc>
          <w:tcPr>
            <w:tcW w:w="5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5900" w:type="dxa"/>
            <w:vAlign w:val="bottom"/>
          </w:tcPr>
          <w:p>
            <w:pPr>
              <w:ind w:left="20"/>
              <w:spacing w:after="0"/>
              <w:rPr>
                <w:sz w:val="20"/>
                <w:szCs w:val="20"/>
                <w:color w:val="auto"/>
              </w:rPr>
            </w:pPr>
            <w:r>
              <w:rPr>
                <w:rFonts w:ascii="Arial" w:cs="Arial" w:eastAsia="Arial" w:hAnsi="Arial"/>
                <w:sz w:val="17"/>
                <w:szCs w:val="17"/>
                <w:b w:val="1"/>
                <w:bCs w:val="1"/>
                <w:color w:val="auto"/>
              </w:rPr>
              <w:t>Deferred taxes benefit / (expense) recognized on:</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gain/(loss) on cash flow hedges</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5,860</w:t>
            </w:r>
          </w:p>
        </w:tc>
        <w:tc>
          <w:tcPr>
            <w:tcW w:w="44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w:t>
            </w:r>
          </w:p>
        </w:tc>
      </w:tr>
      <w:tr>
        <w:trPr>
          <w:trHeight w:val="218"/>
        </w:trPr>
        <w:tc>
          <w:tcPr>
            <w:tcW w:w="5900" w:type="dxa"/>
            <w:vAlign w:val="bottom"/>
          </w:tcPr>
          <w:p>
            <w:pPr>
              <w:ind w:left="20"/>
              <w:spacing w:after="0"/>
              <w:rPr>
                <w:sz w:val="20"/>
                <w:szCs w:val="20"/>
                <w:color w:val="auto"/>
              </w:rPr>
            </w:pPr>
            <w:r>
              <w:rPr>
                <w:rFonts w:ascii="Arial" w:cs="Arial" w:eastAsia="Arial" w:hAnsi="Arial"/>
                <w:sz w:val="17"/>
                <w:szCs w:val="17"/>
                <w:color w:val="auto"/>
              </w:rPr>
              <w:t>Reclassification adjustment for cash flow hedges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2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Retirement benefits (incl. effects of tax rate changes)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r>
      <w:tr>
        <w:trPr>
          <w:trHeight w:val="218"/>
        </w:trPr>
        <w:tc>
          <w:tcPr>
            <w:tcW w:w="5900" w:type="dxa"/>
            <w:vAlign w:val="bottom"/>
          </w:tcPr>
          <w:p>
            <w:pPr>
              <w:ind w:left="20"/>
              <w:spacing w:after="0"/>
              <w:rPr>
                <w:sz w:val="20"/>
                <w:szCs w:val="20"/>
                <w:color w:val="auto"/>
              </w:rPr>
            </w:pPr>
            <w:r>
              <w:rPr>
                <w:rFonts w:ascii="Arial" w:cs="Arial" w:eastAsia="Arial" w:hAnsi="Arial"/>
                <w:sz w:val="17"/>
                <w:szCs w:val="17"/>
                <w:color w:val="auto"/>
              </w:rPr>
              <w:t>Reclassification adjustment for retirement benefits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2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loss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10,032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1,946</w:t>
            </w:r>
          </w:p>
        </w:tc>
      </w:tr>
      <w:tr>
        <w:trPr>
          <w:trHeight w:val="212"/>
        </w:trPr>
        <w:tc>
          <w:tcPr>
            <w:tcW w:w="5900" w:type="dxa"/>
            <w:vAlign w:val="bottom"/>
          </w:tcPr>
          <w:p>
            <w:pPr>
              <w:ind w:left="20"/>
              <w:spacing w:after="0"/>
              <w:rPr>
                <w:sz w:val="20"/>
                <w:szCs w:val="20"/>
                <w:color w:val="auto"/>
              </w:rPr>
            </w:pPr>
            <w:r>
              <w:rPr>
                <w:rFonts w:ascii="Arial" w:cs="Arial" w:eastAsia="Arial" w:hAnsi="Arial"/>
                <w:sz w:val="17"/>
                <w:szCs w:val="17"/>
                <w:b w:val="1"/>
                <w:bCs w:val="1"/>
                <w:color w:val="auto"/>
              </w:rPr>
              <w:t>Total income tax benefit recognized in AOCI</w:t>
            </w: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15,937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591</w:t>
            </w:r>
          </w:p>
        </w:tc>
      </w:tr>
      <w:tr>
        <w:trPr>
          <w:trHeight w:val="20"/>
        </w:trPr>
        <w:tc>
          <w:tcPr>
            <w:tcW w:w="5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The effective income tax rate differs from the amount computed by applying the U.S. federal statutory income tax rate to income before income taxes approximately as follows:</w:t>
      </w:r>
    </w:p>
    <w:p>
      <w:pPr>
        <w:spacing w:after="0" w:line="150" w:lineRule="exact"/>
        <w:rPr>
          <w:sz w:val="20"/>
          <w:szCs w:val="20"/>
          <w:color w:val="auto"/>
        </w:rPr>
      </w:pPr>
    </w:p>
    <w:tbl>
      <w:tblPr>
        <w:tblLayout w:type="fixed"/>
        <w:tblInd w:w="540" w:type="dxa"/>
        <w:tblCellMar>
          <w:top w:w="0" w:type="dxa"/>
          <w:left w:w="0" w:type="dxa"/>
          <w:bottom w:w="0" w:type="dxa"/>
          <w:right w:w="0" w:type="dxa"/>
        </w:tblCellMar>
      </w:tblPr>
      <w:tr>
        <w:trPr>
          <w:trHeight w:val="205"/>
        </w:trPr>
        <w:tc>
          <w:tcPr>
            <w:tcW w:w="5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5"/>
                <w:szCs w:val="15"/>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r>
      <w:tr>
        <w:trPr>
          <w:trHeight w:val="200"/>
        </w:trPr>
        <w:tc>
          <w:tcPr>
            <w:tcW w:w="5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2020</w:t>
            </w: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tax expense</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24,219</w:t>
            </w: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Foreign tax rate differential</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(2,748)</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provision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2,888</w:t>
            </w: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Unrecognized tax benefits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taxes, net of Federal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3,242</w:t>
            </w: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Non-deductible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1,467</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Excess tax benefit on stock-based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w:t>
            </w: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Research and development credits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(918)</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Prior period items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Benefit on settlement of convertible notes</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2"/>
        </w:trPr>
        <w:tc>
          <w:tcPr>
            <w:tcW w:w="5180" w:type="dxa"/>
            <w:vAlign w:val="bottom"/>
          </w:tcPr>
          <w:p>
            <w:pPr>
              <w:ind w:left="20"/>
              <w:spacing w:after="0"/>
              <w:rPr>
                <w:sz w:val="20"/>
                <w:szCs w:val="20"/>
                <w:color w:val="auto"/>
              </w:rPr>
            </w:pPr>
            <w:r>
              <w:rPr>
                <w:rFonts w:ascii="Arial" w:cs="Arial" w:eastAsia="Arial" w:hAnsi="Arial"/>
                <w:sz w:val="17"/>
                <w:szCs w:val="17"/>
                <w:b w:val="1"/>
                <w:bCs w:val="1"/>
                <w:color w:val="auto"/>
              </w:rPr>
              <w:t>Tax expense</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47,565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31,850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25,626</w:t>
            </w: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6"/>
          <w:szCs w:val="16"/>
          <w:color w:val="auto"/>
        </w:rPr>
        <w:t>The effective tax rate increased from 21.7% during the year ended December 31, 2021 to 25.0% during the year ended December 31, 2022. The Company recorded income tax expense of $47,565 and $31,850 for the years ended December 31, 2022 and 2021, respectively. The increase in income tax expense was primarily as a result of higher profit during the year ended December 31, 2022, compared to the year ended December 31, 2021, an increase in state taxes and an increase in non-deductible expense, partially offset by higher excess tax benefits related to stock-based compensation.</w:t>
      </w:r>
    </w:p>
    <w:p>
      <w:pPr>
        <w:spacing w:after="0" w:line="113" w:lineRule="exact"/>
        <w:rPr>
          <w:sz w:val="20"/>
          <w:szCs w:val="20"/>
          <w:color w:val="auto"/>
        </w:rPr>
      </w:pPr>
    </w:p>
    <w:p>
      <w:pPr>
        <w:jc w:val="both"/>
        <w:ind w:firstLine="387"/>
        <w:spacing w:after="0" w:line="261" w:lineRule="auto"/>
        <w:rPr>
          <w:sz w:val="20"/>
          <w:szCs w:val="20"/>
          <w:color w:val="auto"/>
        </w:rPr>
      </w:pPr>
      <w:r>
        <w:rPr>
          <w:rFonts w:ascii="Arial" w:cs="Arial" w:eastAsia="Arial" w:hAnsi="Arial"/>
          <w:sz w:val="16"/>
          <w:szCs w:val="16"/>
          <w:color w:val="auto"/>
        </w:rPr>
        <w:t xml:space="preserve">Effective for taxable years beginning after December 31, 2021, Internal Revenue Code Section 174, </w:t>
      </w:r>
      <w:r>
        <w:rPr>
          <w:rFonts w:ascii="Arial" w:cs="Arial" w:eastAsia="Arial" w:hAnsi="Arial"/>
          <w:sz w:val="16"/>
          <w:szCs w:val="16"/>
          <w:i w:val="1"/>
          <w:iCs w:val="1"/>
          <w:color w:val="auto"/>
        </w:rPr>
        <w:t>Amortization of Research and Experimental</w:t>
      </w:r>
      <w:r>
        <w:rPr>
          <w:rFonts w:ascii="Arial" w:cs="Arial" w:eastAsia="Arial" w:hAnsi="Arial"/>
          <w:sz w:val="16"/>
          <w:szCs w:val="16"/>
          <w:color w:val="auto"/>
        </w:rPr>
        <w:t xml:space="preserve"> </w:t>
      </w:r>
      <w:r>
        <w:rPr>
          <w:rFonts w:ascii="Arial" w:cs="Arial" w:eastAsia="Arial" w:hAnsi="Arial"/>
          <w:sz w:val="16"/>
          <w:szCs w:val="16"/>
          <w:i w:val="1"/>
          <w:iCs w:val="1"/>
          <w:color w:val="auto"/>
        </w:rPr>
        <w:t>Expenditures</w:t>
      </w:r>
      <w:r>
        <w:rPr>
          <w:rFonts w:ascii="Arial" w:cs="Arial" w:eastAsia="Arial" w:hAnsi="Arial"/>
          <w:sz w:val="16"/>
          <w:szCs w:val="16"/>
          <w:color w:val="auto"/>
        </w:rPr>
        <w:t>, provides that research and experimentation expenses can no longer be currently deducted, instead such expenses are required to be capitalized. Such</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expenses are to be amortized over a period of five and fifteen years for the U.S. and foreign research, respectively. However, this change has no net impact on the current year income statement due to offsetting a current tax expense of $24,743 with a corresponding deferred tax benefit.</w:t>
      </w:r>
    </w:p>
    <w:p>
      <w:pPr>
        <w:spacing w:after="0" w:line="192"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The Company is under Internal Revenue Service audit for the years 2017 and 2018. The audit process is substantially complete and is expected to conclude with no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the deferred tax balances were as follows: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5"/>
                <w:szCs w:val="15"/>
                <w:b w:val="1"/>
                <w:bCs w:val="1"/>
                <w:color w:val="auto"/>
              </w:rPr>
              <w:t>As of</w:t>
            </w:r>
          </w:p>
        </w:tc>
        <w:tc>
          <w:tcPr>
            <w:tcW w:w="1620" w:type="dxa"/>
            <w:vAlign w:val="bottom"/>
            <w:tcBorders>
              <w:bottom w:val="single" w:sz="8" w:color="auto"/>
            </w:tcBorders>
          </w:tcPr>
          <w:p>
            <w:pPr>
              <w:spacing w:after="0"/>
              <w:rPr>
                <w:sz w:val="17"/>
                <w:szCs w:val="17"/>
                <w:color w:val="auto"/>
              </w:rPr>
            </w:pPr>
          </w:p>
        </w:tc>
      </w:tr>
      <w:tr>
        <w:trPr>
          <w:trHeight w:val="200"/>
        </w:trPr>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 2022</w:t>
            </w:r>
          </w:p>
        </w:tc>
        <w:tc>
          <w:tcPr>
            <w:tcW w:w="180" w:type="dxa"/>
            <w:vAlign w:val="bottom"/>
          </w:tcPr>
          <w:p>
            <w:pPr>
              <w:spacing w:after="0"/>
              <w:rPr>
                <w:sz w:val="17"/>
                <w:szCs w:val="17"/>
                <w:color w:val="auto"/>
              </w:rPr>
            </w:pPr>
          </w:p>
        </w:tc>
        <w:tc>
          <w:tcPr>
            <w:tcW w:w="1620" w:type="dxa"/>
            <w:vAlign w:val="bottom"/>
          </w:tcPr>
          <w:p>
            <w:pPr>
              <w:jc w:val="right"/>
              <w:ind w:right="195"/>
              <w:spacing w:after="0"/>
              <w:rPr>
                <w:sz w:val="20"/>
                <w:szCs w:val="20"/>
                <w:color w:val="auto"/>
              </w:rPr>
            </w:pPr>
            <w:r>
              <w:rPr>
                <w:rFonts w:ascii="Arial" w:cs="Arial" w:eastAsia="Arial" w:hAnsi="Arial"/>
                <w:sz w:val="15"/>
                <w:szCs w:val="15"/>
                <w:b w:val="1"/>
                <w:bCs w:val="1"/>
                <w:color w:val="auto"/>
                <w:w w:val="97"/>
              </w:rPr>
              <w:t>December 31, 2021</w:t>
            </w:r>
          </w:p>
        </w:tc>
      </w:tr>
      <w:tr>
        <w:trPr>
          <w:trHeight w:val="201"/>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8"/>
        </w:trPr>
        <w:tc>
          <w:tcPr>
            <w:tcW w:w="6140" w:type="dxa"/>
            <w:vAlign w:val="bottom"/>
          </w:tcPr>
          <w:p>
            <w:pPr>
              <w:ind w:left="320"/>
              <w:spacing w:after="0"/>
              <w:rPr>
                <w:sz w:val="20"/>
                <w:szCs w:val="20"/>
                <w:color w:val="auto"/>
              </w:rPr>
            </w:pPr>
            <w:r>
              <w:rPr>
                <w:rFonts w:ascii="Arial" w:cs="Arial" w:eastAsia="Arial" w:hAnsi="Arial"/>
                <w:sz w:val="17"/>
                <w:szCs w:val="17"/>
                <w:color w:val="auto"/>
              </w:rPr>
              <w:t>Tax credit carry forward</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5,716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16,236</w:t>
            </w:r>
          </w:p>
        </w:tc>
      </w:tr>
      <w:tr>
        <w:trPr>
          <w:trHeight w:val="220"/>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 expense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10,722</w:t>
            </w:r>
          </w:p>
        </w:tc>
      </w:tr>
      <w:tr>
        <w:trPr>
          <w:trHeight w:val="218"/>
        </w:trPr>
        <w:tc>
          <w:tcPr>
            <w:tcW w:w="6140" w:type="dxa"/>
            <w:vAlign w:val="bottom"/>
          </w:tcPr>
          <w:p>
            <w:pPr>
              <w:ind w:left="320"/>
              <w:spacing w:after="0"/>
              <w:rPr>
                <w:sz w:val="20"/>
                <w:szCs w:val="20"/>
                <w:color w:val="auto"/>
              </w:rPr>
            </w:pPr>
            <w:r>
              <w:rPr>
                <w:rFonts w:ascii="Arial" w:cs="Arial" w:eastAsia="Arial" w:hAnsi="Arial"/>
                <w:sz w:val="17"/>
                <w:szCs w:val="17"/>
                <w:color w:val="auto"/>
              </w:rPr>
              <w:t>Capitalized research and development expenses</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24,743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10,760</w:t>
            </w:r>
          </w:p>
        </w:tc>
      </w:tr>
      <w:tr>
        <w:trPr>
          <w:trHeight w:val="218"/>
        </w:trPr>
        <w:tc>
          <w:tcPr>
            <w:tcW w:w="6140" w:type="dxa"/>
            <w:vAlign w:val="bottom"/>
          </w:tcPr>
          <w:p>
            <w:pPr>
              <w:ind w:left="320"/>
              <w:spacing w:after="0"/>
              <w:rPr>
                <w:sz w:val="20"/>
                <w:szCs w:val="20"/>
                <w:color w:val="auto"/>
              </w:rPr>
            </w:pPr>
            <w:r>
              <w:rPr>
                <w:rFonts w:ascii="Arial" w:cs="Arial" w:eastAsia="Arial" w:hAnsi="Arial"/>
                <w:sz w:val="17"/>
                <w:szCs w:val="17"/>
                <w:color w:val="auto"/>
              </w:rPr>
              <w:t>Accrued employee costs and other expenses</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15,504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13,264</w:t>
            </w:r>
          </w:p>
        </w:tc>
      </w:tr>
      <w:tr>
        <w:trPr>
          <w:trHeight w:val="220"/>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operating loss carryforwards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2,057</w:t>
            </w:r>
          </w:p>
        </w:tc>
      </w:tr>
      <w:tr>
        <w:trPr>
          <w:trHeight w:val="218"/>
        </w:trPr>
        <w:tc>
          <w:tcPr>
            <w:tcW w:w="6140" w:type="dxa"/>
            <w:vAlign w:val="bottom"/>
          </w:tcPr>
          <w:p>
            <w:pPr>
              <w:ind w:left="320"/>
              <w:spacing w:after="0"/>
              <w:rPr>
                <w:sz w:val="20"/>
                <w:szCs w:val="20"/>
                <w:color w:val="auto"/>
              </w:rPr>
            </w:pPr>
            <w:r>
              <w:rPr>
                <w:rFonts w:ascii="Arial" w:cs="Arial" w:eastAsia="Arial" w:hAnsi="Arial"/>
                <w:sz w:val="17"/>
                <w:szCs w:val="17"/>
                <w:color w:val="auto"/>
              </w:rPr>
              <w:t>Net unrealized foreign exchange loss</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23,572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408</w:t>
            </w:r>
          </w:p>
        </w:tc>
      </w:tr>
      <w:tr>
        <w:trPr>
          <w:trHeight w:val="220"/>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rent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4,454</w:t>
            </w:r>
          </w:p>
        </w:tc>
      </w:tr>
      <w:tr>
        <w:trPr>
          <w:trHeight w:val="218"/>
        </w:trPr>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Others</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w:t>
            </w:r>
          </w:p>
        </w:tc>
      </w:tr>
      <w:tr>
        <w:trPr>
          <w:trHeight w:val="213"/>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58,543</w:t>
            </w:r>
          </w:p>
        </w:tc>
      </w:tr>
      <w:tr>
        <w:trPr>
          <w:trHeight w:val="218"/>
        </w:trPr>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Valuation allowance</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58,355</w:t>
            </w:r>
          </w:p>
        </w:tc>
      </w:tr>
      <w:tr>
        <w:trPr>
          <w:trHeight w:val="226"/>
        </w:trPr>
        <w:tc>
          <w:tcPr>
            <w:tcW w:w="6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8"/>
        </w:trPr>
        <w:tc>
          <w:tcPr>
            <w:tcW w:w="6140" w:type="dxa"/>
            <w:vAlign w:val="bottom"/>
          </w:tcPr>
          <w:p>
            <w:pPr>
              <w:ind w:left="320"/>
              <w:spacing w:after="0"/>
              <w:rPr>
                <w:sz w:val="20"/>
                <w:szCs w:val="20"/>
                <w:color w:val="auto"/>
              </w:rPr>
            </w:pPr>
            <w:r>
              <w:rPr>
                <w:rFonts w:ascii="Arial" w:cs="Arial" w:eastAsia="Arial" w:hAnsi="Arial"/>
                <w:sz w:val="17"/>
                <w:szCs w:val="17"/>
                <w:color w:val="auto"/>
              </w:rPr>
              <w:t>Intangible assets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27,807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28,119</w:t>
            </w:r>
          </w:p>
        </w:tc>
      </w:tr>
      <w:tr>
        <w:trPr>
          <w:trHeight w:val="220"/>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unrealized gain on investments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5,840</w:t>
            </w:r>
          </w:p>
        </w:tc>
      </w:tr>
      <w:tr>
        <w:trPr>
          <w:trHeight w:val="218"/>
        </w:trPr>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Others</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3,957</w:t>
            </w:r>
          </w:p>
        </w:tc>
      </w:tr>
      <w:tr>
        <w:trPr>
          <w:trHeight w:val="212"/>
        </w:trPr>
        <w:tc>
          <w:tcPr>
            <w:tcW w:w="61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Deferred tax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37,916</w:t>
            </w:r>
          </w:p>
        </w:tc>
      </w:tr>
      <w:tr>
        <w:trPr>
          <w:trHeight w:val="213"/>
        </w:trPr>
        <w:tc>
          <w:tcPr>
            <w:tcW w:w="6140" w:type="dxa"/>
            <w:vAlign w:val="bottom"/>
          </w:tcPr>
          <w:p>
            <w:pPr>
              <w:ind w:left="20"/>
              <w:spacing w:after="0"/>
              <w:rPr>
                <w:sz w:val="20"/>
                <w:szCs w:val="20"/>
                <w:color w:val="auto"/>
              </w:rPr>
            </w:pPr>
            <w:r>
              <w:rPr>
                <w:rFonts w:ascii="Arial" w:cs="Arial" w:eastAsia="Arial" w:hAnsi="Arial"/>
                <w:sz w:val="17"/>
                <w:szCs w:val="17"/>
                <w:color w:val="auto"/>
              </w:rPr>
              <w:t>Net deferred tax assets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55,244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20,439</w:t>
            </w:r>
          </w:p>
        </w:tc>
      </w:tr>
      <w:tr>
        <w:trPr>
          <w:trHeight w:val="20"/>
        </w:trPr>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firstLine="425"/>
        <w:spacing w:after="0" w:line="290"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The Company performed an analysis of the realizability deferred tax assets as of December 31, 2022 and 2021, and recorded a valuation allowance of $309 and $188, respectively.</w:t>
      </w:r>
    </w:p>
    <w:p>
      <w:pPr>
        <w:spacing w:after="0" w:line="107"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 xml:space="preserve">The Company’s income tax expense also includes provisions established for uncertain income tax positions determined in accordance with Financial Accounting Standards Board Interpretation No.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Company monitors and adjusts these reserves in light of changing facts and circumstances. To the extent that the final tax outcome of these matters differs from the amounts recorded, such differences will impact the income tax expense in the period in which such determination is made.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activity related to the unrecognized tax benefits:</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5"/>
                <w:szCs w:val="15"/>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200"/>
        </w:trPr>
        <w:tc>
          <w:tcPr>
            <w:tcW w:w="65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2020</w:t>
            </w:r>
          </w:p>
        </w:tc>
      </w:tr>
      <w:tr>
        <w:trPr>
          <w:trHeight w:val="214"/>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r>
      <w:tr>
        <w:trPr>
          <w:trHeight w:val="218"/>
        </w:trPr>
        <w:tc>
          <w:tcPr>
            <w:tcW w:w="6520" w:type="dxa"/>
            <w:vAlign w:val="bottom"/>
          </w:tcPr>
          <w:p>
            <w:pPr>
              <w:ind w:left="320"/>
              <w:spacing w:after="0"/>
              <w:rPr>
                <w:sz w:val="20"/>
                <w:szCs w:val="20"/>
                <w:color w:val="auto"/>
              </w:rPr>
            </w:pPr>
            <w:r>
              <w:rPr>
                <w:rFonts w:ascii="Arial" w:cs="Arial" w:eastAsia="Arial" w:hAnsi="Arial"/>
                <w:sz w:val="17"/>
                <w:szCs w:val="17"/>
                <w:color w:val="auto"/>
              </w:rPr>
              <w:t>Increases/(decreases) related to prior year tax positions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(324)</w:t>
            </w:r>
          </w:p>
        </w:tc>
      </w:tr>
      <w:tr>
        <w:trPr>
          <w:trHeight w:val="219"/>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Increases related to current year tax positions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213"/>
        </w:trPr>
        <w:tc>
          <w:tcPr>
            <w:tcW w:w="6520" w:type="dxa"/>
            <w:vAlign w:val="bottom"/>
          </w:tcPr>
          <w:p>
            <w:pPr>
              <w:ind w:left="20"/>
              <w:spacing w:after="0"/>
              <w:rPr>
                <w:sz w:val="20"/>
                <w:szCs w:val="20"/>
                <w:color w:val="auto"/>
              </w:rPr>
            </w:pPr>
            <w:r>
              <w:rPr>
                <w:rFonts w:ascii="Arial" w:cs="Arial" w:eastAsia="Arial" w:hAnsi="Arial"/>
                <w:sz w:val="17"/>
                <w:szCs w:val="17"/>
                <w:color w:val="auto"/>
              </w:rPr>
              <w:t>Balance as of December 31</w:t>
            </w:r>
          </w:p>
        </w:tc>
        <w:tc>
          <w:tcPr>
            <w:tcW w:w="840" w:type="dxa"/>
            <w:vAlign w:val="bottom"/>
            <w:tcBorders>
              <w:bottom w:val="single" w:sz="8" w:color="auto"/>
            </w:tcBorders>
          </w:tcPr>
          <w:p>
            <w:pPr>
              <w:jc w:val="right"/>
              <w:ind w:right="63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1,449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w:t>
            </w:r>
          </w:p>
        </w:tc>
      </w:tr>
      <w:tr>
        <w:trPr>
          <w:trHeight w:val="20"/>
        </w:trPr>
        <w:tc>
          <w:tcPr>
            <w:tcW w:w="6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unrecognized tax benefits as of December 31, 2022 of $1,449, if recognized, would impact the effective tax rate.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2022 and 2021, the Company has not accrued interest and penalties relating to unrecognized tax benefits.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Stock Based Compensation</w:t>
      </w:r>
    </w:p>
    <w:p>
      <w:pPr>
        <w:spacing w:after="0" w:line="197"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6"/>
          <w:szCs w:val="16"/>
          <w:color w:val="auto"/>
        </w:rPr>
        <w:t>On June 15, 2018, at the Company’s 2018 Annual Meeting of Stockholders, the Company's stockholders approved the 2018 Omnibus Incentive Plan, which among other things, reserves 3,175,000 shares of the Company’s common stock for grants of awards under the 2018 Omnibus Incentive Plan. As of December 31, 2022, the Company had 1,324,755 shares available for grant under the 2018 Omnibus Incentive Plan (includes 164,195 shares against vested performance-based restricted stock units for which the underlying common stock was issued subsequent to December 31, 2022).</w:t>
      </w:r>
    </w:p>
    <w:p>
      <w:pPr>
        <w:spacing w:after="0" w:line="190" w:lineRule="exact"/>
        <w:rPr>
          <w:sz w:val="20"/>
          <w:szCs w:val="20"/>
          <w:color w:val="auto"/>
        </w:rPr>
      </w:pPr>
    </w:p>
    <w:p>
      <w:pPr>
        <w:ind w:right="40" w:firstLine="425"/>
        <w:spacing w:after="0" w:line="250" w:lineRule="auto"/>
        <w:rPr>
          <w:sz w:val="20"/>
          <w:szCs w:val="20"/>
          <w:color w:val="auto"/>
        </w:rPr>
      </w:pPr>
      <w:r>
        <w:rPr>
          <w:rFonts w:ascii="Arial" w:cs="Arial" w:eastAsia="Arial" w:hAnsi="Arial"/>
          <w:sz w:val="17"/>
          <w:szCs w:val="17"/>
          <w:color w:val="auto"/>
        </w:rPr>
        <w:t>Under the 2018 Omnibus Incentive Plan, the Compensation and Talent Management Committee (the “Committee”) may grant awards of non-qualified stock options, incentive stock options, stock appreciation rights, restricted stock, restricted stock units, stock bonus awards, performance based compensation awards (including cash bonus awards and market condition based awards) or any combination of the foregoing.</w:t>
      </w:r>
    </w:p>
    <w:p>
      <w:pPr>
        <w:spacing w:after="0" w:line="124"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within ten years from the date of grant. Restricted stock units generally vest proportionally over a period of four years from the date of grant, unless specified otherwise.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Stock-based compensation expense by nature of function, as below, are included in the consolidated statements of income:</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5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5"/>
                <w:szCs w:val="15"/>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200"/>
        </w:trPr>
        <w:tc>
          <w:tcPr>
            <w:tcW w:w="54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2020</w:t>
            </w:r>
          </w:p>
        </w:tc>
      </w:tr>
      <w:tr>
        <w:trPr>
          <w:trHeight w:val="214"/>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6,300</w:t>
            </w:r>
          </w:p>
        </w:tc>
      </w:tr>
      <w:tr>
        <w:trPr>
          <w:trHeight w:val="218"/>
        </w:trPr>
        <w:tc>
          <w:tcPr>
            <w:tcW w:w="546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16,396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11,009</w:t>
            </w:r>
          </w:p>
        </w:tc>
      </w:tr>
      <w:tr>
        <w:trPr>
          <w:trHeight w:val="220"/>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10,926</w:t>
            </w:r>
          </w:p>
        </w:tc>
      </w:tr>
      <w:tr>
        <w:trPr>
          <w:trHeight w:val="211"/>
        </w:trPr>
        <w:tc>
          <w:tcPr>
            <w:tcW w:w="5460" w:type="dxa"/>
            <w:vAlign w:val="bottom"/>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49,366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38,621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28,235</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2"/>
        </w:trPr>
        <w:tc>
          <w:tcPr>
            <w:tcW w:w="5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1"/>
        </w:trPr>
        <w:tc>
          <w:tcPr>
            <w:tcW w:w="5460" w:type="dxa"/>
            <w:vAlign w:val="bottom"/>
          </w:tcPr>
          <w:p>
            <w:pPr>
              <w:ind w:left="20"/>
              <w:spacing w:after="0" w:line="181" w:lineRule="exact"/>
              <w:rPr>
                <w:sz w:val="20"/>
                <w:szCs w:val="20"/>
                <w:color w:val="auto"/>
              </w:rPr>
            </w:pPr>
            <w:r>
              <w:rPr>
                <w:rFonts w:ascii="Arial" w:cs="Arial" w:eastAsia="Arial" w:hAnsi="Arial"/>
                <w:sz w:val="17"/>
                <w:szCs w:val="17"/>
                <w:color w:val="auto"/>
                <w:w w:val="92"/>
              </w:rPr>
              <w:t>Income tax benefit related to share-based compensation, including excess tax</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7"/>
        </w:trPr>
        <w:tc>
          <w:tcPr>
            <w:tcW w:w="5460" w:type="dxa"/>
            <w:vAlign w:val="bottom"/>
          </w:tcPr>
          <w:p>
            <w:pPr>
              <w:ind w:left="20"/>
              <w:spacing w:after="0"/>
              <w:rPr>
                <w:sz w:val="20"/>
                <w:szCs w:val="20"/>
                <w:color w:val="auto"/>
              </w:rPr>
            </w:pPr>
            <w:r>
              <w:rPr>
                <w:rFonts w:ascii="Arial" w:cs="Arial" w:eastAsia="Arial" w:hAnsi="Arial"/>
                <w:sz w:val="17"/>
                <w:szCs w:val="17"/>
                <w:color w:val="auto"/>
              </w:rPr>
              <w:t>benefits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9,785</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9,424</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8,330</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of each stock option granted to employees is estimated on the date of grant using the Black-Scholes option-pricing model.</w:t>
      </w:r>
    </w:p>
    <w:p>
      <w:pPr>
        <w:spacing w:after="0" w:line="165"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The Company does not anticipate paying any cash dividends in the foreseeable future and therefore uses an expected dividend yield of zero in the option valuation model. All stock-based payment awards are amortized on a straight-line basis over the requisite service period of the awards, which is generally the vesting period. The Company accounts for the forfeitures as and when the actual forfeitures occur.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Stock option activity under the Company’s stock-based compensation plans is shown below:</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2"/>
              </w:rPr>
              <w:t>Weighted- Average</w:t>
            </w:r>
          </w:p>
        </w:tc>
        <w:tc>
          <w:tcPr>
            <w:tcW w:w="0" w:type="dxa"/>
            <w:vAlign w:val="bottom"/>
          </w:tcPr>
          <w:p>
            <w:pPr>
              <w:spacing w:after="0"/>
              <w:rPr>
                <w:sz w:val="1"/>
                <w:szCs w:val="1"/>
                <w:color w:val="auto"/>
              </w:rPr>
            </w:pPr>
          </w:p>
        </w:tc>
      </w:tr>
      <w:tr>
        <w:trPr>
          <w:trHeight w:val="232"/>
        </w:trPr>
        <w:tc>
          <w:tcPr>
            <w:tcW w:w="50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5"/>
                <w:szCs w:val="15"/>
                <w:b w:val="1"/>
                <w:bCs w:val="1"/>
                <w:color w:val="auto"/>
              </w:rPr>
              <w:t>Number of Options</w:t>
            </w:r>
          </w:p>
        </w:tc>
        <w:tc>
          <w:tcPr>
            <w:tcW w:w="1420" w:type="dxa"/>
            <w:vAlign w:val="bottom"/>
            <w:gridSpan w:val="3"/>
          </w:tcPr>
          <w:p>
            <w:pPr>
              <w:ind w:left="20"/>
              <w:spacing w:after="0"/>
              <w:rPr>
                <w:sz w:val="20"/>
                <w:szCs w:val="20"/>
                <w:color w:val="auto"/>
              </w:rPr>
            </w:pPr>
            <w:r>
              <w:rPr>
                <w:rFonts w:ascii="Arial" w:cs="Arial" w:eastAsia="Arial" w:hAnsi="Arial"/>
                <w:sz w:val="15"/>
                <w:szCs w:val="15"/>
                <w:b w:val="1"/>
                <w:bCs w:val="1"/>
                <w:color w:val="auto"/>
              </w:rPr>
              <w:t>Weighted- Average</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Aggregate</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3"/>
              </w:rPr>
              <w:t>Remaining</w:t>
            </w:r>
          </w:p>
        </w:tc>
        <w:tc>
          <w:tcPr>
            <w:tcW w:w="0" w:type="dxa"/>
            <w:vAlign w:val="bottom"/>
          </w:tcPr>
          <w:p>
            <w:pPr>
              <w:spacing w:after="0"/>
              <w:rPr>
                <w:sz w:val="1"/>
                <w:szCs w:val="1"/>
                <w:color w:val="auto"/>
              </w:rPr>
            </w:pPr>
          </w:p>
        </w:tc>
      </w:tr>
      <w:tr>
        <w:trPr>
          <w:trHeight w:val="77"/>
        </w:trPr>
        <w:tc>
          <w:tcPr>
            <w:tcW w:w="50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tcPr>
          <w:p>
            <w:pPr>
              <w:ind w:left="40"/>
              <w:spacing w:after="0" w:line="78" w:lineRule="exact"/>
              <w:rPr>
                <w:sz w:val="20"/>
                <w:szCs w:val="20"/>
                <w:color w:val="auto"/>
              </w:rPr>
            </w:pPr>
            <w:r>
              <w:rPr>
                <w:rFonts w:ascii="Arial" w:cs="Arial" w:eastAsia="Arial" w:hAnsi="Arial"/>
                <w:sz w:val="8"/>
                <w:szCs w:val="8"/>
                <w:b w:val="1"/>
                <w:bCs w:val="1"/>
                <w:color w:val="auto"/>
              </w:rPr>
              <w:t>Exercise Price</w:t>
            </w:r>
          </w:p>
        </w:tc>
        <w:tc>
          <w:tcPr>
            <w:tcW w:w="140" w:type="dxa"/>
            <w:vAlign w:val="bottom"/>
          </w:tcPr>
          <w:p>
            <w:pPr>
              <w:spacing w:after="0"/>
              <w:rPr>
                <w:sz w:val="6"/>
                <w:szCs w:val="6"/>
                <w:color w:val="auto"/>
              </w:rPr>
            </w:pPr>
          </w:p>
        </w:tc>
        <w:tc>
          <w:tcPr>
            <w:tcW w:w="1280" w:type="dxa"/>
            <w:vAlign w:val="bottom"/>
            <w:gridSpan w:val="2"/>
          </w:tcPr>
          <w:p>
            <w:pPr>
              <w:jc w:val="center"/>
              <w:ind w:right="260"/>
              <w:spacing w:after="0" w:line="78" w:lineRule="exact"/>
              <w:rPr>
                <w:sz w:val="20"/>
                <w:szCs w:val="20"/>
                <w:color w:val="auto"/>
              </w:rPr>
            </w:pPr>
            <w:r>
              <w:rPr>
                <w:rFonts w:ascii="Arial" w:cs="Arial" w:eastAsia="Arial" w:hAnsi="Arial"/>
                <w:sz w:val="8"/>
                <w:szCs w:val="8"/>
                <w:b w:val="1"/>
                <w:bCs w:val="1"/>
                <w:color w:val="auto"/>
              </w:rPr>
              <w:t>Intrinsic Value</w:t>
            </w:r>
          </w:p>
        </w:tc>
        <w:tc>
          <w:tcPr>
            <w:tcW w:w="1300" w:type="dxa"/>
            <w:vAlign w:val="bottom"/>
          </w:tcPr>
          <w:p>
            <w:pPr>
              <w:jc w:val="center"/>
              <w:spacing w:after="0" w:line="78" w:lineRule="exact"/>
              <w:rPr>
                <w:sz w:val="20"/>
                <w:szCs w:val="20"/>
                <w:color w:val="auto"/>
              </w:rPr>
            </w:pPr>
            <w:r>
              <w:rPr>
                <w:rFonts w:ascii="Arial" w:cs="Arial" w:eastAsia="Arial" w:hAnsi="Arial"/>
                <w:sz w:val="8"/>
                <w:szCs w:val="8"/>
                <w:b w:val="1"/>
                <w:bCs w:val="1"/>
                <w:color w:val="auto"/>
              </w:rPr>
              <w:t>Contractual Life</w:t>
            </w:r>
          </w:p>
        </w:tc>
        <w:tc>
          <w:tcPr>
            <w:tcW w:w="0" w:type="dxa"/>
            <w:vAlign w:val="bottom"/>
          </w:tcPr>
          <w:p>
            <w:pPr>
              <w:spacing w:after="0"/>
              <w:rPr>
                <w:sz w:val="1"/>
                <w:szCs w:val="1"/>
                <w:color w:val="auto"/>
              </w:rPr>
            </w:pPr>
          </w:p>
        </w:tc>
      </w:tr>
      <w:tr>
        <w:trPr>
          <w:trHeight w:val="204"/>
        </w:trPr>
        <w:tc>
          <w:tcPr>
            <w:tcW w:w="50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(Years)</w:t>
            </w:r>
          </w:p>
        </w:tc>
        <w:tc>
          <w:tcPr>
            <w:tcW w:w="0" w:type="dxa"/>
            <w:vAlign w:val="bottom"/>
          </w:tcPr>
          <w:p>
            <w:pPr>
              <w:spacing w:after="0"/>
              <w:rPr>
                <w:sz w:val="1"/>
                <w:szCs w:val="1"/>
                <w:color w:val="auto"/>
              </w:rPr>
            </w:pPr>
          </w:p>
        </w:tc>
      </w:tr>
      <w:tr>
        <w:trPr>
          <w:trHeight w:val="214"/>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27.62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7"/>
                <w:szCs w:val="17"/>
                <w:color w:val="auto"/>
                <w:w w:val="84"/>
              </w:rPr>
              <w:t>2.0</w:t>
            </w:r>
          </w:p>
        </w:tc>
        <w:tc>
          <w:tcPr>
            <w:tcW w:w="0" w:type="dxa"/>
            <w:vAlign w:val="bottom"/>
          </w:tcPr>
          <w:p>
            <w:pPr>
              <w:spacing w:after="0"/>
              <w:rPr>
                <w:sz w:val="1"/>
                <w:szCs w:val="1"/>
                <w:color w:val="auto"/>
              </w:rPr>
            </w:pPr>
          </w:p>
        </w:tc>
      </w:tr>
      <w:tr>
        <w:trPr>
          <w:trHeight w:val="218"/>
        </w:trPr>
        <w:tc>
          <w:tcPr>
            <w:tcW w:w="5020" w:type="dxa"/>
            <w:vAlign w:val="bottom"/>
          </w:tcPr>
          <w:p>
            <w:pPr>
              <w:ind w:left="420"/>
              <w:spacing w:after="0"/>
              <w:rPr>
                <w:sz w:val="20"/>
                <w:szCs w:val="20"/>
                <w:color w:val="auto"/>
              </w:rPr>
            </w:pPr>
            <w:r>
              <w:rPr>
                <w:rFonts w:ascii="Arial" w:cs="Arial" w:eastAsia="Arial" w:hAnsi="Arial"/>
                <w:sz w:val="17"/>
                <w:szCs w:val="17"/>
                <w:color w:val="auto"/>
              </w:rPr>
              <w:t>Granted</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ind w:left="10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Exercised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20" w:type="dxa"/>
            <w:vAlign w:val="bottom"/>
          </w:tcPr>
          <w:p>
            <w:pPr>
              <w:ind w:left="420"/>
              <w:spacing w:after="0"/>
              <w:rPr>
                <w:sz w:val="20"/>
                <w:szCs w:val="20"/>
                <w:color w:val="auto"/>
              </w:rPr>
            </w:pPr>
            <w:r>
              <w:rPr>
                <w:rFonts w:ascii="Arial" w:cs="Arial" w:eastAsia="Arial" w:hAnsi="Arial"/>
                <w:sz w:val="17"/>
                <w:szCs w:val="17"/>
                <w:color w:val="auto"/>
              </w:rPr>
              <w:t>Forfeited</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ind w:left="10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2022</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w w:val="84"/>
              </w:rPr>
              <w:t>1.0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and exercisable as of December 31, 2022</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1320" w:type="dxa"/>
            <w:vAlign w:val="bottom"/>
          </w:tcPr>
          <w:p>
            <w:pPr>
              <w:jc w:val="right"/>
              <w:spacing w:after="0" w:line="190" w:lineRule="exact"/>
              <w:rPr>
                <w:sz w:val="20"/>
                <w:szCs w:val="20"/>
                <w:color w:val="auto"/>
              </w:rPr>
            </w:pPr>
            <w:r>
              <w:rPr>
                <w:rFonts w:ascii="Arial" w:cs="Arial" w:eastAsia="Arial" w:hAnsi="Arial"/>
                <w:sz w:val="17"/>
                <w:szCs w:val="17"/>
                <w:color w:val="auto"/>
              </w:rPr>
              <w:t>3,093</w:t>
            </w:r>
          </w:p>
        </w:tc>
        <w:tc>
          <w:tcPr>
            <w:tcW w:w="100" w:type="dxa"/>
            <w:vAlign w:val="bottom"/>
          </w:tcPr>
          <w:p>
            <w:pPr>
              <w:spacing w:after="0"/>
              <w:rPr>
                <w:sz w:val="16"/>
                <w:szCs w:val="16"/>
                <w:color w:val="auto"/>
              </w:rPr>
            </w:pPr>
          </w:p>
        </w:tc>
        <w:tc>
          <w:tcPr>
            <w:tcW w:w="140" w:type="dxa"/>
            <w:vAlign w:val="bottom"/>
          </w:tcPr>
          <w:p>
            <w:pPr>
              <w:ind w:left="20"/>
              <w:spacing w:after="0" w:line="190"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1"/>
              <w:spacing w:after="0" w:line="190" w:lineRule="exact"/>
              <w:rPr>
                <w:sz w:val="20"/>
                <w:szCs w:val="20"/>
                <w:color w:val="auto"/>
              </w:rPr>
            </w:pPr>
            <w:r>
              <w:rPr>
                <w:rFonts w:ascii="Arial" w:cs="Arial" w:eastAsia="Arial" w:hAnsi="Arial"/>
                <w:sz w:val="17"/>
                <w:szCs w:val="17"/>
                <w:color w:val="auto"/>
              </w:rPr>
              <w:t>27.62</w:t>
            </w:r>
          </w:p>
        </w:tc>
        <w:tc>
          <w:tcPr>
            <w:tcW w:w="10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
              <w:spacing w:after="0" w:line="190" w:lineRule="exact"/>
              <w:rPr>
                <w:sz w:val="20"/>
                <w:szCs w:val="20"/>
                <w:color w:val="auto"/>
              </w:rPr>
            </w:pPr>
            <w:r>
              <w:rPr>
                <w:rFonts w:ascii="Arial" w:cs="Arial" w:eastAsia="Arial" w:hAnsi="Arial"/>
                <w:sz w:val="17"/>
                <w:szCs w:val="17"/>
                <w:color w:val="auto"/>
              </w:rPr>
              <w:t>439</w:t>
            </w:r>
          </w:p>
        </w:tc>
        <w:tc>
          <w:tcPr>
            <w:tcW w:w="100" w:type="dxa"/>
            <w:vAlign w:val="bottom"/>
          </w:tcPr>
          <w:p>
            <w:pPr>
              <w:spacing w:after="0"/>
              <w:rPr>
                <w:sz w:val="16"/>
                <w:szCs w:val="16"/>
                <w:color w:val="auto"/>
              </w:rPr>
            </w:pPr>
          </w:p>
        </w:tc>
        <w:tc>
          <w:tcPr>
            <w:tcW w:w="1300" w:type="dxa"/>
            <w:vAlign w:val="bottom"/>
          </w:tcPr>
          <w:p>
            <w:pPr>
              <w:ind w:left="1080"/>
              <w:spacing w:after="0" w:line="190" w:lineRule="exact"/>
              <w:rPr>
                <w:sz w:val="20"/>
                <w:szCs w:val="20"/>
                <w:color w:val="auto"/>
              </w:rPr>
            </w:pPr>
            <w:r>
              <w:rPr>
                <w:rFonts w:ascii="Arial" w:cs="Arial" w:eastAsia="Arial" w:hAnsi="Arial"/>
                <w:sz w:val="17"/>
                <w:szCs w:val="17"/>
                <w:color w:val="auto"/>
                <w:w w:val="84"/>
              </w:rPr>
              <w:t>1.0</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The unrecognized compensation cost for unvested options as of December 31, 2022 was $nil. The Company did not grant any options during the years ended December 31, 2022, 2021 and 2020. The aggregate intrinsic value of options exercised during the years ended December 31, 2022, 2021 and 2020 was $nil, $2,475 and $3,488, respectively.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status of the Company’s stock options outstanding, vested and exercisable as of 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5"/>
                <w:szCs w:val="15"/>
                <w:b w:val="1"/>
                <w:bCs w:val="1"/>
                <w:color w:val="auto"/>
              </w:rPr>
              <w:t>Options Outstanding, Vested and Exercisable</w:t>
            </w:r>
          </w:p>
        </w:tc>
        <w:tc>
          <w:tcPr>
            <w:tcW w:w="0" w:type="dxa"/>
            <w:vAlign w:val="bottom"/>
          </w:tcPr>
          <w:p>
            <w:pPr>
              <w:spacing w:after="0"/>
              <w:rPr>
                <w:sz w:val="1"/>
                <w:szCs w:val="1"/>
                <w:color w:val="auto"/>
              </w:rPr>
            </w:pPr>
          </w:p>
        </w:tc>
      </w:tr>
      <w:tr>
        <w:trPr>
          <w:trHeight w:val="150"/>
        </w:trPr>
        <w:tc>
          <w:tcPr>
            <w:tcW w:w="6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restart"/>
          </w:tcPr>
          <w:p>
            <w:pPr>
              <w:jc w:val="right"/>
              <w:ind w:right="38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2"/>
          </w:tcPr>
          <w:p>
            <w:pPr>
              <w:jc w:val="center"/>
              <w:ind w:right="520"/>
              <w:spacing w:after="0" w:line="151" w:lineRule="exact"/>
              <w:rPr>
                <w:sz w:val="20"/>
                <w:szCs w:val="20"/>
                <w:color w:val="auto"/>
              </w:rPr>
            </w:pPr>
            <w:r>
              <w:rPr>
                <w:rFonts w:ascii="Arial" w:cs="Arial" w:eastAsia="Arial" w:hAnsi="Arial"/>
                <w:sz w:val="15"/>
                <w:szCs w:val="15"/>
                <w:b w:val="1"/>
                <w:bCs w:val="1"/>
                <w:color w:val="auto"/>
                <w:w w:val="92"/>
              </w:rPr>
              <w:t>Weighted-Average</w:t>
            </w:r>
          </w:p>
        </w:tc>
        <w:tc>
          <w:tcPr>
            <w:tcW w:w="0" w:type="dxa"/>
            <w:vAlign w:val="bottom"/>
          </w:tcPr>
          <w:p>
            <w:pPr>
              <w:spacing w:after="0"/>
              <w:rPr>
                <w:sz w:val="1"/>
                <w:szCs w:val="1"/>
                <w:color w:val="auto"/>
              </w:rPr>
            </w:pPr>
          </w:p>
        </w:tc>
      </w:tr>
      <w:tr>
        <w:trPr>
          <w:trHeight w:val="123"/>
        </w:trPr>
        <w:tc>
          <w:tcPr>
            <w:tcW w:w="620" w:type="dxa"/>
            <w:vAlign w:val="bottom"/>
          </w:tcPr>
          <w:p>
            <w:pPr>
              <w:spacing w:after="0"/>
              <w:rPr>
                <w:sz w:val="10"/>
                <w:szCs w:val="10"/>
                <w:color w:val="auto"/>
              </w:rPr>
            </w:pPr>
          </w:p>
        </w:tc>
        <w:tc>
          <w:tcPr>
            <w:tcW w:w="41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Range of Exercise Prices</w:t>
            </w:r>
          </w:p>
        </w:tc>
        <w:tc>
          <w:tcPr>
            <w:tcW w:w="1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80" w:type="dxa"/>
            <w:vAlign w:val="bottom"/>
            <w:gridSpan w:val="2"/>
            <w:vMerge w:val="restart"/>
          </w:tcPr>
          <w:p>
            <w:pPr>
              <w:jc w:val="center"/>
              <w:ind w:right="520"/>
              <w:spacing w:after="0"/>
              <w:rPr>
                <w:sz w:val="20"/>
                <w:szCs w:val="20"/>
                <w:color w:val="auto"/>
              </w:rPr>
            </w:pPr>
            <w:r>
              <w:rPr>
                <w:rFonts w:ascii="Arial" w:cs="Arial" w:eastAsia="Arial" w:hAnsi="Arial"/>
                <w:sz w:val="15"/>
                <w:szCs w:val="15"/>
                <w:b w:val="1"/>
                <w:bCs w:val="1"/>
                <w:color w:val="auto"/>
                <w:w w:val="91"/>
              </w:rPr>
              <w:t>Exercise Price</w:t>
            </w: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4120" w:type="dxa"/>
            <w:vAlign w:val="bottom"/>
            <w:tcBorders>
              <w:bottom w:val="single" w:sz="8" w:color="CCEEFF"/>
            </w:tcBorders>
            <w:vMerge w:val="continue"/>
          </w:tcPr>
          <w:p>
            <w:pPr>
              <w:spacing w:after="0"/>
              <w:rPr>
                <w:sz w:val="7"/>
                <w:szCs w:val="7"/>
                <w:color w:val="auto"/>
              </w:rPr>
            </w:pPr>
          </w:p>
        </w:tc>
        <w:tc>
          <w:tcPr>
            <w:tcW w:w="1200" w:type="dxa"/>
            <w:vAlign w:val="bottom"/>
            <w:tcBorders>
              <w:bottom w:val="single" w:sz="8" w:color="CCEEFF"/>
            </w:tcBorders>
          </w:tcPr>
          <w:p>
            <w:pPr>
              <w:spacing w:after="0"/>
              <w:rPr>
                <w:sz w:val="7"/>
                <w:szCs w:val="7"/>
                <w:color w:val="auto"/>
              </w:rPr>
            </w:pPr>
          </w:p>
        </w:tc>
        <w:tc>
          <w:tcPr>
            <w:tcW w:w="4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$25.01 to $28.00</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27.62</w:t>
            </w:r>
          </w:p>
        </w:tc>
        <w:tc>
          <w:tcPr>
            <w:tcW w:w="0" w:type="dxa"/>
            <w:vAlign w:val="bottom"/>
          </w:tcPr>
          <w:p>
            <w:pPr>
              <w:spacing w:after="0"/>
              <w:rPr>
                <w:sz w:val="1"/>
                <w:szCs w:val="1"/>
                <w:color w:val="auto"/>
              </w:rPr>
            </w:pPr>
          </w:p>
        </w:tc>
      </w:tr>
      <w:tr>
        <w:trPr>
          <w:trHeight w:val="779"/>
        </w:trPr>
        <w:tc>
          <w:tcPr>
            <w:tcW w:w="6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left="354"/>
              <w:spacing w:after="0"/>
              <w:rPr>
                <w:sz w:val="20"/>
                <w:szCs w:val="20"/>
                <w:color w:val="auto"/>
              </w:rPr>
            </w:pPr>
            <w:r>
              <w:rPr>
                <w:rFonts w:ascii="Arial" w:cs="Arial" w:eastAsia="Arial" w:hAnsi="Arial"/>
                <w:sz w:val="17"/>
                <w:szCs w:val="17"/>
                <w:b w:val="1"/>
                <w:bCs w:val="1"/>
                <w:color w:val="auto"/>
                <w:w w:val="90"/>
              </w:rPr>
              <w:t>Year ended December 31,</w:t>
            </w: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20" w:type="dxa"/>
            <w:vAlign w:val="bottom"/>
            <w:tcBorders>
              <w:bottom w:val="single" w:sz="8" w:color="CCEEFF"/>
            </w:tcBorders>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b w:val="1"/>
                <w:bCs w:val="1"/>
                <w:color w:val="auto"/>
              </w:rPr>
              <w:t>2021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8"/>
              <w:spacing w:after="0"/>
              <w:rPr>
                <w:sz w:val="20"/>
                <w:szCs w:val="20"/>
                <w:color w:val="auto"/>
              </w:rPr>
            </w:pPr>
            <w:r>
              <w:rPr>
                <w:rFonts w:ascii="Arial" w:cs="Arial" w:eastAsia="Arial" w:hAnsi="Arial"/>
                <w:sz w:val="17"/>
                <w:szCs w:val="17"/>
                <w:b w:val="1"/>
                <w:bCs w:val="1"/>
                <w:color w:val="auto"/>
              </w:rPr>
              <w:t>2020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received from options exercised during the year</w:t>
            </w:r>
          </w:p>
        </w:tc>
        <w:tc>
          <w:tcPr>
            <w:tcW w:w="120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rPr>
              <w:t>$</w:t>
            </w:r>
          </w:p>
        </w:tc>
        <w:tc>
          <w:tcPr>
            <w:tcW w:w="1840" w:type="dxa"/>
            <w:vAlign w:val="bottom"/>
            <w:gridSpan w:val="3"/>
            <w:shd w:val="clear" w:color="auto" w:fill="CCEEFF"/>
          </w:tcPr>
          <w:p>
            <w:pPr>
              <w:jc w:val="right"/>
              <w:ind w:right="1100"/>
              <w:spacing w:after="0"/>
              <w:rPr>
                <w:sz w:val="20"/>
                <w:szCs w:val="20"/>
                <w:color w:val="auto"/>
              </w:rPr>
            </w:pPr>
            <w:r>
              <w:rPr>
                <w:rFonts w:ascii="Arial" w:cs="Arial" w:eastAsia="Arial" w:hAnsi="Arial"/>
                <w:sz w:val="17"/>
                <w:szCs w:val="17"/>
                <w:color w:val="auto"/>
              </w:rPr>
              <w:t>—  $</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1"/>
              </w:rPr>
              <w:t>710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Matching Program</w:t>
      </w:r>
    </w:p>
    <w:p>
      <w:pPr>
        <w:spacing w:after="0" w:line="171"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7"/>
          <w:szCs w:val="17"/>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 For purposes of the match, “newly acquired shares” includes the employee’s first quarter 2022 open market purchase of the common stock, and crediting of equity awards vesting under any existing stock award plan of the Company as having been purchased by such employees, in an amount between $100 to $500 per such employee.</w:t>
      </w:r>
    </w:p>
    <w:p>
      <w:pPr>
        <w:spacing w:after="0" w:line="131" w:lineRule="exact"/>
        <w:rPr>
          <w:sz w:val="20"/>
          <w:szCs w:val="20"/>
          <w:color w:val="auto"/>
        </w:rPr>
      </w:pPr>
    </w:p>
    <w:p>
      <w:pPr>
        <w:jc w:val="both"/>
        <w:ind w:firstLine="425"/>
        <w:spacing w:after="0" w:line="307" w:lineRule="auto"/>
        <w:rPr>
          <w:sz w:val="20"/>
          <w:szCs w:val="20"/>
          <w:color w:val="auto"/>
        </w:rPr>
      </w:pPr>
      <w:r>
        <w:rPr>
          <w:rFonts w:ascii="Arial" w:cs="Arial" w:eastAsia="Arial" w:hAnsi="Arial"/>
          <w:sz w:val="15"/>
          <w:szCs w:val="15"/>
          <w:color w:val="auto"/>
        </w:rPr>
        <w:t>The matching restricted stock units granted under the SMP will vest in two installments, with one-third to vest on the second anniversary of the grant date and the remaining two-thirds to vest on the third anniversary of the grant date; the newly acquired shares for which the matching restricted stock units were granted must also be held by the employee until such vesting dates. The Company’s underlying common stock issued pursuant to the vesting of the matching restricted stock units will not be marketable or transferable for a period of two years following the vesting date. Certain forfeiture and other conditions apply.</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Restricted stock unit activity under the SMP is shown below:</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jc w:val="right"/>
        <w:ind w:right="1759"/>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5"/>
                <w:szCs w:val="15"/>
                <w:b w:val="1"/>
                <w:bCs w:val="1"/>
                <w:color w:val="auto"/>
              </w:rPr>
              <w:t>Restricted Stock Units (SMP)</w:t>
            </w:r>
          </w:p>
        </w:tc>
        <w:tc>
          <w:tcPr>
            <w:tcW w:w="0" w:type="dxa"/>
            <w:vAlign w:val="bottom"/>
          </w:tcPr>
          <w:p>
            <w:pPr>
              <w:spacing w:after="0"/>
              <w:rPr>
                <w:sz w:val="1"/>
                <w:szCs w:val="1"/>
                <w:color w:val="auto"/>
              </w:rPr>
            </w:pPr>
          </w:p>
        </w:tc>
      </w:tr>
      <w:tr>
        <w:trPr>
          <w:trHeight w:val="150"/>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Number</w:t>
            </w:r>
          </w:p>
        </w:tc>
        <w:tc>
          <w:tcPr>
            <w:tcW w:w="1400" w:type="dxa"/>
            <w:vAlign w:val="bottom"/>
            <w:gridSpan w:val="2"/>
          </w:tcPr>
          <w:p>
            <w:pPr>
              <w:jc w:val="right"/>
              <w:ind w:right="16"/>
              <w:spacing w:after="0" w:line="151" w:lineRule="exact"/>
              <w:rPr>
                <w:sz w:val="20"/>
                <w:szCs w:val="20"/>
                <w:color w:val="auto"/>
              </w:rPr>
            </w:pPr>
            <w:r>
              <w:rPr>
                <w:rFonts w:ascii="Arial" w:cs="Arial" w:eastAsia="Arial" w:hAnsi="Arial"/>
                <w:sz w:val="15"/>
                <w:szCs w:val="15"/>
                <w:b w:val="1"/>
                <w:bCs w:val="1"/>
                <w:color w:val="auto"/>
                <w:w w:val="97"/>
              </w:rPr>
              <w:t>Weighted-Average</w:t>
            </w:r>
          </w:p>
        </w:tc>
        <w:tc>
          <w:tcPr>
            <w:tcW w:w="0" w:type="dxa"/>
            <w:vAlign w:val="bottom"/>
          </w:tcPr>
          <w:p>
            <w:pPr>
              <w:spacing w:after="0"/>
              <w:rPr>
                <w:sz w:val="1"/>
                <w:szCs w:val="1"/>
                <w:color w:val="auto"/>
              </w:rPr>
            </w:pPr>
          </w:p>
        </w:tc>
      </w:tr>
      <w:tr>
        <w:trPr>
          <w:trHeight w:val="123"/>
        </w:trPr>
        <w:tc>
          <w:tcPr>
            <w:tcW w:w="5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vMerge w:val="restart"/>
          </w:tcPr>
          <w:p>
            <w:pPr>
              <w:jc w:val="right"/>
              <w:ind w:right="276"/>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81"/>
        </w:trPr>
        <w:tc>
          <w:tcPr>
            <w:tcW w:w="5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240" w:type="dxa"/>
            <w:vAlign w:val="bottom"/>
            <w:gridSpan w:val="2"/>
          </w:tcPr>
          <w:p>
            <w:pPr>
              <w:ind w:left="42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52,636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124.76</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Vested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2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124.76</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47,623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fair value of common stock to be issued under the SMP was determined by estimating the discount for illiquidity using the Cost of Carry model,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Chaffe model and the Finnerty model with the following assumptions:</w:t>
      </w:r>
    </w:p>
    <w:p>
      <w:pPr>
        <w:spacing w:after="0" w:line="269" w:lineRule="exact"/>
        <w:rPr>
          <w:sz w:val="20"/>
          <w:szCs w:val="20"/>
          <w:color w:val="auto"/>
        </w:rPr>
      </w:pPr>
    </w:p>
    <w:tbl>
      <w:tblPr>
        <w:tblLayout w:type="fixed"/>
        <w:tblInd w:w="420" w:type="dxa"/>
        <w:tblCellMar>
          <w:top w:w="0" w:type="dxa"/>
          <w:left w:w="0" w:type="dxa"/>
          <w:bottom w:w="0" w:type="dxa"/>
          <w:right w:w="0" w:type="dxa"/>
        </w:tblCellMar>
      </w:tblPr>
      <w:tr>
        <w:trPr>
          <w:trHeight w:val="205"/>
        </w:trPr>
        <w:tc>
          <w:tcPr>
            <w:tcW w:w="5340" w:type="dxa"/>
            <w:vAlign w:val="bottom"/>
            <w:tcBorders>
              <w:bottom w:val="single" w:sz="8" w:color="CCEEFF"/>
            </w:tcBorders>
          </w:tcPr>
          <w:p>
            <w:pPr>
              <w:spacing w:after="0"/>
              <w:rPr>
                <w:sz w:val="17"/>
                <w:szCs w:val="17"/>
                <w:color w:val="auto"/>
              </w:rPr>
            </w:pPr>
          </w:p>
        </w:tc>
        <w:tc>
          <w:tcPr>
            <w:tcW w:w="28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Year ended December 31, 2022</w:t>
            </w:r>
          </w:p>
        </w:tc>
      </w:tr>
      <w:tr>
        <w:trPr>
          <w:trHeight w:val="215"/>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Dividend yield</w:t>
            </w:r>
          </w:p>
        </w:tc>
        <w:tc>
          <w:tcPr>
            <w:tcW w:w="28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r>
      <w:tr>
        <w:trPr>
          <w:trHeight w:val="218"/>
        </w:trPr>
        <w:tc>
          <w:tcPr>
            <w:tcW w:w="5340" w:type="dxa"/>
            <w:vAlign w:val="bottom"/>
          </w:tcPr>
          <w:p>
            <w:pPr>
              <w:ind w:left="20"/>
              <w:spacing w:after="0"/>
              <w:rPr>
                <w:sz w:val="20"/>
                <w:szCs w:val="20"/>
                <w:color w:val="auto"/>
              </w:rPr>
            </w:pPr>
            <w:r>
              <w:rPr>
                <w:rFonts w:ascii="Arial" w:cs="Arial" w:eastAsia="Arial" w:hAnsi="Arial"/>
                <w:sz w:val="17"/>
                <w:szCs w:val="17"/>
                <w:color w:val="auto"/>
              </w:rPr>
              <w:t>Expected life (years)</w:t>
            </w:r>
          </w:p>
        </w:tc>
        <w:tc>
          <w:tcPr>
            <w:tcW w:w="2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interest rate for expected life</w:t>
            </w:r>
          </w:p>
        </w:tc>
        <w:tc>
          <w:tcPr>
            <w:tcW w:w="2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r>
      <w:tr>
        <w:trPr>
          <w:trHeight w:val="218"/>
        </w:trPr>
        <w:tc>
          <w:tcPr>
            <w:tcW w:w="5340" w:type="dxa"/>
            <w:vAlign w:val="bottom"/>
          </w:tcPr>
          <w:p>
            <w:pPr>
              <w:ind w:left="20"/>
              <w:spacing w:after="0"/>
              <w:rPr>
                <w:sz w:val="20"/>
                <w:szCs w:val="20"/>
                <w:color w:val="auto"/>
              </w:rPr>
            </w:pPr>
            <w:r>
              <w:rPr>
                <w:rFonts w:ascii="Arial" w:cs="Arial" w:eastAsia="Arial" w:hAnsi="Arial"/>
                <w:sz w:val="17"/>
                <w:szCs w:val="17"/>
                <w:color w:val="auto"/>
              </w:rPr>
              <w:t>Volatility for expected life</w:t>
            </w:r>
          </w:p>
        </w:tc>
        <w:tc>
          <w:tcPr>
            <w:tcW w:w="2840" w:type="dxa"/>
            <w:vAlign w:val="bottom"/>
          </w:tcPr>
          <w:p>
            <w:pPr>
              <w:jc w:val="right"/>
              <w:spacing w:after="0"/>
              <w:rPr>
                <w:sz w:val="20"/>
                <w:szCs w:val="20"/>
                <w:color w:val="auto"/>
              </w:rPr>
            </w:pPr>
            <w:r>
              <w:rPr>
                <w:rFonts w:ascii="Arial" w:cs="Arial" w:eastAsia="Arial" w:hAnsi="Arial"/>
                <w:sz w:val="17"/>
                <w:szCs w:val="17"/>
                <w:color w:val="auto"/>
              </w:rPr>
              <w:t>32.3 %</w:t>
            </w:r>
          </w:p>
        </w:tc>
      </w:tr>
      <w:tr>
        <w:trPr>
          <w:trHeight w:val="22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for illiquidity</w:t>
            </w:r>
          </w:p>
        </w:tc>
        <w:tc>
          <w:tcPr>
            <w:tcW w:w="2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r>
    </w:tbl>
    <w:p>
      <w:pPr>
        <w:spacing w:after="0" w:line="220" w:lineRule="exact"/>
        <w:rPr>
          <w:sz w:val="20"/>
          <w:szCs w:val="20"/>
          <w:color w:val="auto"/>
        </w:rPr>
      </w:pPr>
    </w:p>
    <w:p>
      <w:pPr>
        <w:ind w:right="1040" w:firstLine="425"/>
        <w:spacing w:after="0" w:line="443" w:lineRule="auto"/>
        <w:rPr>
          <w:sz w:val="20"/>
          <w:szCs w:val="20"/>
          <w:color w:val="auto"/>
        </w:rPr>
      </w:pPr>
      <w:r>
        <w:rPr>
          <w:rFonts w:ascii="Arial" w:cs="Arial" w:eastAsia="Arial" w:hAnsi="Arial"/>
          <w:sz w:val="17"/>
          <w:szCs w:val="17"/>
          <w:color w:val="auto"/>
        </w:rPr>
        <w:t xml:space="preserve">As of December 31, 2022, unrecognized compensation cost of $4,451 is expected to be expensed over a weighted average period of 2.3 years. </w:t>
      </w:r>
      <w:r>
        <w:rPr>
          <w:rFonts w:ascii="Arial" w:cs="Arial" w:eastAsia="Arial" w:hAnsi="Arial"/>
          <w:sz w:val="17"/>
          <w:szCs w:val="17"/>
          <w:b w:val="1"/>
          <w:bCs w:val="1"/>
          <w:color w:val="auto"/>
        </w:rPr>
        <w:t>Restricted Stock Units</w:t>
      </w:r>
    </w:p>
    <w:p>
      <w:pPr>
        <w:jc w:val="both"/>
        <w:ind w:firstLine="425"/>
        <w:spacing w:after="0" w:line="266" w:lineRule="auto"/>
        <w:rPr>
          <w:sz w:val="20"/>
          <w:szCs w:val="20"/>
          <w:color w:val="auto"/>
        </w:rPr>
      </w:pPr>
      <w:r>
        <w:rPr>
          <w:rFonts w:ascii="Arial" w:cs="Arial" w:eastAsia="Arial" w:hAnsi="Arial"/>
          <w:sz w:val="17"/>
          <w:szCs w:val="17"/>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11" w:lineRule="exact"/>
        <w:rPr>
          <w:sz w:val="20"/>
          <w:szCs w:val="20"/>
          <w:color w:val="auto"/>
        </w:rPr>
      </w:pPr>
    </w:p>
    <w:p>
      <w:pPr>
        <w:jc w:val="both"/>
        <w:ind w:firstLine="425"/>
        <w:spacing w:after="0" w:line="244" w:lineRule="auto"/>
        <w:rPr>
          <w:sz w:val="20"/>
          <w:szCs w:val="20"/>
          <w:color w:val="auto"/>
        </w:rPr>
      </w:pPr>
      <w:r>
        <w:rPr>
          <w:rFonts w:ascii="Arial" w:cs="Arial" w:eastAsia="Arial" w:hAnsi="Arial"/>
          <w:sz w:val="17"/>
          <w:szCs w:val="17"/>
          <w:color w:val="auto"/>
        </w:rPr>
        <w:t>Any cash or in-kind dividends paid with respect to unvested shares of restricted stock units are withheld by the Company and paid to the holder of such shares of restricted stock, without interest, only if and when such shares of restricted stock units vest. Any unvested shares of restricted stock units are immediately forfeited without consideration upon the termination of holder’s employment with the Company or its affiliates. Accordingly, the Company’s unvested restricted stock units do not include non-forfeitable rights to dividends or dividend equivalents and are therefore not considered as participating securities for purposes of earnings per share calculations pursuant to the two-class method.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Restricted stock unit activity under the Company’s stock-based compensation plans is shown below:</w:t>
      </w:r>
    </w:p>
    <w:p>
      <w:pPr>
        <w:spacing w:after="0" w:line="203" w:lineRule="exact"/>
        <w:rPr>
          <w:sz w:val="20"/>
          <w:szCs w:val="20"/>
          <w:color w:val="auto"/>
        </w:rPr>
      </w:pPr>
    </w:p>
    <w:tbl>
      <w:tblPr>
        <w:tblLayout w:type="fixed"/>
        <w:tblInd w:w="1600" w:type="dxa"/>
        <w:tblCellMar>
          <w:top w:w="0" w:type="dxa"/>
          <w:left w:w="0" w:type="dxa"/>
          <w:bottom w:w="0" w:type="dxa"/>
          <w:right w:w="0" w:type="dxa"/>
        </w:tblCellMar>
      </w:tblPr>
      <w:tr>
        <w:trPr>
          <w:trHeight w:val="205"/>
        </w:trPr>
        <w:tc>
          <w:tcPr>
            <w:tcW w:w="5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5"/>
                <w:szCs w:val="15"/>
                <w:b w:val="1"/>
                <w:bCs w:val="1"/>
                <w:color w:val="auto"/>
              </w:rPr>
              <w:t>Restricted Stock Units</w:t>
            </w:r>
          </w:p>
        </w:tc>
        <w:tc>
          <w:tcPr>
            <w:tcW w:w="0" w:type="dxa"/>
            <w:vAlign w:val="bottom"/>
          </w:tcPr>
          <w:p>
            <w:pPr>
              <w:spacing w:after="0"/>
              <w:rPr>
                <w:sz w:val="1"/>
                <w:szCs w:val="1"/>
                <w:color w:val="auto"/>
              </w:rPr>
            </w:pPr>
          </w:p>
        </w:tc>
      </w:tr>
      <w:tr>
        <w:trPr>
          <w:trHeight w:val="150"/>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Number</w:t>
            </w:r>
          </w:p>
        </w:tc>
        <w:tc>
          <w:tcPr>
            <w:tcW w:w="220" w:type="dxa"/>
            <w:vAlign w:val="bottom"/>
          </w:tcPr>
          <w:p>
            <w:pPr>
              <w:spacing w:after="0"/>
              <w:rPr>
                <w:sz w:val="13"/>
                <w:szCs w:val="13"/>
                <w:color w:val="auto"/>
              </w:rPr>
            </w:pPr>
          </w:p>
        </w:tc>
        <w:tc>
          <w:tcPr>
            <w:tcW w:w="1160" w:type="dxa"/>
            <w:vAlign w:val="bottom"/>
          </w:tcPr>
          <w:p>
            <w:pPr>
              <w:jc w:val="center"/>
              <w:ind w:right="137"/>
              <w:spacing w:after="0" w:line="151" w:lineRule="exact"/>
              <w:rPr>
                <w:sz w:val="20"/>
                <w:szCs w:val="20"/>
                <w:color w:val="auto"/>
              </w:rPr>
            </w:pPr>
            <w:r>
              <w:rPr>
                <w:rFonts w:ascii="Arial" w:cs="Arial" w:eastAsia="Arial" w:hAnsi="Arial"/>
                <w:sz w:val="15"/>
                <w:szCs w:val="15"/>
                <w:b w:val="1"/>
                <w:bCs w:val="1"/>
                <w:color w:val="auto"/>
                <w:w w:val="90"/>
              </w:rPr>
              <w:t>Weighted-</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7"/>
              <w:spacing w:after="0" w:line="155" w:lineRule="exact"/>
              <w:rPr>
                <w:sz w:val="20"/>
                <w:szCs w:val="20"/>
                <w:color w:val="auto"/>
              </w:rPr>
            </w:pPr>
            <w:r>
              <w:rPr>
                <w:rFonts w:ascii="Arial" w:cs="Arial" w:eastAsia="Arial" w:hAnsi="Arial"/>
                <w:sz w:val="15"/>
                <w:szCs w:val="15"/>
                <w:b w:val="1"/>
                <w:bCs w:val="1"/>
                <w:color w:val="auto"/>
                <w:w w:val="91"/>
              </w:rPr>
              <w:t>Average</w:t>
            </w:r>
          </w:p>
        </w:tc>
        <w:tc>
          <w:tcPr>
            <w:tcW w:w="0" w:type="dxa"/>
            <w:vAlign w:val="bottom"/>
          </w:tcPr>
          <w:p>
            <w:pPr>
              <w:spacing w:after="0"/>
              <w:rPr>
                <w:sz w:val="1"/>
                <w:szCs w:val="1"/>
                <w:color w:val="auto"/>
              </w:rPr>
            </w:pPr>
          </w:p>
        </w:tc>
      </w:tr>
      <w:tr>
        <w:trPr>
          <w:trHeight w:val="204"/>
        </w:trPr>
        <w:tc>
          <w:tcPr>
            <w:tcW w:w="5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214"/>
        </w:trPr>
        <w:tc>
          <w:tcPr>
            <w:tcW w:w="522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7"/>
                <w:szCs w:val="17"/>
                <w:color w:val="auto"/>
              </w:rPr>
              <w:t>Outstanding as of December 31, 2021</w:t>
            </w:r>
            <w:r>
              <w:rPr>
                <w:rFonts w:ascii="Arial" w:cs="Arial" w:eastAsia="Arial" w:hAnsi="Arial"/>
                <w:sz w:val="22"/>
                <w:szCs w:val="22"/>
                <w:color w:val="auto"/>
                <w:vertAlign w:val="superscript"/>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982,187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81.61</w:t>
            </w:r>
          </w:p>
        </w:tc>
        <w:tc>
          <w:tcPr>
            <w:tcW w:w="0" w:type="dxa"/>
            <w:vAlign w:val="bottom"/>
          </w:tcPr>
          <w:p>
            <w:pPr>
              <w:spacing w:after="0"/>
              <w:rPr>
                <w:sz w:val="1"/>
                <w:szCs w:val="1"/>
                <w:color w:val="auto"/>
              </w:rPr>
            </w:pPr>
          </w:p>
        </w:tc>
      </w:tr>
      <w:tr>
        <w:trPr>
          <w:trHeight w:val="218"/>
        </w:trPr>
        <w:tc>
          <w:tcPr>
            <w:tcW w:w="5220" w:type="dxa"/>
            <w:vAlign w:val="bottom"/>
            <w:gridSpan w:val="2"/>
          </w:tcPr>
          <w:p>
            <w:pPr>
              <w:ind w:left="42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358,764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121.38</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(327,450)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73.30</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(90,375)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94.96</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Outstanding as of December 31, 2022</w:t>
            </w:r>
            <w:r>
              <w:rPr>
                <w:rFonts w:ascii="Arial" w:cs="Arial" w:eastAsia="Arial" w:hAnsi="Arial"/>
                <w:sz w:val="22"/>
                <w:szCs w:val="22"/>
                <w:color w:val="auto"/>
                <w:vertAlign w:val="superscript"/>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923,126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98.71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160" w:hanging="157"/>
        <w:spacing w:after="0" w:line="283" w:lineRule="auto"/>
        <w:tabs>
          <w:tab w:leader="none" w:pos="131" w:val="left"/>
        </w:tabs>
        <w:numPr>
          <w:ilvl w:val="0"/>
          <w:numId w:val="43"/>
        </w:numPr>
        <w:rPr>
          <w:rFonts w:ascii="Arial" w:cs="Arial" w:eastAsia="Arial" w:hAnsi="Arial"/>
          <w:sz w:val="15"/>
          <w:szCs w:val="15"/>
          <w:i w:val="1"/>
          <w:iCs w:val="1"/>
          <w:color w:val="auto"/>
        </w:rPr>
      </w:pPr>
      <w:r>
        <w:rPr>
          <w:rFonts w:ascii="Arial" w:cs="Arial" w:eastAsia="Arial" w:hAnsi="Arial"/>
          <w:sz w:val="15"/>
          <w:szCs w:val="15"/>
          <w:i w:val="1"/>
          <w:iCs w:val="1"/>
          <w:color w:val="auto"/>
        </w:rPr>
        <w:t>Includes 12,009 and 18,904 restricted stock units vested during the years ended December 31, 2022 and 2021, respectively, for which the underlying common stock is yet to be issued.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As of December 31, 2022 and 2021, restricted stock units vested for which the underlying common stock is yet to be issued are 174,490 and 162,481, respectively.</w:t>
      </w:r>
    </w:p>
    <w:p>
      <w:pPr>
        <w:spacing w:after="0" w:line="158"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The fair value of restricted stock units is generally the market price of the Company’s shares on the date of grant. As of December 31, 2022, unrecognized compensation cost of $59,182 is expected to be expensed over a weighted average period of 2.3 years.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weighted-average fair value of restricted stock units granted was as follows:</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ind w:left="80"/>
              <w:spacing w:after="0"/>
              <w:rPr>
                <w:sz w:val="20"/>
                <w:szCs w:val="20"/>
                <w:color w:val="auto"/>
              </w:rPr>
            </w:pPr>
            <w:r>
              <w:rPr>
                <w:rFonts w:ascii="Arial" w:cs="Arial" w:eastAsia="Arial" w:hAnsi="Arial"/>
                <w:sz w:val="15"/>
                <w:szCs w:val="15"/>
                <w:b w:val="1"/>
                <w:bCs w:val="1"/>
                <w:color w:val="auto"/>
              </w:rPr>
              <w:t>Year ended December 31,</w:t>
            </w:r>
          </w:p>
        </w:tc>
        <w:tc>
          <w:tcPr>
            <w:tcW w:w="13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0"/>
        </w:trPr>
        <w:tc>
          <w:tcPr>
            <w:tcW w:w="40" w:type="dxa"/>
            <w:vAlign w:val="bottom"/>
          </w:tcPr>
          <w:p>
            <w:pPr>
              <w:spacing w:after="0"/>
              <w:rPr>
                <w:sz w:val="17"/>
                <w:szCs w:val="17"/>
                <w:color w:val="auto"/>
              </w:rPr>
            </w:pPr>
          </w:p>
        </w:tc>
        <w:tc>
          <w:tcPr>
            <w:tcW w:w="54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8"/>
              <w:spacing w:after="0"/>
              <w:rPr>
                <w:sz w:val="20"/>
                <w:szCs w:val="20"/>
                <w:color w:val="auto"/>
              </w:rPr>
            </w:pPr>
            <w:r>
              <w:rPr>
                <w:rFonts w:ascii="Arial" w:cs="Arial" w:eastAsia="Arial" w:hAnsi="Arial"/>
                <w:sz w:val="15"/>
                <w:szCs w:val="15"/>
                <w:b w:val="1"/>
                <w:bCs w:val="1"/>
                <w:color w:val="auto"/>
              </w:rPr>
              <w:t>2020</w:t>
            </w:r>
          </w:p>
        </w:tc>
        <w:tc>
          <w:tcPr>
            <w:tcW w:w="40" w:type="dxa"/>
            <w:vAlign w:val="bottom"/>
          </w:tcPr>
          <w:p>
            <w:pPr>
              <w:spacing w:after="0"/>
              <w:rPr>
                <w:sz w:val="17"/>
                <w:szCs w:val="17"/>
                <w:color w:val="auto"/>
              </w:rPr>
            </w:pPr>
          </w:p>
        </w:tc>
      </w:tr>
      <w:tr>
        <w:trPr>
          <w:trHeight w:val="214"/>
        </w:trPr>
        <w:tc>
          <w:tcPr>
            <w:tcW w:w="40" w:type="dxa"/>
            <w:vAlign w:val="bottom"/>
          </w:tcPr>
          <w:p>
            <w:pPr>
              <w:spacing w:after="0"/>
              <w:rPr>
                <w:sz w:val="18"/>
                <w:szCs w:val="18"/>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fair value</w:t>
            </w: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121.38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76.99</w:t>
            </w:r>
          </w:p>
        </w:tc>
        <w:tc>
          <w:tcPr>
            <w:tcW w:w="40" w:type="dxa"/>
            <w:vAlign w:val="bottom"/>
          </w:tcPr>
          <w:p>
            <w:pPr>
              <w:spacing w:after="0"/>
              <w:rPr>
                <w:sz w:val="18"/>
                <w:szCs w:val="18"/>
                <w:color w:val="auto"/>
              </w:rPr>
            </w:pPr>
          </w:p>
        </w:tc>
      </w:tr>
      <w:tr>
        <w:trPr>
          <w:trHeight w:val="450"/>
        </w:trPr>
        <w:tc>
          <w:tcPr>
            <w:tcW w:w="5480" w:type="dxa"/>
            <w:vAlign w:val="bottom"/>
            <w:gridSpan w:val="3"/>
          </w:tcPr>
          <w:p>
            <w:pPr>
              <w:spacing w:after="0"/>
              <w:rPr>
                <w:sz w:val="20"/>
                <w:szCs w:val="20"/>
                <w:color w:val="auto"/>
              </w:rPr>
            </w:pPr>
            <w:r>
              <w:rPr>
                <w:rFonts w:ascii="Arial" w:cs="Arial" w:eastAsia="Arial" w:hAnsi="Arial"/>
                <w:sz w:val="17"/>
                <w:szCs w:val="17"/>
                <w:color w:val="auto"/>
                <w:w w:val="95"/>
              </w:rPr>
              <w:t>The total grant date fair value of restricted stock units vested was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6"/>
        </w:trPr>
        <w:tc>
          <w:tcPr>
            <w:tcW w:w="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ind w:left="80"/>
              <w:spacing w:after="0"/>
              <w:rPr>
                <w:sz w:val="20"/>
                <w:szCs w:val="20"/>
                <w:color w:val="auto"/>
              </w:rPr>
            </w:pPr>
            <w:r>
              <w:rPr>
                <w:rFonts w:ascii="Arial" w:cs="Arial" w:eastAsia="Arial" w:hAnsi="Arial"/>
                <w:sz w:val="15"/>
                <w:szCs w:val="15"/>
                <w:b w:val="1"/>
                <w:bCs w:val="1"/>
                <w:color w:val="auto"/>
              </w:rPr>
              <w:t>Year ended December 31,</w:t>
            </w:r>
          </w:p>
        </w:tc>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00"/>
        </w:trPr>
        <w:tc>
          <w:tcPr>
            <w:tcW w:w="40" w:type="dxa"/>
            <w:vAlign w:val="bottom"/>
          </w:tcPr>
          <w:p>
            <w:pPr>
              <w:spacing w:after="0"/>
              <w:rPr>
                <w:sz w:val="17"/>
                <w:szCs w:val="17"/>
                <w:color w:val="auto"/>
              </w:rPr>
            </w:pPr>
          </w:p>
        </w:tc>
        <w:tc>
          <w:tcPr>
            <w:tcW w:w="54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5"/>
                <w:szCs w:val="15"/>
                <w:b w:val="1"/>
                <w:bCs w:val="1"/>
                <w:color w:val="auto"/>
              </w:rPr>
              <w:t>2021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8"/>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auto"/>
            </w:tcBorders>
          </w:tcPr>
          <w:p>
            <w:pPr>
              <w:spacing w:after="0"/>
              <w:rPr>
                <w:sz w:val="17"/>
                <w:szCs w:val="17"/>
                <w:color w:val="auto"/>
              </w:rPr>
            </w:pPr>
          </w:p>
        </w:tc>
      </w:tr>
      <w:tr>
        <w:trPr>
          <w:trHeight w:val="214"/>
        </w:trPr>
        <w:tc>
          <w:tcPr>
            <w:tcW w:w="40" w:type="dxa"/>
            <w:vAlign w:val="bottom"/>
          </w:tcPr>
          <w:p>
            <w:pPr>
              <w:spacing w:after="0"/>
              <w:rPr>
                <w:sz w:val="18"/>
                <w:szCs w:val="18"/>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grant date fair value</w:t>
            </w: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24,002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20,072</w:t>
            </w:r>
          </w:p>
        </w:tc>
        <w:tc>
          <w:tcPr>
            <w:tcW w:w="40" w:type="dxa"/>
            <w:vAlign w:val="bottom"/>
            <w:shd w:val="clear" w:color="auto" w:fill="CCEEFF"/>
          </w:tcPr>
          <w:p>
            <w:pPr>
              <w:spacing w:after="0"/>
              <w:rPr>
                <w:sz w:val="18"/>
                <w:szCs w:val="18"/>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Based Stock Awards</w:t>
      </w:r>
    </w:p>
    <w:p>
      <w:pPr>
        <w:spacing w:after="0" w:line="159" w:lineRule="exact"/>
        <w:rPr>
          <w:sz w:val="20"/>
          <w:szCs w:val="20"/>
          <w:color w:val="auto"/>
        </w:rPr>
      </w:pPr>
    </w:p>
    <w:p>
      <w:pPr>
        <w:ind w:right="80" w:firstLine="387"/>
        <w:spacing w:after="0"/>
        <w:rPr>
          <w:sz w:val="20"/>
          <w:szCs w:val="20"/>
          <w:color w:val="auto"/>
        </w:rPr>
      </w:pPr>
      <w:r>
        <w:rPr>
          <w:rFonts w:ascii="Arial" w:cs="Arial" w:eastAsia="Arial" w:hAnsi="Arial"/>
          <w:sz w:val="17"/>
          <w:szCs w:val="17"/>
          <w:color w:val="auto"/>
        </w:rPr>
        <w:t>Under the 2018 Plan, the Company grants performance-based restricted stock units (“PRSUs”) to executive officers and other specified employees. During the year ended December 31, 2022, the Company granted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the total shareholder return relative to a group of peer companies specified under the 2018 Plan, and are measured over a three-year performance period (“MU”).</w:t>
      </w:r>
    </w:p>
    <w:p>
      <w:pPr>
        <w:spacing w:after="0" w:line="144"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6"/>
          <w:szCs w:val="16"/>
          <w:color w:val="auto"/>
        </w:rPr>
        <w:t>The fair value of each PU is determined based on the market price of one common share on a day prior to the date of grant, and the associated stock compensation expense is calculated on the basis that performance targets at 100% are probable of being achieved. The stock compensation expense for the PUs is recognized on a straight-line basis over the service period, which is through the end of the third year. Over this period, the number of shares that will be issued are adjusted upward or downward based upon the probability of achievement of the performance targets. The final number of shares issued and the related compensation cost recognized as an expense is based on a comparison of the final performance metrics to the specified targets.</w:t>
      </w:r>
    </w:p>
    <w:p>
      <w:pPr>
        <w:spacing w:after="0" w:line="117"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The grant date fair value for each MU is determined using a Monte Carlo simulation model and the related stock compensation expense is expensed on a straight-line basis over the vesting period. The stock compensation expense related to the MUs is recognized once the requisite performance period is fulfilled regardless of the extent of the market condition achieved.</w:t>
      </w:r>
    </w:p>
    <w:p>
      <w:pPr>
        <w:spacing w:after="0" w:line="124"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The Monte Carlo simulation model simulates a range of possible future stock prices and estimates the probabilities of the potential payouts. This model also incorporates the following ranges of assumptions:</w:t>
      </w:r>
    </w:p>
    <w:p>
      <w:pPr>
        <w:spacing w:after="0" w:line="113" w:lineRule="exact"/>
        <w:rPr>
          <w:sz w:val="20"/>
          <w:szCs w:val="20"/>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historical volatilities are used over the most recent three-year period for the components of the peer group.</w:t>
      </w:r>
    </w:p>
    <w:p>
      <w:pPr>
        <w:spacing w:after="0" w:line="204" w:lineRule="exact"/>
        <w:rPr>
          <w:rFonts w:ascii="Arial" w:cs="Arial" w:eastAsia="Arial" w:hAnsi="Arial"/>
          <w:sz w:val="17"/>
          <w:szCs w:val="17"/>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risk-free interest rate is based on the U.S. Treasury rate assumption commensurate with the three-year performance period.</w:t>
      </w:r>
    </w:p>
    <w:p>
      <w:pPr>
        <w:spacing w:after="0" w:line="178" w:lineRule="exact"/>
        <w:rPr>
          <w:rFonts w:ascii="Arial" w:cs="Arial" w:eastAsia="Arial" w:hAnsi="Arial"/>
          <w:sz w:val="17"/>
          <w:szCs w:val="17"/>
          <w:color w:val="auto"/>
        </w:rPr>
      </w:pPr>
    </w:p>
    <w:p>
      <w:pPr>
        <w:ind w:left="620" w:right="160" w:hanging="307"/>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Since the plan stipulates that the awards are based upon the TSR of the Company and the components of the peer group, it is assumed that the dividends get reinvested in the issuing entity on a continuous basis.</w:t>
      </w:r>
    </w:p>
    <w:p>
      <w:pPr>
        <w:spacing w:after="0" w:line="112" w:lineRule="exact"/>
        <w:rPr>
          <w:rFonts w:ascii="Arial" w:cs="Arial" w:eastAsia="Arial" w:hAnsi="Arial"/>
          <w:sz w:val="17"/>
          <w:szCs w:val="17"/>
          <w:color w:val="auto"/>
        </w:rPr>
      </w:pPr>
    </w:p>
    <w:p>
      <w:pPr>
        <w:ind w:left="620" w:right="200" w:hanging="307"/>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correlation coefficients are used to model the way in which each entity tends to move in relation to each other are based upon the price data used to calculate the historical volatilities.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ind w:left="8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fair value of each MU granted to employees is estimated on the date of grant using the following weighted average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8"/>
          </w:tcPr>
          <w:p>
            <w:pPr>
              <w:ind w:left="1020"/>
              <w:spacing w:after="0"/>
              <w:rPr>
                <w:sz w:val="20"/>
                <w:szCs w:val="20"/>
                <w:color w:val="auto"/>
              </w:rPr>
            </w:pPr>
            <w:r>
              <w:rPr>
                <w:rFonts w:ascii="Arial" w:cs="Arial" w:eastAsia="Arial" w:hAnsi="Arial"/>
                <w:sz w:val="15"/>
                <w:szCs w:val="15"/>
                <w:b w:val="1"/>
                <w:bCs w:val="1"/>
                <w:color w:val="auto"/>
                <w:w w:val="91"/>
              </w:rPr>
              <w:t>Year ended December 31,</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ind w:right="478"/>
              <w:spacing w:after="0"/>
              <w:rPr>
                <w:sz w:val="20"/>
                <w:szCs w:val="20"/>
                <w:color w:val="auto"/>
              </w:rPr>
            </w:pPr>
            <w:r>
              <w:rPr>
                <w:rFonts w:ascii="Arial" w:cs="Arial" w:eastAsia="Arial" w:hAnsi="Arial"/>
                <w:sz w:val="15"/>
                <w:szCs w:val="15"/>
                <w:b w:val="1"/>
                <w:bCs w:val="1"/>
                <w:color w:val="auto"/>
              </w:rPr>
              <w:t>2021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7"/>
                <w:szCs w:val="17"/>
                <w:color w:val="auto"/>
              </w:rPr>
              <w:t>Expected life (years)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 free interest rate for expected life</w:t>
            </w: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7"/>
                <w:szCs w:val="17"/>
                <w:color w:val="auto"/>
              </w:rPr>
              <w:t>Volatility for expected life</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38.3 %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65.2 %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5100" w:type="dxa"/>
            <w:vAlign w:val="bottom"/>
            <w:gridSpan w:val="3"/>
          </w:tcPr>
          <w:p>
            <w:pPr>
              <w:ind w:left="500"/>
              <w:spacing w:after="0"/>
              <w:rPr>
                <w:sz w:val="20"/>
                <w:szCs w:val="20"/>
                <w:color w:val="auto"/>
              </w:rPr>
            </w:pPr>
            <w:r>
              <w:rPr>
                <w:rFonts w:ascii="Arial" w:cs="Arial" w:eastAsia="Arial" w:hAnsi="Arial"/>
                <w:sz w:val="17"/>
                <w:szCs w:val="17"/>
                <w:color w:val="auto"/>
                <w:w w:val="94"/>
              </w:rPr>
              <w:t>PRSU activity under the Company’s stock plans is shown below:</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7"/>
          </w:tcPr>
          <w:p>
            <w:pPr>
              <w:ind w:left="340"/>
              <w:spacing w:after="0"/>
              <w:rPr>
                <w:sz w:val="20"/>
                <w:szCs w:val="20"/>
                <w:color w:val="auto"/>
              </w:rPr>
            </w:pPr>
            <w:r>
              <w:rPr>
                <w:rFonts w:ascii="Arial" w:cs="Arial" w:eastAsia="Arial" w:hAnsi="Arial"/>
                <w:sz w:val="15"/>
                <w:szCs w:val="15"/>
                <w:b w:val="1"/>
                <w:bCs w:val="1"/>
                <w:color w:val="auto"/>
              </w:rPr>
              <w:t>Revenue Based PRSUs</w:t>
            </w:r>
          </w:p>
        </w:tc>
        <w:tc>
          <w:tcPr>
            <w:tcW w:w="60" w:type="dxa"/>
            <w:vAlign w:val="bottom"/>
          </w:tcPr>
          <w:p>
            <w:pPr>
              <w:spacing w:after="0"/>
              <w:rPr>
                <w:sz w:val="24"/>
                <w:szCs w:val="24"/>
                <w:color w:val="auto"/>
              </w:rPr>
            </w:pPr>
          </w:p>
        </w:tc>
        <w:tc>
          <w:tcPr>
            <w:tcW w:w="2840" w:type="dxa"/>
            <w:vAlign w:val="bottom"/>
            <w:gridSpan w:val="6"/>
          </w:tcPr>
          <w:p>
            <w:pPr>
              <w:jc w:val="right"/>
              <w:ind w:right="256"/>
              <w:spacing w:after="0"/>
              <w:rPr>
                <w:sz w:val="20"/>
                <w:szCs w:val="20"/>
                <w:color w:val="auto"/>
              </w:rPr>
            </w:pPr>
            <w:r>
              <w:rPr>
                <w:rFonts w:ascii="Arial" w:cs="Arial" w:eastAsia="Arial" w:hAnsi="Arial"/>
                <w:sz w:val="15"/>
                <w:szCs w:val="15"/>
                <w:b w:val="1"/>
                <w:bCs w:val="1"/>
                <w:color w:val="auto"/>
              </w:rPr>
              <w:t>Market Condition Based PRSUs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5"/>
                <w:szCs w:val="15"/>
                <w:b w:val="1"/>
                <w:bCs w:val="1"/>
                <w:color w:val="auto"/>
              </w:rPr>
              <w:t>Number</w:t>
            </w:r>
          </w:p>
        </w:tc>
        <w:tc>
          <w:tcPr>
            <w:tcW w:w="100" w:type="dxa"/>
            <w:vAlign w:val="bottom"/>
            <w:tcBorders>
              <w:top w:val="single" w:sz="8" w:color="auto"/>
            </w:tcBorders>
            <w:vMerge w:val="restart"/>
          </w:tcPr>
          <w:p>
            <w:pPr>
              <w:spacing w:after="0"/>
              <w:rPr>
                <w:sz w:val="13"/>
                <w:szCs w:val="13"/>
                <w:color w:val="auto"/>
              </w:rPr>
            </w:pPr>
          </w:p>
        </w:tc>
        <w:tc>
          <w:tcPr>
            <w:tcW w:w="1320" w:type="dxa"/>
            <w:vAlign w:val="bottom"/>
            <w:tcBorders>
              <w:top w:val="single" w:sz="8" w:color="auto"/>
            </w:tcBorders>
            <w:gridSpan w:val="3"/>
          </w:tcPr>
          <w:p>
            <w:pPr>
              <w:jc w:val="center"/>
              <w:ind w:right="20"/>
              <w:spacing w:after="0" w:line="151" w:lineRule="exact"/>
              <w:rPr>
                <w:sz w:val="20"/>
                <w:szCs w:val="20"/>
                <w:color w:val="auto"/>
              </w:rPr>
            </w:pPr>
            <w:r>
              <w:rPr>
                <w:rFonts w:ascii="Arial" w:cs="Arial" w:eastAsia="Arial" w:hAnsi="Arial"/>
                <w:sz w:val="15"/>
                <w:szCs w:val="15"/>
                <w:b w:val="1"/>
                <w:bCs w:val="1"/>
                <w:color w:val="auto"/>
                <w:w w:val="93"/>
              </w:rPr>
              <w:t>Weighted Average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Borders>
              <w:top w:val="single" w:sz="8" w:color="auto"/>
            </w:tcBorders>
            <w:gridSpan w:val="2"/>
            <w:vMerge w:val="restart"/>
          </w:tcPr>
          <w:p>
            <w:pPr>
              <w:jc w:val="right"/>
              <w:ind w:right="420"/>
              <w:spacing w:after="0"/>
              <w:rPr>
                <w:sz w:val="20"/>
                <w:szCs w:val="20"/>
                <w:color w:val="auto"/>
              </w:rPr>
            </w:pPr>
            <w:r>
              <w:rPr>
                <w:rFonts w:ascii="Arial" w:cs="Arial" w:eastAsia="Arial" w:hAnsi="Arial"/>
                <w:sz w:val="15"/>
                <w:szCs w:val="15"/>
                <w:b w:val="1"/>
                <w:bCs w:val="1"/>
                <w:color w:val="auto"/>
              </w:rPr>
              <w:t>Number</w:t>
            </w:r>
          </w:p>
        </w:tc>
        <w:tc>
          <w:tcPr>
            <w:tcW w:w="120" w:type="dxa"/>
            <w:vAlign w:val="bottom"/>
            <w:tcBorders>
              <w:top w:val="single" w:sz="8" w:color="auto"/>
            </w:tcBorders>
            <w:gridSpan w:val="2"/>
            <w:vMerge w:val="restart"/>
          </w:tcPr>
          <w:p>
            <w:pPr>
              <w:spacing w:after="0"/>
              <w:rPr>
                <w:sz w:val="13"/>
                <w:szCs w:val="13"/>
                <w:color w:val="auto"/>
              </w:rPr>
            </w:pPr>
          </w:p>
        </w:tc>
        <w:tc>
          <w:tcPr>
            <w:tcW w:w="134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5"/>
                <w:szCs w:val="15"/>
                <w:b w:val="1"/>
                <w:bCs w:val="1"/>
                <w:color w:val="auto"/>
                <w:w w:val="97"/>
              </w:rPr>
              <w:t>Weighted Average</w:t>
            </w:r>
          </w:p>
        </w:tc>
        <w:tc>
          <w:tcPr>
            <w:tcW w:w="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8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7"/>
              </w:rPr>
              <w:t>Fair Value</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Fair Value</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as of December 31, 2021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172,042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gridSpan w:val="3"/>
          </w:tcPr>
          <w:p>
            <w:pPr>
              <w:spacing w:after="0"/>
              <w:rPr>
                <w:sz w:val="20"/>
                <w:szCs w:val="20"/>
                <w:color w:val="auto"/>
              </w:rPr>
            </w:pPr>
            <w:r>
              <w:rPr>
                <w:rFonts w:ascii="Arial" w:cs="Arial" w:eastAsia="Arial" w:hAnsi="Arial"/>
                <w:sz w:val="17"/>
                <w:szCs w:val="17"/>
                <w:color w:val="auto"/>
              </w:rPr>
              <w:t>Granted</w:t>
            </w:r>
          </w:p>
        </w:tc>
        <w:tc>
          <w:tcPr>
            <w:tcW w:w="1000" w:type="dxa"/>
            <w:vAlign w:val="bottom"/>
          </w:tcPr>
          <w:p>
            <w:pPr>
              <w:jc w:val="right"/>
              <w:spacing w:after="0"/>
              <w:rPr>
                <w:sz w:val="20"/>
                <w:szCs w:val="20"/>
                <w:color w:val="auto"/>
              </w:rPr>
            </w:pPr>
            <w:r>
              <w:rPr>
                <w:rFonts w:ascii="Arial" w:cs="Arial" w:eastAsia="Arial" w:hAnsi="Arial"/>
                <w:sz w:val="17"/>
                <w:szCs w:val="17"/>
                <w:color w:val="auto"/>
              </w:rPr>
              <w:t>53,122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119.98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79,631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10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Adjustment upon final determination of level of performance goal</w:t>
            </w: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achievement*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54,727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gridSpan w:val="3"/>
          </w:tcPr>
          <w:p>
            <w:pPr>
              <w:spacing w:after="0"/>
              <w:rPr>
                <w:sz w:val="20"/>
                <w:szCs w:val="20"/>
                <w:color w:val="auto"/>
              </w:rPr>
            </w:pPr>
            <w:r>
              <w:rPr>
                <w:rFonts w:ascii="Arial" w:cs="Arial" w:eastAsia="Arial" w:hAnsi="Arial"/>
                <w:sz w:val="17"/>
                <w:szCs w:val="17"/>
                <w:color w:val="auto"/>
              </w:rPr>
              <w:t>Vested</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(54,741)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7"/>
                <w:szCs w:val="17"/>
                <w:color w:val="auto"/>
              </w:rPr>
              <w:t>(109,454)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Forfeited</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97.55</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(18,234)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126.21</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40" w:type="dxa"/>
            <w:vAlign w:val="bottom"/>
            <w:gridSpan w:val="2"/>
          </w:tcPr>
          <w:p>
            <w:pPr>
              <w:spacing w:after="0"/>
              <w:rPr>
                <w:sz w:val="20"/>
                <w:szCs w:val="20"/>
                <w:color w:val="auto"/>
              </w:rPr>
            </w:pPr>
            <w:r>
              <w:rPr>
                <w:rFonts w:ascii="Arial" w:cs="Arial" w:eastAsia="Arial" w:hAnsi="Arial"/>
                <w:sz w:val="17"/>
                <w:szCs w:val="17"/>
                <w:color w:val="auto"/>
              </w:rPr>
              <w:t>Outstanding as of December 31, 2022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49,591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119.99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178,712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80" w:firstLine="390"/>
        <w:spacing w:after="0" w:line="279" w:lineRule="auto"/>
        <w:tabs>
          <w:tab w:leader="none" w:pos="583" w:val="left"/>
        </w:tabs>
        <w:numPr>
          <w:ilvl w:val="0"/>
          <w:numId w:val="45"/>
        </w:numPr>
        <w:rPr>
          <w:rFonts w:ascii="Arial" w:cs="Arial" w:eastAsia="Arial" w:hAnsi="Arial"/>
          <w:sz w:val="15"/>
          <w:szCs w:val="15"/>
          <w:i w:val="1"/>
          <w:iCs w:val="1"/>
          <w:color w:val="auto"/>
        </w:rPr>
      </w:pPr>
      <w:r>
        <w:rPr>
          <w:rFonts w:ascii="Arial" w:cs="Arial" w:eastAsia="Arial" w:hAnsi="Arial"/>
          <w:sz w:val="17"/>
          <w:szCs w:val="17"/>
          <w:color w:val="auto"/>
        </w:rPr>
        <w:t>Represents adjustment of shares vested in respect of MUs granted in February 2020 upon achievement of the performance targets for such awards for which the underlying common stock was issued subsequent to December 31, 2022.</w:t>
      </w:r>
    </w:p>
    <w:p>
      <w:pPr>
        <w:spacing w:after="0" w:line="113" w:lineRule="exact"/>
        <w:rPr>
          <w:sz w:val="20"/>
          <w:szCs w:val="20"/>
          <w:color w:val="auto"/>
        </w:rPr>
      </w:pPr>
    </w:p>
    <w:p>
      <w:pPr>
        <w:ind w:left="80" w:right="960" w:firstLine="425"/>
        <w:spacing w:after="0" w:line="443" w:lineRule="auto"/>
        <w:rPr>
          <w:sz w:val="20"/>
          <w:szCs w:val="20"/>
          <w:color w:val="auto"/>
        </w:rPr>
      </w:pPr>
      <w:r>
        <w:rPr>
          <w:rFonts w:ascii="Arial" w:cs="Arial" w:eastAsia="Arial" w:hAnsi="Arial"/>
          <w:sz w:val="17"/>
          <w:szCs w:val="17"/>
          <w:color w:val="auto"/>
        </w:rPr>
        <w:t xml:space="preserve">As of December 31, 2022, unrecognized compensation cost of $20,066 is expected to be expensed over a weighted average period of 1.8 years. </w:t>
      </w:r>
      <w:r>
        <w:rPr>
          <w:rFonts w:ascii="Arial" w:cs="Arial" w:eastAsia="Arial" w:hAnsi="Arial"/>
          <w:sz w:val="17"/>
          <w:szCs w:val="17"/>
          <w:b w:val="1"/>
          <w:bCs w:val="1"/>
          <w:color w:val="auto"/>
        </w:rPr>
        <w:t>Employee Stock Purchase Plan</w:t>
      </w:r>
    </w:p>
    <w:p>
      <w:pPr>
        <w:jc w:val="both"/>
        <w:ind w:left="80" w:firstLine="425"/>
        <w:spacing w:after="0" w:line="279" w:lineRule="auto"/>
        <w:rPr>
          <w:sz w:val="20"/>
          <w:szCs w:val="20"/>
          <w:color w:val="auto"/>
        </w:rPr>
      </w:pPr>
      <w:r>
        <w:rPr>
          <w:rFonts w:ascii="Arial" w:cs="Arial" w:eastAsia="Arial" w:hAnsi="Arial"/>
          <w:sz w:val="17"/>
          <w:szCs w:val="17"/>
          <w:color w:val="auto"/>
        </w:rPr>
        <w:t>On June 21, 2022, at the annual meeting of stockholders of the Company, the Company’s stockholders approved the ExlService Holdings, Inc. 2022 Employee Stock Purchase Plan (the “2022 ESPP”).</w:t>
      </w:r>
    </w:p>
    <w:p>
      <w:pPr>
        <w:spacing w:after="0" w:line="113" w:lineRule="exact"/>
        <w:rPr>
          <w:sz w:val="20"/>
          <w:szCs w:val="20"/>
          <w:color w:val="auto"/>
        </w:rPr>
      </w:pPr>
    </w:p>
    <w:p>
      <w:pPr>
        <w:jc w:val="both"/>
        <w:ind w:left="80" w:firstLine="387"/>
        <w:spacing w:after="0" w:line="279" w:lineRule="auto"/>
        <w:rPr>
          <w:sz w:val="20"/>
          <w:szCs w:val="20"/>
          <w:color w:val="auto"/>
        </w:rPr>
      </w:pPr>
      <w:r>
        <w:rPr>
          <w:rFonts w:ascii="Arial" w:cs="Arial" w:eastAsia="Arial" w:hAnsi="Arial"/>
          <w:sz w:val="16"/>
          <w:szCs w:val="16"/>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first offering period under the 2022 ESPP commenced on October 1, 2022 with a term of three months. The Company has registered 800,000 shares of common stock to be reserved for issuance over the term of the 2022 ESPP.</w:t>
      </w:r>
    </w:p>
    <w:p>
      <w:pPr>
        <w:spacing w:after="0" w:line="181" w:lineRule="exact"/>
        <w:rPr>
          <w:sz w:val="20"/>
          <w:szCs w:val="20"/>
          <w:color w:val="auto"/>
        </w:rPr>
      </w:pPr>
    </w:p>
    <w:p>
      <w:pPr>
        <w:jc w:val="both"/>
        <w:ind w:left="80" w:firstLine="387"/>
        <w:spacing w:after="0" w:line="295" w:lineRule="auto"/>
        <w:rPr>
          <w:sz w:val="20"/>
          <w:szCs w:val="20"/>
          <w:color w:val="auto"/>
        </w:rPr>
      </w:pPr>
      <w:r>
        <w:rPr>
          <w:rFonts w:ascii="Arial" w:cs="Arial" w:eastAsia="Arial" w:hAnsi="Arial"/>
          <w:sz w:val="16"/>
          <w:szCs w:val="16"/>
          <w:color w:val="auto"/>
        </w:rPr>
        <w:t>As of December 31, 2022, 800,000 shares remain available for future issuance under the 2022 ESPP, of which 7,636 shares of common stock were eligible for purchase by employees for total proceeds of $1,060 for which the underlying common stock was issued subsequent to December 31, 2022.</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ESPP is compensatory and results in compensation expense. The fair value of common stock to be issued under the ESPP was determined using the</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7"/>
          <w:szCs w:val="17"/>
          <w:color w:val="auto"/>
        </w:rPr>
        <w:t>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67310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EXLSERVICE HOLDINGS, INC.</w:t>
      </w:r>
    </w:p>
    <w:p>
      <w:pPr>
        <w:spacing w:after="0" w:line="9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440" w:type="dxa"/>
            <w:vAlign w:val="bottom"/>
            <w:tcBorders>
              <w:bottom w:val="single" w:sz="8" w:color="CCEEFF"/>
            </w:tcBorders>
          </w:tcPr>
          <w:p>
            <w:pPr>
              <w:spacing w:after="0"/>
              <w:rPr>
                <w:sz w:val="17"/>
                <w:szCs w:val="17"/>
                <w:color w:val="auto"/>
              </w:rPr>
            </w:pPr>
          </w:p>
        </w:tc>
        <w:tc>
          <w:tcPr>
            <w:tcW w:w="28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Year ended December 31, 2022</w:t>
            </w:r>
          </w:p>
        </w:tc>
      </w:tr>
      <w:tr>
        <w:trPr>
          <w:trHeight w:val="215"/>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28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r>
      <w:tr>
        <w:trPr>
          <w:trHeight w:val="218"/>
        </w:trPr>
        <w:tc>
          <w:tcPr>
            <w:tcW w:w="5440" w:type="dxa"/>
            <w:vAlign w:val="bottom"/>
          </w:tcPr>
          <w:p>
            <w:pPr>
              <w:ind w:left="20"/>
              <w:spacing w:after="0"/>
              <w:rPr>
                <w:sz w:val="20"/>
                <w:szCs w:val="20"/>
                <w:color w:val="auto"/>
              </w:rPr>
            </w:pPr>
            <w:r>
              <w:rPr>
                <w:rFonts w:ascii="Arial" w:cs="Arial" w:eastAsia="Arial" w:hAnsi="Arial"/>
                <w:sz w:val="17"/>
                <w:szCs w:val="17"/>
                <w:color w:val="auto"/>
              </w:rPr>
              <w:t>Expected life (years)</w:t>
            </w:r>
          </w:p>
        </w:tc>
        <w:tc>
          <w:tcPr>
            <w:tcW w:w="284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interest rate for expected life</w:t>
            </w:r>
          </w:p>
        </w:tc>
        <w:tc>
          <w:tcPr>
            <w:tcW w:w="2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r>
      <w:tr>
        <w:trPr>
          <w:trHeight w:val="218"/>
        </w:trPr>
        <w:tc>
          <w:tcPr>
            <w:tcW w:w="5440" w:type="dxa"/>
            <w:vAlign w:val="bottom"/>
          </w:tcPr>
          <w:p>
            <w:pPr>
              <w:ind w:left="20"/>
              <w:spacing w:after="0"/>
              <w:rPr>
                <w:sz w:val="20"/>
                <w:szCs w:val="20"/>
                <w:color w:val="auto"/>
              </w:rPr>
            </w:pPr>
            <w:r>
              <w:rPr>
                <w:rFonts w:ascii="Arial" w:cs="Arial" w:eastAsia="Arial" w:hAnsi="Arial"/>
                <w:sz w:val="17"/>
                <w:szCs w:val="17"/>
                <w:color w:val="auto"/>
              </w:rPr>
              <w:t>Volatility for expected life</w:t>
            </w:r>
          </w:p>
        </w:tc>
        <w:tc>
          <w:tcPr>
            <w:tcW w:w="2840" w:type="dxa"/>
            <w:vAlign w:val="bottom"/>
          </w:tcPr>
          <w:p>
            <w:pPr>
              <w:jc w:val="right"/>
              <w:spacing w:after="0"/>
              <w:rPr>
                <w:sz w:val="20"/>
                <w:szCs w:val="20"/>
                <w:color w:val="auto"/>
              </w:rPr>
            </w:pPr>
            <w:r>
              <w:rPr>
                <w:rFonts w:ascii="Arial" w:cs="Arial" w:eastAsia="Arial" w:hAnsi="Arial"/>
                <w:sz w:val="17"/>
                <w:szCs w:val="17"/>
                <w:color w:val="auto"/>
              </w:rPr>
              <w:t>43.6 %</w:t>
            </w: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for illiquidity</w:t>
            </w:r>
          </w:p>
        </w:tc>
        <w:tc>
          <w:tcPr>
            <w:tcW w:w="2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9.9 %</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weighted-average fair value of employee stock purchase rights granted pursuant to the ESPP during the year ended December 31, 2022 was $20.53.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Related Party Disclosures</w:t>
      </w:r>
    </w:p>
    <w:p>
      <w:pPr>
        <w:spacing w:after="0" w:line="159" w:lineRule="exact"/>
        <w:rPr>
          <w:sz w:val="20"/>
          <w:szCs w:val="20"/>
          <w:color w:val="auto"/>
        </w:rPr>
      </w:pPr>
    </w:p>
    <w:p>
      <w:pPr>
        <w:jc w:val="both"/>
        <w:ind w:firstLine="425"/>
        <w:spacing w:after="0" w:line="282" w:lineRule="auto"/>
        <w:rPr>
          <w:sz w:val="20"/>
          <w:szCs w:val="20"/>
          <w:color w:val="auto"/>
        </w:rPr>
      </w:pPr>
      <w:r>
        <w:rPr>
          <w:rFonts w:ascii="Arial" w:cs="Arial" w:eastAsia="Arial" w:hAnsi="Arial"/>
          <w:sz w:val="16"/>
          <w:szCs w:val="16"/>
          <w:color w:val="auto"/>
        </w:rPr>
        <w:t>In April 2022, the Company entered into a service contract for providing analytics services to The Vanguard Group Inc., which beneficially owns more than 10% of the Company’s common stock as of December 31, 2022. During the year ended December 31, 2022, the Company recognized revenues, net of $2,258 related to this service contract. The Company had outstanding accounts receivable of $856 related to this service contract as of December 31, 2022.</w:t>
      </w:r>
    </w:p>
    <w:p>
      <w:pPr>
        <w:spacing w:after="0" w:line="164" w:lineRule="exact"/>
        <w:rPr>
          <w:sz w:val="20"/>
          <w:szCs w:val="20"/>
          <w:color w:val="auto"/>
        </w:rPr>
      </w:pPr>
    </w:p>
    <w:p>
      <w:pPr>
        <w:jc w:val="both"/>
        <w:ind w:firstLine="425"/>
        <w:spacing w:after="0" w:line="246" w:lineRule="auto"/>
        <w:rPr>
          <w:sz w:val="20"/>
          <w:szCs w:val="20"/>
          <w:color w:val="auto"/>
        </w:rPr>
      </w:pPr>
      <w:r>
        <w:rPr>
          <w:rFonts w:ascii="Arial" w:cs="Arial" w:eastAsia="Arial" w:hAnsi="Arial"/>
          <w:sz w:val="17"/>
          <w:szCs w:val="17"/>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 The Company settled the Notes on August 27, 2021. Refer to Note 18 - Borrowings to the consolidated financial statements for further details.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transactions with the Purchaser were recognized by the Company in connection with the Notes: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5"/>
        </w:trPr>
        <w:tc>
          <w:tcPr>
            <w:tcW w:w="6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5"/>
                <w:szCs w:val="15"/>
                <w:b w:val="1"/>
                <w:bCs w:val="1"/>
                <w:color w:val="auto"/>
              </w:rPr>
              <w:t>Year ended December 31</w:t>
            </w:r>
          </w:p>
        </w:tc>
      </w:tr>
      <w:tr>
        <w:trPr>
          <w:trHeight w:val="200"/>
        </w:trPr>
        <w:tc>
          <w:tcPr>
            <w:tcW w:w="6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98"/>
              <w:spacing w:after="0"/>
              <w:rPr>
                <w:sz w:val="20"/>
                <w:szCs w:val="20"/>
                <w:color w:val="auto"/>
              </w:rPr>
            </w:pPr>
            <w:r>
              <w:rPr>
                <w:rFonts w:ascii="Arial" w:cs="Arial" w:eastAsia="Arial" w:hAnsi="Arial"/>
                <w:sz w:val="15"/>
                <w:szCs w:val="15"/>
                <w:b w:val="1"/>
                <w:bCs w:val="1"/>
                <w:color w:val="auto"/>
              </w:rPr>
              <w:t>2021</w:t>
            </w:r>
          </w:p>
        </w:tc>
        <w:tc>
          <w:tcPr>
            <w:tcW w:w="360" w:type="dxa"/>
            <w:vAlign w:val="bottom"/>
          </w:tcPr>
          <w:p>
            <w:pPr>
              <w:spacing w:after="0"/>
              <w:rPr>
                <w:sz w:val="17"/>
                <w:szCs w:val="17"/>
                <w:color w:val="auto"/>
              </w:rPr>
            </w:pPr>
          </w:p>
        </w:tc>
        <w:tc>
          <w:tcPr>
            <w:tcW w:w="980" w:type="dxa"/>
            <w:vAlign w:val="bottom"/>
          </w:tcPr>
          <w:p>
            <w:pPr>
              <w:jc w:val="right"/>
              <w:ind w:right="396"/>
              <w:spacing w:after="0"/>
              <w:rPr>
                <w:sz w:val="20"/>
                <w:szCs w:val="20"/>
                <w:color w:val="auto"/>
              </w:rPr>
            </w:pPr>
            <w:r>
              <w:rPr>
                <w:rFonts w:ascii="Arial" w:cs="Arial" w:eastAsia="Arial" w:hAnsi="Arial"/>
                <w:sz w:val="15"/>
                <w:szCs w:val="15"/>
                <w:b w:val="1"/>
                <w:bCs w:val="1"/>
                <w:color w:val="auto"/>
              </w:rPr>
              <w:t>2020</w:t>
            </w:r>
          </w:p>
        </w:tc>
      </w:tr>
      <w:tr>
        <w:trPr>
          <w:trHeight w:val="221"/>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 of the Notes in cash</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3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300" w:type="dxa"/>
            <w:vAlign w:val="bottom"/>
          </w:tcPr>
          <w:p>
            <w:pPr>
              <w:ind w:left="20"/>
              <w:spacing w:after="0"/>
              <w:rPr>
                <w:sz w:val="20"/>
                <w:szCs w:val="20"/>
                <w:color w:val="auto"/>
              </w:rPr>
            </w:pPr>
            <w:r>
              <w:rPr>
                <w:rFonts w:ascii="Arial" w:cs="Arial" w:eastAsia="Arial" w:hAnsi="Arial"/>
                <w:sz w:val="17"/>
                <w:szCs w:val="17"/>
                <w:color w:val="auto"/>
              </w:rPr>
              <w:t>Repayment of the Notes in shares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36,742</w:t>
            </w:r>
          </w:p>
        </w:tc>
        <w:tc>
          <w:tcPr>
            <w:tcW w:w="36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on the Notes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3,442</w:t>
            </w:r>
          </w:p>
        </w:tc>
        <w:tc>
          <w:tcPr>
            <w:tcW w:w="3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5,250</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Commitments</w:t>
      </w:r>
    </w:p>
    <w:p>
      <w:pPr>
        <w:spacing w:after="0" w:line="165"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As of December 31, 2022 and 2021, the Company had committed to spend approximately $9,700 and $8,100, respectively, under agreements to purchase property and equipment. This amount is net of capital advances paid which are recognized in consolidated balance sheets as “Capital work in progress” under “Property and equipment, net.”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53" w:lineRule="exact"/>
        <w:rPr>
          <w:sz w:val="20"/>
          <w:szCs w:val="20"/>
          <w:color w:val="auto"/>
        </w:rPr>
      </w:pPr>
    </w:p>
    <w:p>
      <w:pPr>
        <w:jc w:val="both"/>
        <w:ind w:firstLine="425"/>
        <w:spacing w:after="0" w:line="263"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191" w:lineRule="exact"/>
        <w:rPr>
          <w:sz w:val="20"/>
          <w:szCs w:val="20"/>
          <w:color w:val="auto"/>
        </w:rPr>
      </w:pPr>
    </w:p>
    <w:p>
      <w:pPr>
        <w:jc w:val="both"/>
        <w:ind w:firstLine="425"/>
        <w:spacing w:after="0" w:line="264" w:lineRule="auto"/>
        <w:rPr>
          <w:sz w:val="20"/>
          <w:szCs w:val="20"/>
          <w:color w:val="auto"/>
        </w:rPr>
      </w:pPr>
      <w:r>
        <w:rPr>
          <w:rFonts w:ascii="Arial" w:cs="Arial" w:eastAsia="Arial" w:hAnsi="Arial"/>
          <w:sz w:val="17"/>
          <w:szCs w:val="17"/>
          <w:color w:val="auto"/>
        </w:rPr>
        <w:t>The Company’s operations centers in the Philippines are registered as qualified Philippines Economic Zone Authority units, which provides the Company fiscal incentives on the import of capital goods and local purchase of services and materials.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both"/>
        <w:spacing w:after="0" w:line="264" w:lineRule="auto"/>
        <w:rPr>
          <w:sz w:val="20"/>
          <w:szCs w:val="20"/>
          <w:color w:val="auto"/>
        </w:rPr>
      </w:pPr>
      <w:r>
        <w:rPr>
          <w:rFonts w:ascii="Arial" w:cs="Arial" w:eastAsia="Arial" w:hAnsi="Arial"/>
          <w:sz w:val="17"/>
          <w:szCs w:val="17"/>
          <w:color w:val="auto"/>
        </w:rPr>
        <w:t>The Company is required to meet certain requirements to retain the incentives. The Company has, and will continue to, comply with the requirements to avail itself of the incentives.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65"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The transfer pricing regulations in the countries the Company operates in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spacing w:after="0" w:line="126"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7"/>
          <w:szCs w:val="17"/>
          <w:color w:val="auto"/>
        </w:rPr>
        <w:t>The Company is currently involved in transfer pricing and related income tax disputes with Indian tax authorities. The aggregate amount demanded by Indian tax authorities (net of advance payments) as of December 31, 2022 and 2021 is $37,088 and $34,276, respectively. The Company has made payments and/or provided bank guarantees against these demands in the amounts of $7,532 and $7,954, as of December 31, 2022 and 2021,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118" w:lineRule="exact"/>
        <w:rPr>
          <w:sz w:val="20"/>
          <w:szCs w:val="20"/>
          <w:color w:val="auto"/>
        </w:rPr>
      </w:pPr>
    </w:p>
    <w:p>
      <w:pPr>
        <w:jc w:val="both"/>
        <w:ind w:firstLine="425"/>
        <w:spacing w:after="0" w:line="280" w:lineRule="auto"/>
        <w:rPr>
          <w:sz w:val="20"/>
          <w:szCs w:val="20"/>
          <w:color w:val="auto"/>
        </w:rPr>
      </w:pPr>
      <w:r>
        <w:rPr>
          <w:rFonts w:ascii="Arial" w:cs="Arial" w:eastAsia="Arial" w:hAnsi="Arial"/>
          <w:sz w:val="15"/>
          <w:szCs w:val="15"/>
          <w:color w:val="auto"/>
        </w:rPr>
        <w:t>India’s Value Added Tax (“VAT”) regime ended in June 2017 and was replaced by the current Goods and Service Tax (“GST”) regime. Pursuant to reviewing the Company’s annual VAT filings, the Indian tax authorities raised aggregate VAT tax demands for tax years 2015 and 2017, in the amounts of $5,526 and $6,387, as of December 31, 2022 and 2021, respectively. The GST authorities rejected the Company’s refunds claims in the amounts of $3,866 and $3,322 as of December 31, 2022 and 2021, respectively. The Company has filed appeals against these matters and believes that it is more likely than not that upon final examination its position will be sustained based on its technical merits. Accordingly, no provision was recognized as of December 31, 2022 and 2021, respectively.</w:t>
      </w:r>
    </w:p>
    <w:p>
      <w:pPr>
        <w:spacing w:after="0" w:line="180" w:lineRule="exact"/>
        <w:rPr>
          <w:sz w:val="20"/>
          <w:szCs w:val="20"/>
          <w:color w:val="auto"/>
        </w:rPr>
      </w:pPr>
    </w:p>
    <w:p>
      <w:pPr>
        <w:jc w:val="both"/>
        <w:ind w:firstLine="425"/>
        <w:spacing w:after="0" w:line="256" w:lineRule="auto"/>
        <w:rPr>
          <w:sz w:val="20"/>
          <w:szCs w:val="20"/>
          <w:color w:val="auto"/>
        </w:rPr>
      </w:pPr>
      <w:r>
        <w:rPr>
          <w:rFonts w:ascii="Arial" w:cs="Arial" w:eastAsia="Arial" w:hAnsi="Arial"/>
          <w:sz w:val="16"/>
          <w:szCs w:val="16"/>
          <w:color w:val="auto"/>
        </w:rPr>
        <w:t>One of the Company’s subsidiaries in India has undergone an assessment with the statutory authority with respect to defined social security contribution plan. Except for some components of the assessment for which the Company has recognized a provision in the financial statements, the Company believes that the amount demanded by such authority is not a meaningful indicator of the potential liabilities of the Company, and that the matter is without merit. The Company is defending against the assessment order and has accordingly instituted an appeal against the order before the relevant tribunal while also making a payment under protest of the amount demanded, being a prerequisite for the appeal to be admitted. As of the reporting date, the Company’s management does not believe that the ultimate assessment will have a material adverse effect on the Company’s consolidated financial condition, results of operations or cash flows. The Company will continue to monitor and evaluate its position based on future events and developments in this matter.</w:t>
      </w:r>
    </w:p>
    <w:p>
      <w:pPr>
        <w:spacing w:after="0" w:line="122" w:lineRule="exact"/>
        <w:rPr>
          <w:sz w:val="20"/>
          <w:szCs w:val="20"/>
          <w:color w:val="auto"/>
        </w:rPr>
      </w:pPr>
    </w:p>
    <w:p>
      <w:pPr>
        <w:jc w:val="both"/>
        <w:ind w:firstLine="425"/>
        <w:spacing w:after="0" w:line="256" w:lineRule="auto"/>
        <w:rPr>
          <w:sz w:val="20"/>
          <w:szCs w:val="20"/>
          <w:color w:val="auto"/>
        </w:rPr>
      </w:pPr>
      <w:r>
        <w:rPr>
          <w:rFonts w:ascii="Arial" w:cs="Arial" w:eastAsia="Arial" w:hAnsi="Arial"/>
          <w:sz w:val="16"/>
          <w:szCs w:val="16"/>
          <w:color w:val="auto"/>
        </w:rPr>
        <w:t>In August 2019 and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 others.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 financial statements in the period in which, the Indian Social Security Code becomes effective and the related rules to determine the financial impact are published.</w:t>
      </w:r>
    </w:p>
    <w:p>
      <w:pPr>
        <w:spacing w:after="0" w:line="122"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7"/>
          <w:szCs w:val="17"/>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spacing w:after="0" w:line="131"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2" w:name="page123"/>
    <w:bookmarkEnd w:id="122"/>
    <w:p>
      <w:pPr>
        <w:jc w:val="both"/>
        <w:spacing w:after="0" w:line="290" w:lineRule="auto"/>
        <w:rPr>
          <w:sz w:val="20"/>
          <w:szCs w:val="20"/>
          <w:color w:val="auto"/>
        </w:rPr>
      </w:pPr>
      <w:r>
        <w:rPr>
          <w:rFonts w:ascii="Arial" w:cs="Arial" w:eastAsia="Arial" w:hAnsi="Arial"/>
          <w:sz w:val="16"/>
          <w:szCs w:val="16"/>
          <w:color w:val="auto"/>
        </w:rPr>
        <w:t>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ectPr>
          <w:pgSz w:w="11900" w:h="16838" w:orient="portrait"/>
          <w:cols w:equalWidth="0" w:num="1">
            <w:col w:w="11240"/>
          </w:cols>
          <w:pgMar w:left="320" w:top="282"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color w:val="auto"/>
        </w:rPr>
        <w:t>Exhibit 21.1</w:t>
      </w:r>
    </w:p>
    <w:p>
      <w:pPr>
        <w:spacing w:after="0" w:line="22"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Subsidiaries of the Registrant</w:t>
      </w:r>
    </w:p>
    <w:p>
      <w:pPr>
        <w:sectPr>
          <w:pgSz w:w="11900" w:h="16838" w:orient="portrait"/>
          <w:cols w:equalWidth="0" w:num="1">
            <w:col w:w="10120"/>
          </w:cols>
          <w:pgMar w:left="1440" w:top="630" w:right="339" w:bottom="1440" w:gutter="0" w:footer="0" w:header="0"/>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Name of Subsidiary</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Jurisdiction</w:t>
      </w:r>
    </w:p>
    <w:p>
      <w:pPr>
        <w:spacing w:after="0" w:line="78" w:lineRule="exact"/>
        <w:rPr>
          <w:sz w:val="20"/>
          <w:szCs w:val="20"/>
          <w:color w:val="auto"/>
        </w:rPr>
      </w:pPr>
    </w:p>
    <w:p>
      <w:pPr>
        <w:sectPr>
          <w:pgSz w:w="11900" w:h="16838" w:orient="portrait"/>
          <w:cols w:equalWidth="0" w:num="2">
            <w:col w:w="5680" w:space="720"/>
            <w:col w:w="3720"/>
          </w:cols>
          <w:pgMar w:left="1440" w:top="630"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Kogni LLC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Australia Pty Ltd.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Bulgaria EAD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IQR Consulting, LLC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Clairvoyant Inc.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Canada Inc.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Colombia S.A.S.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Czech Republic S.R.O.</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Business Process Outsourcing, LLC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Clairvoyant AI, Inc.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Technology Solutions, LLC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ExlService.com, LLC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Outsource Partners International, Inc.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Overland Solutions, LLC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Germany GmbH</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Business Process Solutions (India) Private Limited</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Clairvoyant India Private Ltd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 Service.com (India) Private Limited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Inductis (India) Private Limited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IQR Analytics Private Limited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Outsource partners International Private Limited</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SCIOinspire Consulting Services (India) Pvt Ltd.</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(Ireland) Limited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Business Process Outsourcing Ltd.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Mauritius Limited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OPI Limited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 Mexico, S. de R.L. de C.V.</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Philippines, Inc.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Romania Private Limited S.R.L.</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Inductis (Singapore) PTE Limited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 Analytics SA (Pty) Ltd.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South Africa (Pty) Ltd.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Switzerland GmbH</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ExlService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Arizona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Australia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Bulgaria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Colombia</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Ireland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Mauritius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Mauritius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Mauritius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Philippines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Romania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ectPr>
          <w:pgSz w:w="11900" w:h="16838" w:orient="portrait"/>
          <w:cols w:equalWidth="0" w:num="2">
            <w:col w:w="5680" w:space="720"/>
            <w:col w:w="3720"/>
          </w:cols>
          <w:pgMar w:left="1440" w:top="630" w:right="33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consent to the incorporation by reference in Registration Statement Nos. 333-263076; and 333-179098 on Form S-3 and Nos. 333-265772; 333-139211; 333-157076; 333-206022; and 333-226527 on Form S-8 of our reports dated February 23, 2023, relating to the financial statements of ExlService Holdings, Inc., and the effectiveness of ExlService Holdings, Inc.’s internal control over financial reporting, appearing in this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2023</w:t>
      </w:r>
    </w:p>
    <w:p>
      <w:pPr>
        <w:sectPr>
          <w:pgSz w:w="11900" w:h="16838" w:orient="portrait"/>
          <w:cols w:equalWidth="0" w:num="1">
            <w:col w:w="11240"/>
          </w:cols>
          <w:pgMar w:left="320" w:top="856"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 Rohit Kapoor, certify that:</w:t>
      </w:r>
    </w:p>
    <w:p>
      <w:pPr>
        <w:spacing w:after="0" w:line="217" w:lineRule="exact"/>
        <w:rPr>
          <w:sz w:val="20"/>
          <w:szCs w:val="20"/>
          <w:color w:val="auto"/>
        </w:rPr>
      </w:pPr>
    </w:p>
    <w:p>
      <w:pPr>
        <w:ind w:left="380" w:hanging="377"/>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annual report of ExlService Holdings, Inc. for the year ended December 31, 2022;</w:t>
      </w:r>
    </w:p>
    <w:p>
      <w:pPr>
        <w:spacing w:after="0" w:line="217" w:lineRule="exact"/>
        <w:rPr>
          <w:rFonts w:ascii="Arial" w:cs="Arial" w:eastAsia="Arial" w:hAnsi="Arial"/>
          <w:sz w:val="17"/>
          <w:szCs w:val="17"/>
          <w:color w:val="auto"/>
        </w:rPr>
      </w:pPr>
    </w:p>
    <w:p>
      <w:pPr>
        <w:ind w:left="380" w:right="80" w:hanging="377"/>
        <w:spacing w:after="0" w:line="349" w:lineRule="auto"/>
        <w:tabs>
          <w:tab w:leader="none" w:pos="3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380" w:right="180" w:hanging="377"/>
        <w:spacing w:after="0" w:line="279"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left="380" w:right="20" w:hanging="377"/>
        <w:spacing w:after="0" w:line="266"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700" w:hanging="310"/>
        <w:spacing w:after="0" w:line="266" w:lineRule="auto"/>
        <w:tabs>
          <w:tab w:leader="none" w:pos="697"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700" w:right="120" w:hanging="310"/>
        <w:spacing w:after="0" w:line="266" w:lineRule="auto"/>
        <w:tabs>
          <w:tab w:leader="none" w:pos="694"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700" w:right="160" w:hanging="310"/>
        <w:spacing w:after="0" w:line="279" w:lineRule="auto"/>
        <w:tabs>
          <w:tab w:leader="none" w:pos="697"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left="700" w:right="200" w:hanging="310"/>
        <w:spacing w:after="0" w:line="266" w:lineRule="auto"/>
        <w:tabs>
          <w:tab w:leader="none" w:pos="694"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80" w:right="740" w:hanging="377"/>
        <w:spacing w:after="0" w:line="312"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700" w:right="80" w:hanging="310"/>
        <w:spacing w:after="0" w:line="279" w:lineRule="auto"/>
        <w:tabs>
          <w:tab w:leader="none" w:pos="697"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700" w:right="320" w:hanging="310"/>
        <w:spacing w:after="0" w:line="279" w:lineRule="auto"/>
        <w:tabs>
          <w:tab w:leader="none" w:pos="694"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100" w:type="dxa"/>
            <w:vAlign w:val="bottom"/>
          </w:tcPr>
          <w:p>
            <w:pPr>
              <w:spacing w:after="0"/>
              <w:rPr>
                <w:sz w:val="20"/>
                <w:szCs w:val="20"/>
                <w:color w:val="auto"/>
              </w:rPr>
            </w:pPr>
            <w:r>
              <w:rPr>
                <w:rFonts w:ascii="Arial" w:cs="Arial" w:eastAsia="Arial" w:hAnsi="Arial"/>
                <w:sz w:val="17"/>
                <w:szCs w:val="17"/>
                <w:color w:val="auto"/>
              </w:rPr>
              <w:t>February 23, 2023</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Rohit Kapoor</w:t>
            </w:r>
          </w:p>
        </w:tc>
      </w:tr>
      <w:tr>
        <w:trPr>
          <w:trHeight w:val="211"/>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Rohit Kapoor</w:t>
            </w:r>
          </w:p>
        </w:tc>
      </w:tr>
      <w:tr>
        <w:trPr>
          <w:trHeight w:val="219"/>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Vice-Chairman and Chief Executive Officer</w:t>
            </w:r>
          </w:p>
        </w:tc>
      </w:tr>
    </w:tbl>
    <w:p>
      <w:pPr>
        <w:sectPr>
          <w:pgSz w:w="11900" w:h="16838" w:orient="portrait"/>
          <w:cols w:equalWidth="0" w:num="1">
            <w:col w:w="11240"/>
          </w:cols>
          <w:pgMar w:left="320" w:top="856"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 Maurizio Nicolelli, certify that:</w:t>
      </w:r>
    </w:p>
    <w:p>
      <w:pPr>
        <w:spacing w:after="0" w:line="346" w:lineRule="exact"/>
        <w:rPr>
          <w:sz w:val="20"/>
          <w:szCs w:val="20"/>
          <w:color w:val="auto"/>
        </w:rPr>
      </w:pPr>
    </w:p>
    <w:p>
      <w:pPr>
        <w:ind w:left="380" w:hanging="377"/>
        <w:spacing w:after="0"/>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annual report of ExlService Holdings, Inc. for the year ended December 31, 2022;</w:t>
      </w:r>
    </w:p>
    <w:p>
      <w:pPr>
        <w:spacing w:after="0" w:line="217" w:lineRule="exact"/>
        <w:rPr>
          <w:rFonts w:ascii="Arial" w:cs="Arial" w:eastAsia="Arial" w:hAnsi="Arial"/>
          <w:sz w:val="17"/>
          <w:szCs w:val="17"/>
          <w:color w:val="auto"/>
        </w:rPr>
      </w:pPr>
    </w:p>
    <w:p>
      <w:pPr>
        <w:ind w:left="380" w:right="80" w:hanging="377"/>
        <w:spacing w:after="0" w:line="349" w:lineRule="auto"/>
        <w:tabs>
          <w:tab w:leader="none" w:pos="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380" w:right="180" w:hanging="377"/>
        <w:spacing w:after="0" w:line="279"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left="380" w:right="20" w:hanging="377"/>
        <w:spacing w:after="0" w:line="266"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700" w:hanging="310"/>
        <w:spacing w:after="0" w:line="266" w:lineRule="auto"/>
        <w:tabs>
          <w:tab w:leader="none" w:pos="697"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700" w:right="120" w:hanging="310"/>
        <w:spacing w:after="0" w:line="266" w:lineRule="auto"/>
        <w:tabs>
          <w:tab w:leader="none" w:pos="694"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700" w:right="160" w:hanging="310"/>
        <w:spacing w:after="0" w:line="279" w:lineRule="auto"/>
        <w:tabs>
          <w:tab w:leader="none" w:pos="697"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left="700" w:right="200" w:hanging="310"/>
        <w:spacing w:after="0" w:line="266" w:lineRule="auto"/>
        <w:tabs>
          <w:tab w:leader="none" w:pos="694"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80" w:right="740" w:hanging="377"/>
        <w:spacing w:after="0" w:line="31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700" w:right="80" w:hanging="310"/>
        <w:spacing w:after="0" w:line="279" w:lineRule="auto"/>
        <w:tabs>
          <w:tab w:leader="none" w:pos="697"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700" w:right="320" w:hanging="310"/>
        <w:spacing w:after="0" w:line="279" w:lineRule="auto"/>
        <w:tabs>
          <w:tab w:leader="none" w:pos="694"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18"/>
        </w:trPr>
        <w:tc>
          <w:tcPr>
            <w:tcW w:w="5820" w:type="dxa"/>
            <w:vAlign w:val="bottom"/>
          </w:tcPr>
          <w:p>
            <w:pPr>
              <w:spacing w:after="0"/>
              <w:rPr>
                <w:sz w:val="20"/>
                <w:szCs w:val="20"/>
                <w:color w:val="auto"/>
              </w:rPr>
            </w:pPr>
            <w:r>
              <w:rPr>
                <w:rFonts w:ascii="Arial" w:cs="Arial" w:eastAsia="Arial" w:hAnsi="Arial"/>
                <w:sz w:val="17"/>
                <w:szCs w:val="17"/>
                <w:color w:val="auto"/>
              </w:rPr>
              <w:t>February 23, 2023</w:t>
            </w:r>
          </w:p>
        </w:tc>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Maurizio Nicolelli</w:t>
            </w:r>
          </w:p>
        </w:tc>
      </w:tr>
      <w:tr>
        <w:trPr>
          <w:trHeight w:val="211"/>
        </w:trPr>
        <w:tc>
          <w:tcPr>
            <w:tcW w:w="58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Maurizio Nicolelli</w:t>
            </w:r>
          </w:p>
        </w:tc>
      </w:tr>
      <w:tr>
        <w:trPr>
          <w:trHeight w:val="219"/>
        </w:trPr>
        <w:tc>
          <w:tcPr>
            <w:tcW w:w="58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56"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Annual Report of ExlService Holdings, Inc. (the “Company”) on Form 10-K for the year ended December 31, 2022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4" w:lineRule="exact"/>
        <w:rPr>
          <w:sz w:val="20"/>
          <w:szCs w:val="20"/>
          <w:color w:val="auto"/>
        </w:rPr>
      </w:pPr>
    </w:p>
    <w:p>
      <w:pPr>
        <w:ind w:left="300" w:hanging="297"/>
        <w:spacing w:after="0"/>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left="300" w:hanging="297"/>
        <w:spacing w:after="0"/>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2788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627888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Rohit Kapoor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Vice-Chairman and Chief Executive Officer</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23, 2023</w:t>
      </w:r>
    </w:p>
    <w:p>
      <w:pPr>
        <w:sectPr>
          <w:pgSz w:w="11900" w:h="16838" w:orient="portrait"/>
          <w:cols w:equalWidth="0" w:num="1">
            <w:col w:w="11240"/>
          </w:cols>
          <w:pgMar w:left="320" w:top="856"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Annual Report of ExlService Holdings, Inc. (the “Company”) on Form 10-K for the year ended December 31, 2022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5" w:lineRule="exact"/>
        <w:rPr>
          <w:sz w:val="20"/>
          <w:szCs w:val="20"/>
          <w:color w:val="auto"/>
        </w:rPr>
      </w:pPr>
    </w:p>
    <w:p>
      <w:pPr>
        <w:ind w:left="300" w:hanging="297"/>
        <w:spacing w:after="0"/>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left="300" w:hanging="297"/>
        <w:spacing w:after="0"/>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8952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489521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Maurizio Nicolelli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23, 2023</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2"/>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1"/>
    </w:lvl>
    <w:lvl w:ilvl="1">
      <w:lvlJc w:val="left"/>
      <w:lvlText w:val="%2."/>
      <w:numFmt w:val="decimal"/>
      <w:start w:val="2"/>
    </w:lvl>
  </w:abstractNum>
  <w:abstractNum w:abstractNumId="21">
    <w:nsid w:val="440BADFC"/>
    <w:multiLevelType w:val="hybridMultilevel"/>
    <w:lvl w:ilvl="0">
      <w:lvlJc w:val="left"/>
      <w:lvlText w:val="(%1)"/>
      <w:numFmt w:val="lowerLetter"/>
      <w:start w:val="2"/>
    </w:lvl>
    <w:lvl w:ilvl="1">
      <w:lvlJc w:val="left"/>
      <w:lvlText w:val="%2"/>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lowerLetter"/>
      <w:start w:val="3"/>
    </w:lvl>
  </w:abstractNum>
  <w:abstractNum w:abstractNumId="25">
    <w:nsid w:val="7724C67E"/>
    <w:multiLevelType w:val="hybridMultilevel"/>
    <w:lvl w:ilvl="0">
      <w:lvlJc w:val="left"/>
      <w:lvlText w:val="%1."/>
      <w:numFmt w:val="lowerRoman"/>
      <w:start w:val="1"/>
    </w:lvl>
  </w:abstractNum>
  <w:abstractNum w:abstractNumId="26">
    <w:nsid w:val="5C482A97"/>
    <w:multiLevelType w:val="hybridMultilevel"/>
    <w:lvl w:ilvl="0">
      <w:lvlJc w:val="left"/>
      <w:lvlText w:val="%1."/>
      <w:numFmt w:val="lowerRoman"/>
      <w:start w:val="3"/>
    </w:lvl>
  </w:abstractNum>
  <w:abstractNum w:abstractNumId="27">
    <w:nsid w:val="2463B9EA"/>
    <w:multiLevelType w:val="hybridMultilevel"/>
    <w:lvl w:ilvl="0">
      <w:lvlJc w:val="left"/>
      <w:lvlText w:val="%1"/>
      <w:numFmt w:val="lowerLetter"/>
      <w:start w:val="1"/>
    </w:lvl>
    <w:lvl w:ilvl="1">
      <w:lvlJc w:val="left"/>
      <w:lvlText w:val="%2."/>
      <w:numFmt w:val="lowerRoman"/>
      <w:start w:val="1"/>
    </w:lvl>
  </w:abstractNum>
  <w:abstractNum w:abstractNumId="28">
    <w:nsid w:val="5E884ADC"/>
    <w:multiLevelType w:val="hybridMultilevel"/>
    <w:lvl w:ilvl="0">
      <w:lvlJc w:val="left"/>
      <w:lvlText w:val="(%1)"/>
      <w:numFmt w:val="lowerLetter"/>
      <w:start w:val="5"/>
    </w:lvl>
    <w:lvl w:ilvl="1">
      <w:lvlJc w:val="left"/>
      <w:lvlText w:val="%2"/>
      <w:numFmt w:val="lowerRoman"/>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lowerLetter"/>
      <w:start w:val="12"/>
    </w:lvl>
  </w:abstractNum>
  <w:abstractNum w:abstractNumId="31">
    <w:nsid w:val="580BD78F"/>
    <w:multiLevelType w:val="hybridMultilevel"/>
    <w:lvl w:ilvl="0">
      <w:lvlJc w:val="left"/>
      <w:lvlText w:val="(%1)"/>
      <w:numFmt w:val="lowerLetter"/>
      <w:start w:val="17"/>
    </w:lvl>
    <w:lvl w:ilvl="1">
      <w:lvlJc w:val="left"/>
      <w:lvlText w:val="•"/>
      <w:numFmt w:val="bullet"/>
      <w:start w:val="1"/>
    </w:lvl>
  </w:abstractNum>
  <w:abstractNum w:abstractNumId="32">
    <w:nsid w:val="153EA438"/>
    <w:multiLevelType w:val="hybridMultilevel"/>
    <w:lvl w:ilvl="0">
      <w:lvlJc w:val="left"/>
      <w:lvlText w:val="(%1)"/>
      <w:numFmt w:val="decimal"/>
      <w:start w:val="3"/>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6"/>
    </w:lvl>
    <w:lvl w:ilvl="1">
      <w:lvlJc w:val="left"/>
      <w:lvlText w:val="*"/>
      <w:numFmt w:val="bullet"/>
      <w:start w:val="1"/>
    </w:lvl>
  </w:abstractNum>
  <w:abstractNum w:abstractNumId="36">
    <w:nsid w:val="2A487CB0"/>
    <w:multiLevelType w:val="hybridMultilevel"/>
    <w:lvl w:ilvl="0">
      <w:lvlJc w:val="left"/>
      <w:lvlText w:val="%1."/>
      <w:numFmt w:val="decimal"/>
      <w:start w:val="10"/>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78" Type="http://schemas.openxmlformats.org/officeDocument/2006/relationships/hyperlink" Target="http://www.sec.gov/Archives/edgar/data/1297989/000119312506214684/dex31.htm" TargetMode="External"/><Relationship Id="rId79" Type="http://schemas.openxmlformats.org/officeDocument/2006/relationships/hyperlink" Target="http://www.sec.gov/Archives/edgar/data/1297989/000104746919002609/a2238453zdef14a.htm#PROP1" TargetMode="External"/><Relationship Id="rId80" Type="http://schemas.openxmlformats.org/officeDocument/2006/relationships/hyperlink" Target="http://www.sec.gov/Archives/edgar/data/1297989/000114420419031504/tv523830_ex3-2.htm" TargetMode="External"/><Relationship Id="rId81" Type="http://schemas.openxmlformats.org/officeDocument/2006/relationships/hyperlink" Target="http://www.sec.gov/Archives/edgar/data/1297989/000119312506214684/dex41.htm" TargetMode="External"/><Relationship Id="rId82" Type="http://schemas.openxmlformats.org/officeDocument/2006/relationships/hyperlink" Target="http://www.sec.gov/Archives/edgar/data/1297989/000114420418052500/tv504132_ex4-1.htm" TargetMode="External"/><Relationship Id="rId83" Type="http://schemas.openxmlformats.org/officeDocument/2006/relationships/hyperlink" Target="https://www.sec.gov/Archives/edgar/data/1297989/000129798920000003/exls-ex43x12312019x10xk.htm" TargetMode="External"/><Relationship Id="rId84" Type="http://schemas.openxmlformats.org/officeDocument/2006/relationships/hyperlink" Target="https://www.sec.gov/Archives/edgar/data/1297989/000129798920000010/exls-ex101x09x30x2020x10xq.htm" TargetMode="External"/><Relationship Id="rId85" Type="http://schemas.openxmlformats.org/officeDocument/2006/relationships/hyperlink" Target="https://www.sec.gov/Archives/edgar/data/1297989/000129798921000004/exls-ex104x12x31x2020x10k.htm" TargetMode="External"/><Relationship Id="rId86" Type="http://schemas.openxmlformats.org/officeDocument/2006/relationships/hyperlink" Target="http://www.sec.gov/Archives/edgar/data/1297989/000129798916000006/exls-ex101x03x31x2016x10xq.htm" TargetMode="External"/><Relationship Id="rId87" Type="http://schemas.openxmlformats.org/officeDocument/2006/relationships/hyperlink" Target="https://www.sec.gov/Archives/edgar/data/1297989/000129798921000004/exls-ex106x12x31x2020x10k.htm" TargetMode="External"/><Relationship Id="rId88" Type="http://schemas.openxmlformats.org/officeDocument/2006/relationships/hyperlink" Target="https://www.sec.gov/Archives/edgar/data/1297989/000129798921000004/exls-ex107x12x31x2020x10k.htm" TargetMode="External"/><Relationship Id="rId89" Type="http://schemas.openxmlformats.org/officeDocument/2006/relationships/hyperlink" Target="http://www.sec.gov/Archives/edgar/data/1297989/000119312506155175/dex1020.htm" TargetMode="External"/><Relationship Id="rId90" Type="http://schemas.openxmlformats.org/officeDocument/2006/relationships/hyperlink" Target="http://www.sec.gov/Archives/edgar/data/1297989/000119312506202168/dex1032.htm" TargetMode="External"/><Relationship Id="rId91" Type="http://schemas.openxmlformats.org/officeDocument/2006/relationships/hyperlink" Target="http://www.sec.gov/Archives/edgar/data/1297989/000119312506208742/dex1038.htm" TargetMode="External"/><Relationship Id="rId92" Type="http://schemas.openxmlformats.org/officeDocument/2006/relationships/hyperlink" Target="http://www.sec.gov/Archives/edgar/data/1297989/000119312506202168/dex1039.htm" TargetMode="External"/><Relationship Id="rId93" Type="http://schemas.openxmlformats.org/officeDocument/2006/relationships/hyperlink" Target="http://www.sec.gov/Archives/edgar/data/1297989/000119312506202168/dex1043.htm" TargetMode="External"/><Relationship Id="rId96" Type="http://schemas.openxmlformats.org/officeDocument/2006/relationships/hyperlink" Target="http://www.sec.gov/Archives/edgar/data/1297989/000119312506208742/dex1046.htm" TargetMode="External"/><Relationship Id="rId97" Type="http://schemas.openxmlformats.org/officeDocument/2006/relationships/hyperlink" Target="http://www.sec.gov/Archives/edgar/data/1297989/000119312509016370/dex46.htm" TargetMode="External"/><Relationship Id="rId98" Type="http://schemas.openxmlformats.org/officeDocument/2006/relationships/hyperlink" Target="http://www.sec.gov/Archives/edgar/data/1297989/000119312514177305/d701173dex101.htm" TargetMode="External"/><Relationship Id="rId99" Type="http://schemas.openxmlformats.org/officeDocument/2006/relationships/hyperlink" Target="http://www.sec.gov/Archives/edgar/data/1297989/000119312515235176/d948602dex101.htm" TargetMode="External"/><Relationship Id="rId100" Type="http://schemas.openxmlformats.org/officeDocument/2006/relationships/hyperlink" Target="http://www.sec.gov/Archives/edgar/data/1297989/000129798916000015/exls-ex101x09x30x2016x10xq.htm" TargetMode="External"/><Relationship Id="rId101" Type="http://schemas.openxmlformats.org/officeDocument/2006/relationships/hyperlink" Target="http://www.sec.gov/Archives/edgar/data/1297989/000129798917000002/exls-ex1040x213116x10k.htm" TargetMode="External"/><Relationship Id="rId102" Type="http://schemas.openxmlformats.org/officeDocument/2006/relationships/hyperlink" Target="http://www.sec.gov/Archives/edgar/data/1297989/000114420418034885/tv496784_ex10-1.htm" TargetMode="External"/><Relationship Id="rId103" Type="http://schemas.openxmlformats.org/officeDocument/2006/relationships/hyperlink" Target="http://www.sec.gov/Archives/edgar/data/1297989/000114420418034885/tv496784_ex10-2.htm" TargetMode="External"/><Relationship Id="rId104" Type="http://schemas.openxmlformats.org/officeDocument/2006/relationships/hyperlink" Target="http://www.sec.gov/Archives/edgar/data/1297989/000114420418034885/tv496784_ex10-3.htm" TargetMode="External"/><Relationship Id="rId105" Type="http://schemas.openxmlformats.org/officeDocument/2006/relationships/hyperlink" Target="http://www.sec.gov/Archives/edgar/data/1297989/000114420418034885/tv496784_ex10-4.htm" TargetMode="External"/><Relationship Id="rId106" Type="http://schemas.openxmlformats.org/officeDocument/2006/relationships/hyperlink" Target="https://www.sec.gov/Archives/edgar/data/1297989/000119312522178131/d352737dex101.htm" TargetMode="External"/><Relationship Id="rId107" Type="http://schemas.openxmlformats.org/officeDocument/2006/relationships/hyperlink" Target="https://www.sec.gov/Archives/edgar/data/1297989/000110465922047905/tm221311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2023-02-23T22:05:50Z</dcterms:created>
  <dcterms:modified xsi:type="dcterms:W3CDTF">2023-02-23T22:05:50Z</dcterms:modified>
</cp:coreProperties>
</file>