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19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1918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566"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Williamson Sarah K</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(Last)</w:t>
            </w:r>
          </w:p>
        </w:tc>
        <w:tc>
          <w:tcPr>
            <w:tcW w:w="920" w:type="dxa"/>
            <w:vAlign w:val="bottom"/>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320 PARK AVENUE</w:t>
            </w:r>
          </w:p>
        </w:tc>
        <w:tc>
          <w:tcPr>
            <w:tcW w:w="16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29TH FLOOR</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3"/>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2020" w:type="dxa"/>
            <w:vAlign w:val="bottom"/>
            <w:tcBorders>
              <w:top w:val="single" w:sz="8" w:color="0000EE"/>
              <w:bottom w:val="single" w:sz="8" w:color="2C2C2C"/>
            </w:tcBorders>
          </w:tcPr>
          <w:p>
            <w:pPr>
              <w:spacing w:after="0"/>
              <w:rPr>
                <w:sz w:val="10"/>
                <w:szCs w:val="10"/>
                <w:color w:val="auto"/>
              </w:rPr>
            </w:pPr>
          </w:p>
        </w:tc>
        <w:tc>
          <w:tcPr>
            <w:tcW w:w="16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06/20/2024</w:t>
            </w:r>
          </w:p>
        </w:tc>
        <w:tc>
          <w:tcPr>
            <w:tcW w:w="1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5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7,060</w:t>
            </w:r>
          </w:p>
        </w:tc>
        <w:tc>
          <w:tcPr>
            <w:tcW w:w="70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13,110</w:t>
            </w:r>
            <w:r>
              <w:rPr>
                <w:rFonts w:ascii="Times New Roman" w:cs="Times New Roman" w:eastAsia="Times New Roman" w:hAnsi="Times New Roman"/>
                <w:sz w:val="21"/>
                <w:szCs w:val="21"/>
                <w:color w:val="008000"/>
                <w:w w:val="92"/>
                <w:vertAlign w:val="superscript"/>
              </w:rPr>
              <w:t>(3)</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7,060</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vMerge w:val="continue"/>
          </w:tcPr>
          <w:p>
            <w:pPr>
              <w:spacing w:after="0"/>
              <w:rPr>
                <w:sz w:val="12"/>
                <w:szCs w:val="12"/>
                <w:color w:val="auto"/>
              </w:rPr>
            </w:pP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1,396</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1,396</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14,506</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1,396</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1,396</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15,902</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8"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number of shares has been adjusted to reflect the impact of the 5-for-1 forward stock split effective August 1, 2023.</w:t>
      </w:r>
    </w:p>
    <w:p>
      <w:pPr>
        <w:spacing w:after="0" w:line="45" w:lineRule="exact"/>
        <w:rPr>
          <w:rFonts w:ascii="Times New Roman" w:cs="Times New Roman" w:eastAsia="Times New Roman" w:hAnsi="Times New Roman"/>
          <w:sz w:val="13"/>
          <w:szCs w:val="13"/>
          <w:color w:val="008000"/>
        </w:rPr>
      </w:pPr>
    </w:p>
    <w:p>
      <w:pPr>
        <w:ind w:left="40" w:right="2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vested on the date of grant. Such awards settle upon the earlier of (i) the reporting person's death, (ii) the occurrence of a "Change of Control", as defined in the ExlService Holdings, Inc. 2018 Omnibus Incentive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5" w:lineRule="exact"/>
        <w:rPr>
          <w:rFonts w:ascii="Times New Roman" w:cs="Times New Roman" w:eastAsia="Times New Roman" w:hAnsi="Times New Roman"/>
          <w:sz w:val="13"/>
          <w:szCs w:val="13"/>
          <w:color w:val="008000"/>
        </w:rPr>
      </w:pPr>
    </w:p>
    <w:p>
      <w:pPr>
        <w:ind w:left="40" w:right="2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upon the earlier of (i) December 31, 2024 or (ii) the occurrence of a "Change in Control", as defined in the ExlService Holdings, Inc. 2018 Omnibus Incentive Plan (the "Plan").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Ajay Ayyappan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06/24/2024</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5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867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2024-06-24T16:18:48Z</dcterms:created>
  <dcterms:modified xsi:type="dcterms:W3CDTF">2024-06-24T16:18:48Z</dcterms:modified>
</cp:coreProperties>
</file>