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177165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192405</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ate of Report (Date of earliest event reported): November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186690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176530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1180"/>
        <w:spacing w:after="0"/>
        <w:rPr>
          <w:sz w:val="20"/>
          <w:szCs w:val="20"/>
          <w:color w:val="auto"/>
        </w:rPr>
      </w:pPr>
      <w:r>
        <w:rPr>
          <w:rFonts w:ascii="Arial" w:cs="Arial" w:eastAsia="Arial" w:hAnsi="Arial"/>
          <w:sz w:val="17"/>
          <w:szCs w:val="17"/>
          <w:color w:val="auto"/>
        </w:rPr>
        <w:t>(I.R.S. Employer</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60" w:space="720"/>
            <w:col w:w="2560"/>
          </w:cols>
          <w:pgMar w:left="240" w:top="675" w:right="239" w:bottom="1440" w:gutter="0" w:footer="0" w:header="0"/>
          <w:type w:val="continuous"/>
        </w:sectPr>
      </w:pPr>
    </w:p>
    <w:p>
      <w:pPr>
        <w:spacing w:after="0" w:line="7"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6"/>
          <w:szCs w:val="16"/>
          <w:color w:val="auto"/>
        </w:rPr>
        <w:t>(Address of principal executive offices)</w:t>
      </w:r>
    </w:p>
    <w:p>
      <w:pPr>
        <w:sectPr>
          <w:pgSz w:w="11900" w:h="16838" w:orient="portrait"/>
          <w:cols w:equalWidth="0" w:num="1">
            <w:col w:w="11420"/>
          </w:cols>
          <w:pgMar w:left="240" w:top="675" w:right="239" w:bottom="1440" w:gutter="0" w:footer="0" w:header="0"/>
          <w:type w:val="continuous"/>
        </w:sectPr>
      </w:pPr>
    </w:p>
    <w:p>
      <w:pPr>
        <w:spacing w:after="0" w:line="23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204" w:lineRule="exact"/>
        <w:rPr>
          <w:sz w:val="24"/>
          <w:szCs w:val="24"/>
          <w:color w:val="auto"/>
        </w:rPr>
      </w:pPr>
    </w:p>
    <w:p>
      <w:pPr>
        <w:sectPr>
          <w:pgSz w:w="11900" w:h="16838" w:orient="portrait"/>
          <w:cols w:equalWidth="0" w:num="2">
            <w:col w:w="6980" w:space="80"/>
            <w:col w:w="4360"/>
          </w:cols>
          <w:pgMar w:left="240" w:top="675" w:right="239" w:bottom="1440" w:gutter="0" w:footer="0" w:header="0"/>
          <w:type w:val="continuous"/>
        </w:sectPr>
      </w:pPr>
    </w:p>
    <w:p>
      <w:pPr>
        <w:spacing w:after="0" w:line="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191770</wp:posOffset>
            </wp:positionV>
            <wp:extent cx="18097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or Rule 12b-2 of the Securities Exchange Act of 1934 (§240.12b-2 of this chapter)</w:t>
      </w:r>
    </w:p>
    <w:p>
      <w:pPr>
        <w:spacing w:after="0" w:line="211"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Emerging growth company</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21, 2017 (the “Closing Date”), ExlService Holdings, Inc. (the “Company”) and each of the Company’s wholly owned material domestic subsidiaries entered into a Credit Agreement with Citibank, N.A., PNC Bank, N.A., JPMorgan Chase Bank, N.A., Bank of America, N.A. and the lenders party thereto from time to time, with Citibank, N.A. serving as administrative agent (the “Credit Agreement”). The Credit Agreement provides for a $200,000,000 revolving credit facility (the “Credit Facility”). The Company has an option to increase the commitments under the Credit Agreement by up to $100,000,000, subject to certain approvals and conditions as set forth in the Credit Agreement. The Credit Agreement also includes a letter of credit subfacility. The Credit Facility has a maturity date of November 21, 2022 and is voluntarily prepayable from time to time without premium or penalty. Borrowings under the Credit Agreement were used on the Closing Date to refinance certain debt of the Company and may otherwise be used for working capital and general corporate purposes of the Company and its subsidiaries, including permitted acquisitions. In particular, as of the Closing Date the Company repaid in full and terminated the Credit Agreement (and related security and other agreements entered into by the Company and certain of its subsidiaries in connection therewith), dated as of October 24, 2014, with JPMorgan Chase Bank, N.A., as administrative agent (the “Prior Credit Agreement”).</w:t>
      </w:r>
    </w:p>
    <w:p>
      <w:pPr>
        <w:spacing w:after="0" w:line="19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the Company’s total net leverage ratio and ranges from 0.00% to 0.75% per annum with respect to loans (ABR Loans) pegged to the specified prime rate, and 1.00% to 1.75% per annum on loans (Eurodollar Loans) pegged to the adjusted LIBO rate. The revolving credit commitments under the Credit Agreement are subject to a commitment fee. The commitment fee is also tied to the Company’s total net leverage ratio, and ranges from 0.15% to 0.30% per annum on the average daily amount by which the aggregate revolving commitments exceed the sum of outstanding revolving loans and letter of credit obligations.</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obligations under the Credit Agreement are guaranteed by the Company’s wholly owned material domestic subsidiaries. The obligations under the Credit Agreement are secured by all or substantially all of the assets of the Company and its wholly owned material domestic subsidiaries.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Agreement contains customary affirmative and negative covenants (which are in some cases subject to certain exceptions), including, but not limited to, restrictions on the ability to incur additional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EBITA to cash interest expense) for the four consecutive quarter period ending on the last day of each fiscal quarter to be less than 3.5 to 1.0, or the total net leverage ratio (total funded indebtedness, less unrestricted domestic cash and cash equivalents not to exceed $50 million, to EBITDA) for the four consecutive quarter period ending on the last day of each fiscal quarter to be more than 3.0 to 1.0.</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customary events of default (which are in some cases subject to certain exceptions, thresholds, notice requirements and grace periods), including, but not limited to, nonpayment of principal or interest, breaches of representations and warranties, failure to perform or observe covenants, cross-defaults with certain other agreements or indebtedness, final judgments or orders, certain change of control events and certain bankruptcy-related events or proceedings. Upon the occurrence of an event of default (subject to notice and grace periods), obligations under the Credit Agreement could be accelerated.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1" w:right="239" w:bottom="1440" w:gutter="0" w:footer="0" w:header="0"/>
        </w:sectPr>
      </w:pPr>
    </w:p>
    <w:bookmarkStart w:id="2" w:name="page3"/>
    <w:bookmarkEnd w:id="2"/>
    <w:p>
      <w:pPr>
        <w:jc w:val="both"/>
        <w:ind w:firstLine="648"/>
        <w:spacing w:after="0" w:line="255" w:lineRule="auto"/>
        <w:rPr>
          <w:sz w:val="20"/>
          <w:szCs w:val="20"/>
          <w:color w:val="auto"/>
        </w:rPr>
      </w:pPr>
      <w:r>
        <w:rPr>
          <w:rFonts w:ascii="Arial" w:cs="Arial" w:eastAsia="Arial" w:hAnsi="Arial"/>
          <w:sz w:val="18"/>
          <w:szCs w:val="18"/>
          <w:color w:val="auto"/>
        </w:rPr>
        <w:t>In connection with the Credit Agreement, the Company paid the lenders an aggregate syndication fee of $515,000 and reimbursed certain expenses, including legal fees, of approximately $160,000. Other than in respect of the Credit Agreement and related documents or as previously disclosed by the Company in its filings with the Securities and Exchange Commission, neither the Company nor any of its affiliates have any material relationship with any of the other parties to the Credit Agreement and related documents, other than that each of the lenders has performed, and may in the future perform, various commercial banking, investment banking, underwriting, trust and other financial advisory services for the Company and/or its affiliates, for which it has received, and will receive, only customary fees and expenses.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Credit Agreement is only a summary and should be read in conjunction with the complete text of the Credit Agreement, which will be filed with the Company’s Annual Report on Form 10-K for the year ending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described above, in connection with the entry into the Credit Agreement described in Item 1.01 above, the Company repaid in full (pursuant to its right to prepay obligations thereunder without premium or penalty) and terminated the Prior Credit Agreement (and related security and other agreements entered into by the Company and its subsidiaries in connection therewith).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discussion in Item 1.01 above is incorporated by reference into this Item 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November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Nancy Saltzman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Nancy Saltzman</w:t>
      </w:r>
    </w:p>
    <w:p>
      <w:pPr>
        <w:spacing w:after="0" w:line="23"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40"/>
      </w:cols>
      <w:pgMar w:left="240" w:top="112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2019-12-06T22:13:13Z</dcterms:created>
  <dcterms:modified xsi:type="dcterms:W3CDTF">2019-12-06T22:13:13Z</dcterms:modified>
</cp:coreProperties>
</file>