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August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280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4, 2010, ExlService Holdings, Inc. (the “Company”) reported its results of operations and financial condition for the three and six months ended June 30, 2010. A copy of the press release issued by the Company concerning the foregoing is furnished herewith as Exhibit 99.1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40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w:t>
            </w:r>
          </w:p>
        </w:tc>
        <w:tc>
          <w:tcPr>
            <w:tcW w:w="2120" w:type="dxa"/>
            <w:vAlign w:val="bottom"/>
          </w:tcPr>
          <w:p>
            <w:pPr>
              <w:spacing w:after="0"/>
              <w:rPr>
                <w:sz w:val="20"/>
                <w:szCs w:val="20"/>
                <w:color w:val="auto"/>
              </w:rPr>
            </w:pPr>
            <w:r>
              <w:rPr>
                <w:rFonts w:ascii="Arial" w:cs="Arial" w:eastAsia="Arial" w:hAnsi="Arial"/>
                <w:sz w:val="18"/>
                <w:szCs w:val="18"/>
                <w:color w:val="auto"/>
                <w:w w:val="84"/>
              </w:rPr>
              <w:t>Release, dated August 4, 2010</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4560" w:type="dxa"/>
            <w:vAlign w:val="bottom"/>
            <w:gridSpan w:val="3"/>
          </w:tcPr>
          <w:p>
            <w:pPr>
              <w:ind w:left="1920"/>
              <w:spacing w:after="0"/>
              <w:rPr>
                <w:sz w:val="20"/>
                <w:szCs w:val="20"/>
                <w:color w:val="auto"/>
              </w:rPr>
            </w:pPr>
            <w:r>
              <w:rPr>
                <w:rFonts w:ascii="Arial" w:cs="Arial" w:eastAsia="Arial" w:hAnsi="Arial"/>
                <w:sz w:val="18"/>
                <w:szCs w:val="18"/>
                <w:b w:val="1"/>
                <w:bCs w:val="1"/>
                <w:color w:val="auto"/>
              </w:rPr>
              <w:t>EXLSERVICE HOLDINGS, INC.</w:t>
            </w:r>
          </w:p>
        </w:tc>
        <w:tc>
          <w:tcPr>
            <w:tcW w:w="3440" w:type="dxa"/>
            <w:vAlign w:val="bottom"/>
          </w:tcPr>
          <w:p>
            <w:pPr>
              <w:spacing w:after="0"/>
              <w:rPr>
                <w:sz w:val="19"/>
                <w:szCs w:val="19"/>
                <w:color w:val="auto"/>
              </w:rPr>
            </w:pPr>
          </w:p>
        </w:tc>
      </w:tr>
      <w:tr>
        <w:trPr>
          <w:trHeight w:val="222"/>
        </w:trPr>
        <w:tc>
          <w:tcPr>
            <w:tcW w:w="3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(Registrant)</w:t>
            </w:r>
          </w:p>
        </w:tc>
        <w:tc>
          <w:tcPr>
            <w:tcW w:w="3440" w:type="dxa"/>
            <w:vAlign w:val="bottom"/>
          </w:tcPr>
          <w:p>
            <w:pPr>
              <w:spacing w:after="0"/>
              <w:rPr>
                <w:sz w:val="19"/>
                <w:szCs w:val="19"/>
                <w:color w:val="auto"/>
              </w:rPr>
            </w:pPr>
          </w:p>
        </w:tc>
      </w:tr>
      <w:tr>
        <w:trPr>
          <w:trHeight w:val="434"/>
        </w:trPr>
        <w:tc>
          <w:tcPr>
            <w:tcW w:w="3420" w:type="dxa"/>
            <w:vAlign w:val="bottom"/>
          </w:tcPr>
          <w:p>
            <w:pPr>
              <w:spacing w:after="0"/>
              <w:rPr>
                <w:sz w:val="20"/>
                <w:szCs w:val="20"/>
                <w:color w:val="auto"/>
              </w:rPr>
            </w:pPr>
            <w:r>
              <w:rPr>
                <w:rFonts w:ascii="Arial" w:cs="Arial" w:eastAsia="Arial" w:hAnsi="Arial"/>
                <w:sz w:val="18"/>
                <w:szCs w:val="18"/>
                <w:color w:val="auto"/>
              </w:rPr>
              <w:t>Date: August 4, 2010</w:t>
            </w:r>
          </w:p>
        </w:tc>
        <w:tc>
          <w:tcPr>
            <w:tcW w:w="2220" w:type="dxa"/>
            <w:vAlign w:val="bottom"/>
          </w:tcPr>
          <w:p>
            <w:pPr>
              <w:ind w:left="19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228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15"/>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Name:</w:t>
            </w:r>
          </w:p>
        </w:tc>
        <w:tc>
          <w:tcPr>
            <w:tcW w:w="3440" w:type="dxa"/>
            <w:vAlign w:val="bottom"/>
          </w:tcPr>
          <w:p>
            <w:pPr>
              <w:jc w:val="center"/>
              <w:ind w:right="1606"/>
              <w:spacing w:after="0"/>
              <w:rPr>
                <w:sz w:val="20"/>
                <w:szCs w:val="20"/>
                <w:color w:val="auto"/>
              </w:rPr>
            </w:pPr>
            <w:r>
              <w:rPr>
                <w:rFonts w:ascii="Arial" w:cs="Arial" w:eastAsia="Arial" w:hAnsi="Arial"/>
                <w:sz w:val="14"/>
                <w:szCs w:val="14"/>
                <w:b w:val="1"/>
                <w:bCs w:val="1"/>
                <w:color w:val="auto"/>
                <w:w w:val="90"/>
              </w:rPr>
              <w:t>Vishal Chhibbar</w:t>
            </w:r>
          </w:p>
        </w:tc>
      </w:tr>
      <w:tr>
        <w:trPr>
          <w:trHeight w:val="237"/>
        </w:trPr>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440" w:type="dxa"/>
            <w:vAlign w:val="bottom"/>
          </w:tcPr>
          <w:p>
            <w:pPr>
              <w:jc w:val="center"/>
              <w:ind w:right="1626"/>
              <w:spacing w:after="0"/>
              <w:rPr>
                <w:sz w:val="20"/>
                <w:szCs w:val="20"/>
                <w:color w:val="auto"/>
              </w:rPr>
            </w:pPr>
            <w:r>
              <w:rPr>
                <w:rFonts w:ascii="Arial" w:cs="Arial" w:eastAsia="Arial" w:hAnsi="Arial"/>
                <w:sz w:val="14"/>
                <w:szCs w:val="14"/>
                <w:b w:val="1"/>
                <w:bCs w:val="1"/>
                <w:color w:val="auto"/>
                <w:w w:val="90"/>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980" w:type="dxa"/>
            <w:vAlign w:val="bottom"/>
            <w:gridSpan w:val="3"/>
          </w:tcPr>
          <w:p>
            <w:pPr>
              <w:ind w:left="42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w:t>
            </w:r>
          </w:p>
        </w:tc>
        <w:tc>
          <w:tcPr>
            <w:tcW w:w="2120" w:type="dxa"/>
            <w:vAlign w:val="bottom"/>
          </w:tcPr>
          <w:p>
            <w:pPr>
              <w:spacing w:after="0"/>
              <w:rPr>
                <w:sz w:val="20"/>
                <w:szCs w:val="20"/>
                <w:color w:val="auto"/>
              </w:rPr>
            </w:pPr>
            <w:r>
              <w:rPr>
                <w:rFonts w:ascii="Arial" w:cs="Arial" w:eastAsia="Arial" w:hAnsi="Arial"/>
                <w:sz w:val="18"/>
                <w:szCs w:val="18"/>
                <w:color w:val="auto"/>
                <w:w w:val="84"/>
              </w:rPr>
              <w:t>Release, dated August 4, 2010</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EXL REPORTS 2010 SECOND QUARTER RESULTS</w:t>
      </w:r>
    </w:p>
    <w:p>
      <w:pPr>
        <w:spacing w:after="0" w:line="177" w:lineRule="exact"/>
        <w:rPr>
          <w:sz w:val="20"/>
          <w:szCs w:val="20"/>
          <w:color w:val="auto"/>
        </w:rPr>
      </w:pPr>
    </w:p>
    <w:p>
      <w:pPr>
        <w:ind w:left="2960"/>
        <w:spacing w:after="0"/>
        <w:rPr>
          <w:sz w:val="20"/>
          <w:szCs w:val="20"/>
          <w:color w:val="auto"/>
        </w:rPr>
      </w:pPr>
      <w:r>
        <w:rPr>
          <w:rFonts w:ascii="Arial" w:cs="Arial" w:eastAsia="Arial" w:hAnsi="Arial"/>
          <w:sz w:val="18"/>
          <w:szCs w:val="18"/>
          <w:b w:val="1"/>
          <w:bCs w:val="1"/>
          <w:i w:val="1"/>
          <w:iCs w:val="1"/>
          <w:color w:val="auto"/>
        </w:rPr>
        <w:t>Quarterly Revenues of $60.6 Million and 13.5% Adjusted Operating Margin</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Announces Two Strategic Contract Wins With a Leading European Insurance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a Leading U.S. Insurance Company</w:t>
      </w:r>
    </w:p>
    <w:p>
      <w:pPr>
        <w:spacing w:after="0" w:line="16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New York, NY – August 4, 2010 – ExlService Holdings, Inc. (NASDAQ: EXLS), a leading provider of outsourcing and transformation services, today announced its financial results for the quarter ended June 30, 2010.</w:t>
      </w:r>
    </w:p>
    <w:p>
      <w:pPr>
        <w:spacing w:after="0" w:line="13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Rohit Kapoor, President and CEO, commented: “EXL’s deep domain knowledge and customer centric approach continues to resonate in the marketplace as exemplified by two strategic contract wins this quarter and continued broad-based business expansion. By tightly integrating EXL’s transformation capabilities with our outsourcing services, we have created an attractive and differentiated proposition that is driving new business. Our wins with a leading European insurance company and a leading U.S. insurance company cement our position as the provider of choice for clients seeking a long-term partner to deliver transformation and outsourcing solutions. These wins showcase the continued demand for our solutions across geographies and the strength of our analytical services capabilities.</w:t>
      </w:r>
    </w:p>
    <w:p>
      <w:pPr>
        <w:spacing w:after="0" w:line="14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Based on the momentum in our core business and the demand prospects in the market, we have increased our investment in client service and enhanced our future growth prospects by hiring world-class talent, such as our recent appointment of Bill Bloom as EVP, Global Client Services. EXL remains committed to serving the growing needs of our clients and investing in our management team and operational leadership to meet anticipated demand.”</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Vishal Chhibbar, CFO, commented: “EXL’s second quarter revenues grew 43.1% year-over-year and 11.3% sequentially. This growth was broad-based across our service lines and driven by a combination of volume expansions with new and existing clients as well as our recent acquisitions. In particular, demand for annuity-based transformation services grew at a rapid pace. Adjusted operating profit was up 71.9% year-over-year due to revenue growth combined with incremental margin expansion. As expected, adjusted operating margin for the quarter decreased sequentially to 13.5% from 15.6% in the first quarter of 2010, primarily due to annual wage increments and investments in people and infrastructure to support growth. Based on our strong year-to-date business results, we now expect to be at the top-end of our calendar year 2010 revenue guidance range and continue to expect to be at the top-end of our adjusted operating margin guidance range.”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right="14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2010 were $60.6 million compared to $42.4 million for the quarter ended June 30, 2009 and $54.5 million for the quarter ended March 31, 2010. Outsourcing services revenues for the quarter ended June 30, 2010 were $46.6 million compared to $34.5 million in the quarter ended June 30, 2009 and $41.6 million in the quarter ended March 31, 2010. Transformation services revenues for the quarter ended June 30, 2010 were $14.1 million compared to $7.9 million in the quarter ended June 30, 2009 and $12.9 million in the quarter ended March 31, 2010.</w:t>
      </w:r>
    </w:p>
    <w:p>
      <w:pPr>
        <w:spacing w:after="0" w:line="61"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2010 was 38.2% compared to 39.1% for the quarter ended June 30, 2009 and 42.2% for the quarter ended March 31, 2010. Outsourcing services gross margin for the quarter ended June 30, 2010 was 38.6% compared to 41.9% for the quarter ended June 30, 2009 and 43.3% for the quarter ended March 31, 2010. Transformation services gross margin for the quarter ended June 30, 2010 was 37.2% compared to 26.8% for the quarter ended June 30, 2009 and 38.7% for the quarter ended March 31, 2010.</w:t>
      </w:r>
    </w:p>
    <w:p>
      <w:pPr>
        <w:spacing w:after="0" w:line="31"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quarter ended June 30, 2010 was 8.7% compared to 6.6% for the quarter ended June 30, 2009 and 11.9% for the quarter ended March 31, 2010. Adjusted operating margin, excluding the impact of stock-based compensation expense and amortization of intangibles, for the quarter ended June 30, 2010 was 13.5% compared to 11.3% for the quarter ended June 30, 2009 and 15.6% for the quarter ended March 31, 2010. Net income for the quarter ended June 30, 2010 was $4.9 million compared to $1.3 million for the quarter ended June 30, 2009. Adjusted EBITDA for the quarter ended June 30, 2010 was $11.5 million compared to $7.6 million for the quarter ended June 30, 2009.</w:t>
      </w:r>
    </w:p>
    <w:p>
      <w:pPr>
        <w:spacing w:after="0" w:line="3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to common stockholders for the quarter ended June 30, 2010 were $0.16 compared to $0.04 for the quarter ended June 30, 2009 and $0.19 for the quarter ended March 31, 2010.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Awarded a five-year strategic contract with a leading European insurance company to provide a wide range of services across the insurance life cycle.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Awarded a three-year strategic contract to provide a suite of annuity-based decision analytics services for a leading U.S. insurance provider.</w:t>
      </w:r>
    </w:p>
    <w:p>
      <w:pPr>
        <w:spacing w:after="0" w:line="113"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executive leadership by appointing Bill Bloom as Executive Vice President, Global Client Services. Bill will lead all client-facing functions including sales and marketing, strategic account management and transformation services.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operations leadership with hiring of Jaideep Pradhan, as Senior Vice President and Center Head, EXL Philippines, as well as additional operations leadership.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Successfully integrated PDMA, Inc. and have commenced actively marketing the combined EXL LifePRO</w:t>
      </w:r>
      <w:r>
        <w:rPr>
          <w:rFonts w:ascii="Arial" w:cs="Arial" w:eastAsia="Arial" w:hAnsi="Arial"/>
          <w:sz w:val="10"/>
          <w:szCs w:val="10"/>
          <w:color w:val="auto"/>
        </w:rPr>
        <w:t>®</w:t>
      </w:r>
      <w:r>
        <w:rPr>
          <w:rFonts w:ascii="Arial" w:cs="Arial" w:eastAsia="Arial" w:hAnsi="Arial"/>
          <w:sz w:val="16"/>
          <w:szCs w:val="16"/>
          <w:color w:val="auto"/>
        </w:rPr>
        <w:t xml:space="preserve"> solution set and capabilities.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1 new outsourcing services client and 6 new transformation services clients.</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Headcount for the quarter ended June 30, 2010 was approximately 12,200. Experienced attrition in the second quarter of 34.6% for billable employees compared to 22.0% in the second quarter of 2009 and 32.7% in the first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updated guidance for calendar year 2010:</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expected to be at the top-end of our guidance range of $235.0 million to $240.0 million.</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is expected to be at the top-end of our guidance range of 12.0% to 14.0% at prevailing exchange rates.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EXL will host a conference call on Thursday, August 5, 2010 at 10:00 a.m. (ET) to discuss the Company’s quarterly results and operating performance.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will be available live via the internet by accessing the investor relations section of EXL’s website at www.exlservice.com, where the investor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factsheet can also be accessed. Please go to the website at least fifteen minutes prior to the call to register, download and install any necessary audio software.</w:t>
      </w:r>
    </w:p>
    <w:p>
      <w:pPr>
        <w:spacing w:after="0" w:line="18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To listen to the conference call via phone, please dial 1-877-303-6384 or 1-224-357-2191. For those who cannot access the live broadcast, a replay will be available by dialing 1-800-642-1687 or 1-706-645-9291 and entering the conference identification number “82113813” from two hours after the end of the call until 11:59 p.m. (ET) on August 19, 2010. The replay will also be available on the EXL website (www.exlservice.com).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2009.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34,448</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29,231,812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28,906,052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29,181,036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28,874,795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30,201,092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29,159,547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30,180,283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29,119,785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60" w:type="dxa"/>
            <w:vAlign w:val="bottom"/>
          </w:tcPr>
          <w:p>
            <w:pPr>
              <w:jc w:val="right"/>
              <w:ind w:right="3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$403 at June 30, 2010 and $262 at December 31, 2009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41,392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Advance income-tax,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145,557</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 of accumulated depreciation of $42,526 at June 30, 2010 and $35,812 at December 31, 2009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 net of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266,159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3,663</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29,461,594 shares issued and 29,209,092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outstanding as of June 30, 2010 and 29,278,103 shares issued and 29,031,073 shares outstanding as of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129,518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(4,377)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221,336</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8"/>
              </w:rPr>
              <w:t>Less: 252,502 shares as of June 30, 2010 and 247,030 shares as of December 31, 2009, held in treasury, at cost</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220,267</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220,287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266,159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4"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periods ended June 30, 2010, June 30, 2009 and March 31, 2010: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36"/>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4,869</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 Income tax provision, Other income/(expense)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5,272</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2,795</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2,404</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1,974</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8,196</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4,769</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13.5%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11.3%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11,533</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7,558</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11,377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19.0%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17.8%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2019-12-11T00:23:49Z</dcterms:created>
  <dcterms:modified xsi:type="dcterms:W3CDTF">2019-12-11T00:23:49Z</dcterms:modified>
</cp:coreProperties>
</file>