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OSTLER CLYDE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12/05/2019</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4,282</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18.24</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20,690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12/05/2019</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2,707</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69.42</w:t>
            </w:r>
            <w:r>
              <w:rPr>
                <w:rFonts w:ascii="Arial" w:cs="Arial" w:eastAsia="Arial" w:hAnsi="Arial"/>
                <w:sz w:val="22"/>
                <w:szCs w:val="22"/>
                <w:color w:val="008000"/>
                <w:w w:val="93"/>
                <w:vertAlign w:val="superscript"/>
              </w:rPr>
              <w:t>(3)</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17,983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00" w:type="dxa"/>
            <w:vAlign w:val="bottom"/>
            <w:gridSpan w:val="10"/>
          </w:tcPr>
          <w:p>
            <w:pPr>
              <w:ind w:left="1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4,282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18.24</w:t>
            </w: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12/05/2019</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4,282</w:t>
            </w:r>
          </w:p>
        </w:tc>
        <w:tc>
          <w:tcPr>
            <w:tcW w:w="820" w:type="dxa"/>
            <w:vAlign w:val="bottom"/>
            <w:gridSpan w:val="2"/>
            <w:vMerge w:val="continue"/>
          </w:tcPr>
          <w:p>
            <w:pPr>
              <w:spacing w:after="0"/>
              <w:rPr>
                <w:sz w:val="12"/>
                <w:szCs w:val="12"/>
                <w:color w:val="auto"/>
              </w:rPr>
            </w:pPr>
          </w:p>
        </w:tc>
        <w:tc>
          <w:tcPr>
            <w:tcW w:w="720" w:type="dxa"/>
            <w:vAlign w:val="bottom"/>
          </w:tcPr>
          <w:p>
            <w:pPr>
              <w:ind w:left="40"/>
              <w:spacing w:after="0" w:line="149" w:lineRule="exact"/>
              <w:rPr>
                <w:sz w:val="20"/>
                <w:szCs w:val="20"/>
                <w:color w:val="auto"/>
              </w:rPr>
            </w:pPr>
            <w:r>
              <w:rPr>
                <w:rFonts w:ascii="Arial" w:cs="Arial" w:eastAsia="Arial" w:hAnsi="Arial"/>
                <w:sz w:val="14"/>
                <w:szCs w:val="14"/>
                <w:color w:val="0000FF"/>
                <w:w w:val="94"/>
              </w:rPr>
              <w:t>01/04/2020</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80"/>
              <w:spacing w:after="0" w:line="149" w:lineRule="exact"/>
              <w:rPr>
                <w:sz w:val="20"/>
                <w:szCs w:val="20"/>
                <w:color w:val="auto"/>
              </w:rPr>
            </w:pPr>
            <w:r>
              <w:rPr>
                <w:rFonts w:ascii="Arial" w:cs="Arial" w:eastAsia="Arial" w:hAnsi="Arial"/>
                <w:sz w:val="14"/>
                <w:szCs w:val="14"/>
                <w:color w:val="0000FF"/>
                <w:w w:val="91"/>
              </w:rPr>
              <w:t>1,579</w:t>
            </w:r>
          </w:p>
        </w:tc>
        <w:tc>
          <w:tcPr>
            <w:tcW w:w="30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3"/>
              </w:rPr>
              <w:t>$0.001</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December 5, 2019, the reporting person exercised previously issued options to purchase an aggregate of 2,707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was made pursuant to a 10b5-1 plan previously entered into by the reporting person.</w:t>
      </w:r>
    </w:p>
    <w:p>
      <w:pPr>
        <w:spacing w:after="0" w:line="41" w:lineRule="exact"/>
        <w:rPr>
          <w:rFonts w:ascii="Arial" w:cs="Arial" w:eastAsia="Arial" w:hAnsi="Arial"/>
          <w:sz w:val="14"/>
          <w:szCs w:val="14"/>
          <w:color w:val="008000"/>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$69.05 to $69.94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4, 2010, the reporting person was granted 8,573 stock options. 100 percent of these options became vested and exercisable on December 31, 2010.</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Remarks: 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12/09/2019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7928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2019-12-09T16:38:35Z</dcterms:created>
  <dcterms:modified xsi:type="dcterms:W3CDTF">2019-12-09T16:38:35Z</dcterms:modified>
</cp:coreProperties>
</file>