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Sections 13 or 15(d) of the Securities Exchange Act of 1934</w:t>
      </w:r>
    </w:p>
    <w:p>
      <w:pPr>
        <w:pStyle w:val="TextBody"/>
        <w:bidi w:val="0"/>
        <w:spacing w:lineRule="auto" w:line="288" w:before="0" w:after="0"/>
        <w:jc w:val="center"/>
        <w:rPr/>
      </w:pPr>
      <w:r>
        <w:rPr>
          <w:color w:val="000000"/>
        </w:rPr>
        <w:t> </w:t>
      </w:r>
      <w:r>
        <w:rPr>
          <w:rFonts w:ascii="Times New Roman;serif" w:hAnsi="Times New Roman;serif"/>
          <w:b w:val="false"/>
          <w:color w:val="000000"/>
          <w:sz w:val="18"/>
        </w:rPr>
        <w:t>Date of Report (Date of earliest event reported):  July 29, 2025</w:t>
      </w:r>
      <w:r>
        <w:rPr>
          <w:color w:val="000000"/>
        </w:rPr>
        <w:t xml:space="preserve"> </w:t>
      </w:r>
    </w:p>
    <w:p>
      <w:pPr>
        <w:pStyle w:val="TextBody"/>
        <w:bidi w:val="0"/>
        <w:spacing w:lineRule="auto" w:line="288" w:before="0" w:after="0"/>
        <w:jc w:val="center"/>
        <w:rPr/>
      </w:pPr>
      <w:r>
        <w:rPr>
          <w:color w:val="000000"/>
        </w:rPr>
        <w:t> </w:t>
      </w:r>
      <w:r>
        <w:rPr>
          <w:rFonts w:ascii="Times New Roman;serif" w:hAnsi="Times New Roman;serif"/>
          <w:b/>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EXLSERVICE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w:t>
      </w:r>
    </w:p>
    <w:tbl>
      <w:tblPr>
        <w:tblW w:w="5953" w:type="dxa"/>
        <w:jc w:val="left"/>
        <w:tblInd w:w="0" w:type="dxa"/>
        <w:tblLayout w:type="fixed"/>
        <w:tblCellMar>
          <w:top w:w="28" w:type="dxa"/>
          <w:left w:w="28" w:type="dxa"/>
          <w:bottom w:w="28" w:type="dxa"/>
          <w:right w:w="28" w:type="dxa"/>
        </w:tblCellMar>
      </w:tblPr>
      <w:tblGrid>
        <w:gridCol w:w="877"/>
        <w:gridCol w:w="773"/>
        <w:gridCol w:w="779"/>
        <w:gridCol w:w="687"/>
        <w:gridCol w:w="687"/>
        <w:gridCol w:w="695"/>
        <w:gridCol w:w="424"/>
        <w:gridCol w:w="424"/>
        <w:gridCol w:w="607"/>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001-33089</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82-0572194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p>
      <w:pPr>
        <w:pStyle w:val="TextBody"/>
        <w:bidi w:val="0"/>
        <w:spacing w:before="0" w:after="0"/>
        <w:jc w:val="left"/>
        <w:rPr/>
      </w:pPr>
      <w:r>
        <w:rPr/>
      </w:r>
    </w:p>
    <w:tbl>
      <w:tblPr>
        <w:tblW w:w="4136" w:type="dxa"/>
        <w:jc w:val="center"/>
        <w:tblInd w:w="0" w:type="dxa"/>
        <w:tblLayout w:type="fixed"/>
        <w:tblCellMar>
          <w:top w:w="28" w:type="dxa"/>
          <w:left w:w="28" w:type="dxa"/>
          <w:bottom w:w="28" w:type="dxa"/>
          <w:right w:w="28" w:type="dxa"/>
        </w:tblCellMar>
      </w:tblPr>
      <w:tblGrid>
        <w:gridCol w:w="124"/>
        <w:gridCol w:w="109"/>
        <w:gridCol w:w="109"/>
        <w:gridCol w:w="608"/>
        <w:gridCol w:w="608"/>
        <w:gridCol w:w="610"/>
        <w:gridCol w:w="360"/>
        <w:gridCol w:w="360"/>
        <w:gridCol w:w="363"/>
        <w:gridCol w:w="259"/>
        <w:gridCol w:w="259"/>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320 Park Avenue, </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29</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8"/>
              </w:rPr>
              <w:t>Floor,</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New York,</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New York</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val="false"/>
          <w:color w:val="000000"/>
          <w:sz w:val="18"/>
        </w:rPr>
        <w:t>Registrant’s telephone number, including area code:</w:t>
      </w:r>
      <w:r>
        <w:rPr>
          <w:color w:val="000000"/>
        </w:rPr>
        <w:t>  </w:t>
      </w:r>
      <w:r>
        <w:rPr>
          <w:rFonts w:ascii="Times New Roman;serif" w:hAnsi="Times New Roman;serif"/>
          <w:b/>
          <w:color w:val="000000"/>
          <w:sz w:val="18"/>
        </w:rPr>
        <w:t xml:space="preserve">(212) 277-7100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5"/>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8234" w:type="dxa"/>
        <w:jc w:val="center"/>
        <w:tblInd w:w="0" w:type="dxa"/>
        <w:tblLayout w:type="fixed"/>
        <w:tblCellMar>
          <w:top w:w="28" w:type="dxa"/>
          <w:left w:w="28" w:type="dxa"/>
          <w:bottom w:w="28" w:type="dxa"/>
          <w:right w:w="28" w:type="dxa"/>
        </w:tblCellMar>
      </w:tblPr>
      <w:tblGrid>
        <w:gridCol w:w="1159"/>
        <w:gridCol w:w="1018"/>
        <w:gridCol w:w="1018"/>
        <w:gridCol w:w="520"/>
        <w:gridCol w:w="520"/>
        <w:gridCol w:w="520"/>
        <w:gridCol w:w="1019"/>
        <w:gridCol w:w="1019"/>
        <w:gridCol w:w="1441"/>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234"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 per share</w:t>
            </w:r>
          </w:p>
        </w:tc>
        <w:tc>
          <w:tcPr>
            <w:tcW w:w="15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EXLS</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28"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32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29, 2025, ExlService Holdings, Inc. (the “Company”) entered into a new supplemental confirmation (the “2025 Supplemental Confirmation”) to the prior master confirmation (the “Master ASR Confirmation”) (together with the 2025 Supplemental Confirmation, the “ASR Agreement”), with Citibank, N.A. (“Citibank”), as part of the Company’s previously announced $500 million common stock repurchase program. Under the 2025 Supplemental Confirmation, the Company will pay an aggregate amount of $125 million to Citibank for an initial number of shares of the Company’s common stock, par value $0.001 per share (the “Common Stock”) at the beginning of the transaction. The Company plans to fund the repurchase with available cash on hand and/or borrowing from its credit facility. The ultimate number of shares of Common Stock that the Company will repurchase under the 2025 Supplemental Confirmation will be based on the average of the daily volume-weighted average prices of the Common Stock during the term of the 2025 Supplemental Confirmation, less a discount and subject to adjustments pursuant to the terms and conditions of the ASR Agreement. At final settlement, Citibank may be required to deliver additional shares of Common Stock to the Company or, under certain circumstances, the Company may be required to make a cash payment or deliver shares of Common Stock, at its election, to Citibank.</w:t>
      </w:r>
    </w:p>
    <w:p>
      <w:pPr>
        <w:pStyle w:val="TextBody"/>
        <w:bidi w:val="0"/>
        <w:spacing w:before="0" w:after="0"/>
        <w:ind w:left="0" w:right="0" w:firstLine="720"/>
        <w:jc w:val="both"/>
        <w:rPr/>
      </w:pPr>
      <w:r>
        <w:rPr/>
      </w:r>
    </w:p>
    <w:p>
      <w:pPr>
        <w:pStyle w:val="TextBody"/>
        <w:bidi w:val="0"/>
        <w:spacing w:lineRule="auto" w:line="32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ASR Agreement contains the principal terms and provisions governing the accelerated share repurchase, including, but not limited to, the mechanism used to determine the number of shares of Common Stock that will be delivered, the required timing of delivery of the shares, the circumstances under which adjustments may be made to the transactions, the circumstances under which the transaction may be terminated prior to its scheduled maturity and various acknowledgments, representations and warranties made by the Company and Citibank to one another.</w:t>
      </w:r>
    </w:p>
    <w:p>
      <w:pPr>
        <w:pStyle w:val="TextBody"/>
        <w:bidi w:val="0"/>
        <w:spacing w:before="0" w:after="0"/>
        <w:ind w:left="0" w:right="0" w:firstLine="720"/>
        <w:jc w:val="both"/>
        <w:rPr/>
      </w:pPr>
      <w:r>
        <w:rPr/>
      </w:r>
    </w:p>
    <w:p>
      <w:pPr>
        <w:pStyle w:val="TextBody"/>
        <w:bidi w:val="0"/>
        <w:spacing w:lineRule="auto" w:line="32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Citibank and/or its affiliates have directly and indirectly engaged, and may engage in the future, in investment and/or commercial banking transactions with the Company for which Citibank has received, or may receive, customary compensation, fees and expense reimbursement.</w:t>
      </w:r>
    </w:p>
    <w:p>
      <w:pPr>
        <w:pStyle w:val="TextBody"/>
        <w:bidi w:val="0"/>
        <w:spacing w:before="0" w:after="0"/>
        <w:ind w:left="0" w:right="0" w:firstLine="720"/>
        <w:jc w:val="both"/>
        <w:rPr/>
      </w:pPr>
      <w:r>
        <w:rPr/>
      </w:r>
    </w:p>
    <w:p>
      <w:pPr>
        <w:pStyle w:val="TextBody"/>
        <w:bidi w:val="0"/>
        <w:spacing w:lineRule="auto" w:line="32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ASR Agreement does not purport to be complete and is qualified in its entirety by reference to the Master ASR Confirmation, which was filed as Exhibit 10.1 to the Company’s Current Report on Form 8-K filed on March 18, 2024.</w:t>
      </w:r>
    </w:p>
    <w:p>
      <w:pPr>
        <w:pStyle w:val="TextBody"/>
        <w:bidi w:val="0"/>
        <w:spacing w:before="0" w:after="0"/>
        <w:jc w:val="left"/>
        <w:rPr/>
      </w:pPr>
      <w:r>
        <w:rPr/>
      </w:r>
    </w:p>
    <w:p>
      <w:pPr>
        <w:pStyle w:val="TextBody"/>
        <w:bidi w:val="0"/>
        <w:spacing w:lineRule="auto" w:line="328" w:before="0" w:after="0"/>
        <w:jc w:val="left"/>
        <w:rPr/>
      </w:pPr>
      <w:r>
        <w:rPr>
          <w:rFonts w:ascii="Times New Roman;serif" w:hAnsi="Times New Roman;serif"/>
          <w:b/>
          <w:color w:val="000000"/>
          <w:sz w:val="20"/>
        </w:rPr>
        <w:t xml:space="preserve">Item 2.02. </w:t>
      </w:r>
      <w:r>
        <w:rPr>
          <w:rFonts w:ascii="Times New Roman;serif" w:hAnsi="Times New Roman;serif"/>
          <w:b/>
          <w:color w:val="000000"/>
          <w:sz w:val="20"/>
          <w:shd w:fill="FFFFFF" w:val="clear"/>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July 29, 2025, the Company reported its results of operations for the three months ended June 30, 2025. A copy of the press release issued by the Company concerning the foregoing is furnished herewith as Exhibit 99.1 and is incorporated herein by reference.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provided in Item 2.02 of this report, including Exhibit 99.1, shall not be deemed to be “filed” for purposes of Section 18 of the Securities Exchange Act of 1934, as amended.</w:t>
      </w:r>
    </w:p>
    <w:p>
      <w:pPr>
        <w:pStyle w:val="TextBody"/>
        <w:bidi w:val="0"/>
        <w:spacing w:before="0" w:after="0"/>
        <w:ind w:left="0" w:right="0" w:firstLine="720"/>
        <w:jc w:val="both"/>
        <w:rPr/>
      </w:pPr>
      <w:r>
        <w:rPr/>
      </w:r>
    </w:p>
    <w:p>
      <w:pPr>
        <w:pStyle w:val="TextBody"/>
        <w:bidi w:val="0"/>
        <w:spacing w:lineRule="auto" w:line="328" w:before="0" w:after="0"/>
        <w:ind w:left="0" w:right="0" w:hanging="990"/>
        <w:jc w:val="left"/>
        <w:rPr>
          <w:color w:val="000000"/>
        </w:rPr>
      </w:pPr>
      <w:r>
        <w:rPr>
          <w:color w:val="000000"/>
        </w:rPr>
        <w:t> </w:t>
      </w: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1782"/>
        <w:gridCol w:w="1782"/>
        <w:gridCol w:w="1788"/>
        <w:gridCol w:w="538"/>
        <w:gridCol w:w="538"/>
        <w:gridCol w:w="538"/>
        <w:gridCol w:w="538"/>
        <w:gridCol w:w="538"/>
        <w:gridCol w:w="769"/>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lq225pressrelease.htm">
              <w:r>
                <w:rPr>
                  <w:rStyle w:val="InternetLink"/>
                  <w:rFonts w:ascii="Times New Roman;serif" w:hAnsi="Times New Roman;serif"/>
                  <w:b w:val="false"/>
                  <w:color w:val="0000FF"/>
                  <w:sz w:val="20"/>
                  <w:u w:val="single"/>
                </w:rPr>
                <w:t>Press Release, dated July 29, 2025 (furnished pursuant to Item 2.02).</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628" w:type="dxa"/>
        <w:jc w:val="left"/>
        <w:tblInd w:w="0" w:type="dxa"/>
        <w:tblLayout w:type="fixed"/>
        <w:tblCellMar>
          <w:top w:w="28" w:type="dxa"/>
          <w:left w:w="28" w:type="dxa"/>
          <w:bottom w:w="28" w:type="dxa"/>
          <w:right w:w="28" w:type="dxa"/>
        </w:tblCellMar>
      </w:tblPr>
      <w:tblGrid>
        <w:gridCol w:w="443"/>
        <w:gridCol w:w="390"/>
        <w:gridCol w:w="396"/>
        <w:gridCol w:w="463"/>
        <w:gridCol w:w="463"/>
        <w:gridCol w:w="463"/>
        <w:gridCol w:w="589"/>
        <w:gridCol w:w="589"/>
        <w:gridCol w:w="832"/>
      </w:tblGrid>
      <w:tr>
        <w:trPr/>
        <w:tc>
          <w:tcPr>
            <w:tcW w:w="44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EXLSERVICE HOLDINGS, INC.</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2025</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Maurizio Nicolelli</w:t>
            </w:r>
          </w:p>
        </w:tc>
      </w:tr>
      <w:tr>
        <w:trPr/>
        <w:tc>
          <w:tcPr>
            <w:tcW w:w="12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2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Maurizio Nicolelli</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hanging="28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40" w:after="283"/>
        <w:jc w:val="left"/>
        <w:rPr/>
      </w:pPr>
      <w:r>
        <w:rPr/>
      </w:r>
    </w:p>
    <w:p>
      <w:pPr>
        <w:pStyle w:val="TextBody"/>
        <w:bidi w:val="0"/>
        <w:spacing w:before="14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EXL REPORTS 2025 SECOND QUARTER RESULTS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2025 Second Quarter Revenue of $514.5 Million, up 14.7% year-over-year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4"/>
        </w:rPr>
      </w:pPr>
      <w:r>
        <w:rPr>
          <w:rFonts w:ascii="Times New Roman;serif" w:hAnsi="Times New Roman;serif"/>
          <w:b/>
          <w:i/>
          <w:color w:val="000000"/>
          <w:sz w:val="24"/>
        </w:rPr>
        <w:t>Q2 Diluted EPS (GAAP) of $0.40, up 43.9% from $0.28 in Q2 of 2024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i/>
          <w:color w:val="000000"/>
          <w:sz w:val="24"/>
        </w:rPr>
        <w:t xml:space="preserve">Q2 Adjusted Diluted EPS (Non-GAAP) </w:t>
      </w:r>
      <w:r>
        <w:rPr>
          <w:rFonts w:ascii="Times New Roman;serif" w:hAnsi="Times New Roman;serif"/>
          <w:b/>
          <w:i/>
          <w:color w:val="000000"/>
          <w:sz w:val="16"/>
        </w:rPr>
        <w:t>(1)</w:t>
      </w:r>
      <w:r>
        <w:rPr>
          <w:color w:val="000000"/>
        </w:rPr>
        <w:t xml:space="preserve"> </w:t>
      </w:r>
      <w:r>
        <w:rPr>
          <w:rFonts w:ascii="Times New Roman;serif" w:hAnsi="Times New Roman;serif"/>
          <w:b/>
          <w:i/>
          <w:color w:val="000000"/>
          <w:sz w:val="24"/>
        </w:rPr>
        <w:t>of $0.49, up 20.3% from $0.40 in Q2 of 2024</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erif" w:hAnsi="Times New Roman;serif"/>
          <w:b/>
          <w:color w:val="000000"/>
          <w:sz w:val="20"/>
        </w:rPr>
        <w:t>NEW YORK</w:t>
      </w:r>
      <w:r>
        <w:rPr>
          <w:color w:val="000000"/>
        </w:rPr>
        <w:t xml:space="preserve"> – </w:t>
      </w:r>
      <w:r>
        <w:rPr>
          <w:rFonts w:ascii="Times New Roman;serif" w:hAnsi="Times New Roman;serif"/>
          <w:b/>
          <w:color w:val="000000"/>
          <w:sz w:val="20"/>
        </w:rPr>
        <w:t>July 29, 2025</w:t>
      </w:r>
      <w:r>
        <w:rPr>
          <w:color w:val="000000"/>
        </w:rPr>
        <w:t xml:space="preserve"> </w:t>
      </w:r>
      <w:r>
        <w:rPr>
          <w:rFonts w:ascii="Times New Roman;serif" w:hAnsi="Times New Roman;serif"/>
          <w:b w:val="false"/>
          <w:color w:val="000000"/>
          <w:sz w:val="20"/>
        </w:rPr>
        <w:t>(GLOBE NEWSWIRE) - ExlService Holdings, Inc. (NASDAQ: EXLS), a global data and AI company, today announced its financial results for the quarter ended June 30, 2025.</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Chairman and Chief Executive Officer Rohit Kapoor said, “I am pleased to report another strong quarter as we delivered revenue growth of 15% and increased our adjusted diluted EPS by 20%. Our sustained double-digit growth demonstrates the strength of our competitive position as a global data and AI company. EXL’s recognized leadership in embedding AI in the workflow is resonating strongly with our clients and fueling our growth.”</w:t>
      </w:r>
    </w:p>
    <w:p>
      <w:pPr>
        <w:pStyle w:val="TextBody"/>
        <w:bidi w:val="0"/>
        <w:spacing w:before="0" w:after="0"/>
        <w:jc w:val="left"/>
        <w:rPr/>
      </w:pPr>
      <w:r>
        <w:rPr/>
      </w:r>
    </w:p>
    <w:p>
      <w:pPr>
        <w:pStyle w:val="TextBody"/>
        <w:bidi w:val="0"/>
        <w:spacing w:lineRule="auto" w:line="360"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Maurizio Nicolelli said, “While we remain prudent in our outlook, our strong momentum gives us confidence to raise our revenue and adjusted diluted EPS guidance for the year. We now expect revenue to be in the range of $2.050 billion to $2.070 billion, up from our prior guidance of $2.035 billion to $2.065 billion. This represents 12% to 13% year-over-year growth on both a reported and constant currency basis. We now expect our adjusted diluted earnings per share for 2025 to be in the range of $1.86 to $1.90, up from our prior guidance of $1.83 to $1.89, representing a 13% to 15% increase over 2024, as we continue to accelerate our data and AI investments to generate future growth.”</w:t>
      </w:r>
    </w:p>
    <w:p>
      <w:pPr>
        <w:pStyle w:val="TextBody"/>
        <w:bidi w:val="0"/>
        <w:spacing w:before="0" w:after="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lineRule="auto" w:line="336" w:before="100" w:after="100"/>
        <w:jc w:val="both"/>
        <w:rPr>
          <w:rFonts w:ascii="Times New Roman;serif" w:hAnsi="Times New Roman;serif"/>
          <w:b/>
          <w:i/>
          <w:color w:val="000000"/>
          <w:sz w:val="20"/>
        </w:rPr>
      </w:pPr>
      <w:r>
        <w:rPr>
          <w:rFonts w:ascii="Times New Roman;serif" w:hAnsi="Times New Roman;serif"/>
          <w:b/>
          <w:i/>
          <w:color w:val="000000"/>
          <w:sz w:val="20"/>
        </w:rPr>
        <w:t>__________________________________________________________</w:t>
      </w:r>
    </w:p>
    <w:p>
      <w:pPr>
        <w:pStyle w:val="TextBody"/>
        <w:bidi w:val="0"/>
        <w:spacing w:lineRule="auto" w:line="28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00" w:after="283"/>
        <w:jc w:val="both"/>
        <w:rPr>
          <w:rFonts w:ascii="Times New Roman;serif" w:hAnsi="Times New Roman;serif"/>
          <w:b/>
          <w:color w:val="000000"/>
          <w:sz w:val="20"/>
        </w:rPr>
      </w:pPr>
      <w:r>
        <w:rPr>
          <w:rFonts w:ascii="Times New Roman;serif" w:hAnsi="Times New Roman;serif"/>
          <w:b/>
          <w:color w:val="000000"/>
          <w:sz w:val="20"/>
        </w:rPr>
        <w:t>Financial Highlights: Second Quarter 2025</w:t>
      </w:r>
    </w:p>
    <w:p>
      <w:pPr>
        <w:pStyle w:val="TextBody"/>
        <w:bidi w:val="0"/>
        <w:spacing w:before="100" w:after="283"/>
        <w:jc w:val="both"/>
        <w:rPr/>
      </w:pPr>
      <w:r>
        <w:rPr/>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Revenue for the quarter ended June 30, 2025, increased to $514.5 million compared to $448.4 million for the second quarter of 2024, an increase of 14.7% on a reported basis and 14.6% on a constant currency basis. Revenue increased by 2.7% sequentially on a reported basis and 2.2% on a constant currency basis, from the first quarter of 2025.</w:t>
      </w:r>
    </w:p>
    <w:tbl>
      <w:tblPr>
        <w:tblW w:w="10205" w:type="dxa"/>
        <w:jc w:val="left"/>
        <w:tblInd w:w="0" w:type="dxa"/>
        <w:tblLayout w:type="fixed"/>
        <w:tblCellMar>
          <w:top w:w="28" w:type="dxa"/>
          <w:left w:w="28" w:type="dxa"/>
          <w:bottom w:w="28" w:type="dxa"/>
          <w:right w:w="28" w:type="dxa"/>
        </w:tblCellMar>
      </w:tblPr>
      <w:tblGrid>
        <w:gridCol w:w="766"/>
        <w:gridCol w:w="658"/>
        <w:gridCol w:w="660"/>
        <w:gridCol w:w="109"/>
        <w:gridCol w:w="109"/>
        <w:gridCol w:w="109"/>
        <w:gridCol w:w="227"/>
        <w:gridCol w:w="682"/>
        <w:gridCol w:w="117"/>
        <w:gridCol w:w="109"/>
        <w:gridCol w:w="109"/>
        <w:gridCol w:w="109"/>
        <w:gridCol w:w="227"/>
        <w:gridCol w:w="682"/>
        <w:gridCol w:w="117"/>
        <w:gridCol w:w="109"/>
        <w:gridCol w:w="109"/>
        <w:gridCol w:w="109"/>
        <w:gridCol w:w="239"/>
        <w:gridCol w:w="715"/>
        <w:gridCol w:w="123"/>
        <w:gridCol w:w="109"/>
        <w:gridCol w:w="109"/>
        <w:gridCol w:w="109"/>
        <w:gridCol w:w="262"/>
        <w:gridCol w:w="264"/>
        <w:gridCol w:w="440"/>
        <w:gridCol w:w="109"/>
        <w:gridCol w:w="109"/>
        <w:gridCol w:w="109"/>
        <w:gridCol w:w="262"/>
        <w:gridCol w:w="264"/>
        <w:gridCol w:w="440"/>
        <w:gridCol w:w="109"/>
        <w:gridCol w:w="109"/>
        <w:gridCol w:w="109"/>
        <w:gridCol w:w="263"/>
        <w:gridCol w:w="263"/>
        <w:gridCol w:w="572"/>
      </w:tblGrid>
      <w:tr>
        <w:trPr/>
        <w:tc>
          <w:tcPr>
            <w:tcW w:w="76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Margin</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2025</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 xml:space="preserve">Reportable Segments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77"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96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 and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Banking, Capital Markets and Diversified Industries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Growth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514.5</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448.4</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501.0</w:t>
            </w:r>
            <w:r>
              <w:rPr>
                <w:color w:val="000000"/>
              </w:rPr>
              <w:t>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w:t>
            </w:r>
            <w:r>
              <w:rPr>
                <w:color w:val="000000"/>
              </w:rPr>
              <w:t>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37.1</w:t>
            </w:r>
            <w:r>
              <w:rPr>
                <w:color w:val="000000"/>
              </w:rPr>
              <w:t>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38.6</w:t>
            </w:r>
            <w:r>
              <w:rPr>
                <w:color w:val="000000"/>
              </w:rPr>
              <w:t> </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100" w:after="283"/>
        <w:jc w:val="both"/>
        <w:rPr/>
      </w:pPr>
      <w:r>
        <w:rPr/>
      </w:r>
    </w:p>
    <w:p>
      <w:pPr>
        <w:pStyle w:val="TextBody"/>
        <w:bidi w:val="0"/>
        <w:spacing w:lineRule="auto" w:line="345" w:before="10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 the first quarter of 2025, the Company implemented operational and structural changes to accelerate the execution of its data and AI-led strategy. Under the new structure, beginning with the three months ended March 31, 2025, the Company reports its financial performance based on new segments presented in the table above. In conjunction with the new reporting structure, the Company has recast prior period amounts, wherever applicable, to conform to the way the Company internally manages and monitors segment performance.</w:t>
      </w:r>
    </w:p>
    <w:p>
      <w:pPr>
        <w:pStyle w:val="TextBody"/>
        <w:bidi w:val="0"/>
        <w:spacing w:before="140" w:after="283"/>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Operating income margin for the quarter ended June 30, 2025 was 15.8%, compared to 13.7% for the second quarter of 2024 and 15.7% for the first quarter of 2025. Adjusted operating income margin for the quarter ended June 30, 2025 was 19.6%, compared to 19.8% for the second quarter of 2024 and 20.1% for the first quarter of 2025.</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erif" w:hAnsi="Times New Roman;serif"/>
          <w:b w:val="false"/>
          <w:color w:val="000000"/>
          <w:sz w:val="20"/>
        </w:rPr>
        <w:t>Diluted earnings per share for the quarter ended June 30, 2025 was $0.40, compared to $0.28 for the second quarter of 2024 and $0.40 for the first quarter of 2025. Adjusted diluted earnings per share for the quarter ended June 30, 2025 was $0.49, compared to $0.40 for the second quarter of 2024 and $0.48 for the first quarter of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Business Highlights: Second Quarter 2025</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Won 13 new clients in the second quarter of 2025</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Named a World Economic Forum (WEF) 2025 MINDS (Meaningful, Intelligent, Novel, Deployable Solutions) Winner for Code Harbor™, an AI-powered platform modernization solution. The award is part of the WEF AI Governance Alliance to identify AI applications that are delivering real impact at scale</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Named a Leader and Star Performer in the Everest Group Payment Integrity Solutions PEAK Matrix</w:t>
      </w:r>
      <w:r>
        <w:rPr>
          <w:rFonts w:ascii="Times New Roman;serif" w:hAnsi="Times New Roman;serif"/>
          <w:b w:val="false"/>
          <w:color w:val="000000"/>
          <w:sz w:val="13"/>
        </w:rPr>
        <w:t xml:space="preserve">® </w:t>
      </w:r>
      <w:r>
        <w:rPr>
          <w:rFonts w:ascii="Times New Roman;serif" w:hAnsi="Times New Roman;serif"/>
          <w:b w:val="false"/>
          <w:color w:val="000000"/>
          <w:sz w:val="20"/>
        </w:rPr>
        <w:t>Assessment 2025, based on EXL’s diverse, adaptable payment integrity solution engagement models, which are integrated with generative AI, natural language processing and machine learning as key drivers of their performance</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Recognized as a Microsoft Solutions Partner for Data and AI. This designation acknowledges EXL’s advanced capabilities in helping clients manage data across systems and build transformative analytics and AI solutions on Microsoft platforms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Expanded partnership with Databricks to deploy a generative AI-enabled SAS to Databricks Data Intelligence Platform migration solution. Leveraging EXL’s Code Harbor™, the solution helps enterprises streamline their transition from SAS to Databricks to support enhanced cloud modernization initiatives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Achieved the Amazon Web Services (AWS) Generative AI Competency within the AWS Partner Network. The designation recognizes EXL as a trusted AWS Partner with deep domain expertise and proven success in delivering generative AI solutions, positioning the company among a select group of organizations recommended by AWS to customers seeking advanced generative AI capabilities</w:t>
      </w:r>
    </w:p>
    <w:p>
      <w:pPr>
        <w:pStyle w:val="TextBody"/>
        <w:bidi w:val="0"/>
        <w:spacing w:lineRule="auto" w:line="360" w:before="120" w:after="283"/>
        <w:ind w:left="0" w:right="0" w:hanging="270"/>
        <w:jc w:val="both"/>
        <w:rPr/>
      </w:pPr>
      <w:r>
        <w:rPr>
          <w:color w:val="000000"/>
        </w:rPr>
        <w:t>•</w:t>
      </w:r>
      <w:r>
        <w:rPr>
          <w:rFonts w:ascii="Times New Roman;serif" w:hAnsi="Times New Roman;serif"/>
          <w:b w:val="false"/>
          <w:color w:val="000000"/>
          <w:sz w:val="20"/>
        </w:rPr>
        <w:t>EXL entered into an accelerated share repurchase agreement on July 29 to repurchase $125 million of the company’s common stock as part of its current $500 million stock repurchase program</w:t>
      </w:r>
    </w:p>
    <w:p>
      <w:pPr>
        <w:pStyle w:val="TextBody"/>
        <w:bidi w:val="0"/>
        <w:spacing w:lineRule="auto" w:line="417" w:before="240" w:after="283"/>
        <w:jc w:val="both"/>
        <w:rPr>
          <w:rFonts w:ascii="Times New Roman;serif" w:hAnsi="Times New Roman;serif"/>
          <w:b/>
          <w:color w:val="000000"/>
          <w:sz w:val="20"/>
        </w:rPr>
      </w:pPr>
      <w:r>
        <w:rPr>
          <w:rFonts w:ascii="Times New Roman;serif" w:hAnsi="Times New Roman;serif"/>
          <w:b/>
          <w:color w:val="000000"/>
          <w:sz w:val="20"/>
        </w:rPr>
        <w:t>2025 Guidance</w: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Based on current visibility, and a U.S. dollar to Indian rupee exchange rate of 86.0, U.K. pound sterling to U.S. dollar exchange rate of 1.35, U.S. dollar to the Philippine peso exchange rate of 56.5 and all other currencies at current exchange rates, we are providing the following guidance for the full year 2025:</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Revenue of $2.050 billion to $2.070 billion, representing an increase of 12% to 13% on both a reported and constant currency basis from 2024.</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erif" w:hAnsi="Times New Roman;serif"/>
          <w:b w:val="false"/>
          <w:color w:val="000000"/>
          <w:sz w:val="20"/>
        </w:rPr>
        <w:t>Adjusted diluted earnings per share of $1.86 to $1.90, representing an increase of 13% to 15% from 2024.</w:t>
      </w:r>
    </w:p>
    <w:p>
      <w:pPr>
        <w:pStyle w:val="TextBody"/>
        <w:bidi w:val="0"/>
        <w:spacing w:before="0" w:after="0"/>
        <w:ind w:left="0" w:right="0" w:firstLine="135"/>
        <w:jc w:val="both"/>
        <w:rPr/>
      </w:pPr>
      <w:r>
        <w:rPr/>
      </w:r>
    </w:p>
    <w:p>
      <w:pPr>
        <w:pStyle w:val="TextBody"/>
        <w:bidi w:val="0"/>
        <w:spacing w:lineRule="auto" w:line="345" w:before="0" w:after="0"/>
        <w:jc w:val="both"/>
        <w:rPr>
          <w:rFonts w:ascii="Times New Roman;serif" w:hAnsi="Times New Roman;serif"/>
          <w:b/>
          <w:i/>
          <w:color w:val="000000"/>
          <w:sz w:val="20"/>
          <w:u w:val="single"/>
        </w:rPr>
      </w:pPr>
      <w:r>
        <w:rPr>
          <w:rFonts w:ascii="Times New Roman;serif" w:hAnsi="Times New Roman;serif"/>
          <w:b/>
          <w:i/>
          <w:color w:val="000000"/>
          <w:sz w:val="20"/>
          <w:u w:val="single"/>
        </w:rPr>
        <w:t>Conference Call</w:t>
      </w:r>
    </w:p>
    <w:p>
      <w:pPr>
        <w:pStyle w:val="TextBody"/>
        <w:bidi w:val="0"/>
        <w:spacing w:before="0" w:after="0"/>
        <w:jc w:val="both"/>
        <w:rPr/>
      </w:pPr>
      <w:r>
        <w:rPr/>
      </w:r>
    </w:p>
    <w:p>
      <w:pPr>
        <w:pStyle w:val="TextBody"/>
        <w:bidi w:val="0"/>
        <w:spacing w:lineRule="auto" w:line="345" w:before="0" w:after="0"/>
        <w:jc w:val="both"/>
        <w:rPr/>
      </w:pPr>
      <w:r>
        <w:rPr>
          <w:rFonts w:ascii="Times New Roman;serif" w:hAnsi="Times New Roman;serif"/>
          <w:b w:val="false"/>
          <w:color w:val="000000"/>
          <w:sz w:val="20"/>
        </w:rPr>
        <w:t xml:space="preserve">ExlService Holdings, Inc. will host a conference call on Wednesday, July 30, 2025, at 10:00 A.M. ET to discuss the Company’s quarterly operating and financial results. The conference call will be available live via the internet by accessing the investor relations section of EXL’s website at </w:t>
      </w:r>
      <w:r>
        <w:rPr>
          <w:rFonts w:ascii="Times New Roman;serif" w:hAnsi="Times New Roman;serif"/>
          <w:b w:val="false"/>
          <w:color w:val="0000FF"/>
          <w:sz w:val="20"/>
          <w:u w:val="single"/>
        </w:rPr>
        <w:t>ir.exlservice.com</w:t>
      </w:r>
      <w:r>
        <w:rPr>
          <w:rFonts w:ascii="Times New Roman;serif" w:hAnsi="Times New Roman;serif"/>
          <w:b w:val="false"/>
          <w:color w:val="000000"/>
          <w:sz w:val="20"/>
        </w:rPr>
        <w:t>, where an accompanying investor-friendly spreadsheet of historical operating and financial data can also be accessed. Please access the website at least fifteen minutes prior to the call to register, download and install any necessary audio software.</w:t>
      </w:r>
    </w:p>
    <w:p>
      <w:pPr>
        <w:pStyle w:val="TextBody"/>
        <w:bidi w:val="0"/>
        <w:spacing w:before="0" w:after="0"/>
        <w:jc w:val="both"/>
        <w:rPr/>
      </w:pPr>
      <w:r>
        <w:rPr/>
      </w:r>
    </w:p>
    <w:p>
      <w:pPr>
        <w:pStyle w:val="TextBody"/>
        <w:bidi w:val="0"/>
        <w:spacing w:lineRule="auto" w:line="345"/>
        <w:jc w:val="both"/>
        <w:rPr/>
      </w:pPr>
      <w:r>
        <w:rPr>
          <w:rFonts w:ascii="Times New Roman;serif" w:hAnsi="Times New Roman;serif"/>
          <w:b w:val="false"/>
          <w:color w:val="000000"/>
          <w:sz w:val="20"/>
        </w:rPr>
        <w:t xml:space="preserve">To join the live call, please register </w:t>
      </w:r>
      <w:r>
        <w:rPr>
          <w:rFonts w:ascii="Times New Roman;serif" w:hAnsi="Times New Roman;serif"/>
          <w:b w:val="false"/>
          <w:color w:val="0000FF"/>
          <w:sz w:val="20"/>
          <w:u w:val="single"/>
        </w:rPr>
        <w:t>here</w:t>
      </w:r>
      <w:r>
        <w:rPr>
          <w:rFonts w:ascii="Times New Roman;serif" w:hAnsi="Times New Roman;serif"/>
          <w:b w:val="false"/>
          <w:color w:val="0000FF"/>
          <w:sz w:val="20"/>
        </w:rPr>
        <w:t xml:space="preserve">. </w:t>
      </w:r>
      <w:r>
        <w:rPr>
          <w:rFonts w:ascii="Times New Roman;serif" w:hAnsi="Times New Roman;serif"/>
          <w:b w:val="false"/>
          <w:color w:val="000000"/>
          <w:sz w:val="20"/>
        </w:rPr>
        <w:t xml:space="preserve">A dial-in and unique PIN will be provided to join the call. For those who cannot access the live broadcast, a replay will be available on the EXL website </w:t>
      </w:r>
      <w:r>
        <w:rPr>
          <w:rFonts w:ascii="Times New Roman;serif" w:hAnsi="Times New Roman;serif"/>
          <w:b w:val="false"/>
          <w:color w:val="0000FF"/>
          <w:sz w:val="20"/>
          <w:u w:val="single"/>
        </w:rPr>
        <w:t>ir.exlservice.com</w:t>
      </w:r>
      <w:r>
        <w:rPr>
          <w:color w:val="000000"/>
        </w:rPr>
        <w:t xml:space="preserve"> </w:t>
      </w:r>
      <w:r>
        <w:rPr>
          <w:rFonts w:ascii="Times New Roman;serif" w:hAnsi="Times New Roman;serif"/>
          <w:b w:val="false"/>
          <w:color w:val="000000"/>
          <w:sz w:val="20"/>
        </w:rPr>
        <w:t>for a period of twelve months.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color w:val="000000"/>
          <w:sz w:val="20"/>
        </w:rPr>
      </w:pPr>
      <w:r>
        <w:rPr>
          <w:rFonts w:ascii="Times New Roman;serif" w:hAnsi="Times New Roman;serif"/>
          <w:b/>
          <w:color w:val="000000"/>
          <w:sz w:val="20"/>
        </w:rPr>
        <w:t>About ExlService Holdings, Inc.</w:t>
      </w:r>
    </w:p>
    <w:p>
      <w:pPr>
        <w:pStyle w:val="TextBody"/>
        <w:bidi w:val="0"/>
        <w:spacing w:lineRule="auto" w:line="417" w:before="120" w:after="283"/>
        <w:jc w:val="both"/>
        <w:rPr/>
      </w:pPr>
      <w:r>
        <w:rPr>
          <w:rFonts w:ascii="Times New Roman;serif" w:hAnsi="Times New Roman;serif"/>
          <w:b w:val="false"/>
          <w:color w:val="000000"/>
          <w:sz w:val="20"/>
        </w:rPr>
        <w:t xml:space="preserve">EXL (NASDAQ: EXLS) is a global data and artificial intelligence ("AI") company that offers services and solutions to reinvent client business models, drive better outcomes and unlock growth with speed. EXL harnesses the power of data, AI, and deep industry knowledge to transform businesses, including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61,000 employees spanning six continents. For more information, visit </w:t>
      </w:r>
      <w:r>
        <w:rPr>
          <w:rFonts w:ascii="Times New Roman;serif" w:hAnsi="Times New Roman;serif"/>
          <w:b w:val="false"/>
          <w:color w:val="0000FF"/>
          <w:sz w:val="20"/>
          <w:u w:val="single"/>
        </w:rPr>
        <w:t>www.exlservice.com.</w:t>
      </w:r>
    </w:p>
    <w:p>
      <w:pPr>
        <w:pStyle w:val="TextBody"/>
        <w:bidi w:val="0"/>
        <w:spacing w:before="0" w:after="0"/>
        <w:jc w:val="both"/>
        <w:rPr/>
      </w:pPr>
      <w:r>
        <w:rPr/>
      </w:r>
    </w:p>
    <w:p>
      <w:pPr>
        <w:pStyle w:val="TextBody"/>
        <w:bidi w:val="0"/>
        <w:spacing w:lineRule="auto" w:line="345" w:before="120" w:after="283"/>
        <w:jc w:val="both"/>
        <w:rPr/>
      </w:pPr>
      <w:r>
        <w:rPr>
          <w:rFonts w:ascii="Times New Roman;serif" w:hAnsi="Times New Roman;serif"/>
          <w:b/>
          <w:color w:val="000000"/>
          <w:sz w:val="20"/>
        </w:rPr>
        <w:t>Cautionary Statement Regarding Forward-Looking Statements</w:t>
      </w:r>
      <w:r>
        <w:rPr>
          <w:color w:val="000000"/>
        </w:rPr>
        <w:t xml:space="preserve"> </w:t>
      </w:r>
      <w:r>
        <w:rPr>
          <w:rFonts w:ascii="Times New Roman;serif" w:hAnsi="Times New Roman;serif"/>
          <w:b w:val="false"/>
          <w:i/>
          <w:color w:val="000000"/>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CONSOLIDATED STATEMENTS OF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533"/>
        <w:gridCol w:w="1239"/>
        <w:gridCol w:w="1225"/>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41"/>
        <w:gridCol w:w="945"/>
        <w:gridCol w:w="155"/>
      </w:tblGrid>
      <w:tr>
        <w:trPr/>
        <w:tc>
          <w:tcPr>
            <w:tcW w:w="15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net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884,873 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revenues </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Gross profit </w:t>
            </w:r>
            <w:r>
              <w:rPr>
                <w:rFonts w:ascii="Times New Roman;serif" w:hAnsi="Times New Roman;serif"/>
                <w:b/>
                <w:color w:val="000000"/>
                <w:sz w:val="13"/>
              </w:rPr>
              <w:t>(1)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194,188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166,260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387,502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329,343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206,370 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159,553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122,973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gain,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income tax expense and earnings from equity affiliates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84,738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164,904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122,251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earnings from equity affiliates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132,862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94,625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equity-method investment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132,612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94,588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used in computing earnings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162,709,034 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163,938,263 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164,193,258 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164,376,498 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165,344,304 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120"/>
        <w:ind w:left="0" w:right="0" w:firstLine="270"/>
        <w:jc w:val="left"/>
        <w:rPr/>
      </w:pPr>
      <w:r>
        <w:rPr/>
      </w:r>
    </w:p>
    <w:p>
      <w:pPr>
        <w:pStyle w:val="TextBody"/>
        <w:bidi w:val="0"/>
        <w:spacing w:lineRule="auto" w:line="288" w:before="20" w:after="120"/>
        <w:ind w:left="0" w:right="0" w:firstLine="270"/>
        <w:jc w:val="left"/>
        <w:rPr>
          <w:rFonts w:ascii="Times New Roman;serif" w:hAnsi="Times New Roman;serif"/>
          <w:b w:val="false"/>
          <w:i/>
          <w:color w:val="000000"/>
          <w:sz w:val="18"/>
        </w:rPr>
      </w:pPr>
      <w:r>
        <w:rPr>
          <w:rFonts w:ascii="Times New Roman;serif" w:hAnsi="Times New Roman;serif"/>
          <w:b w:val="false"/>
          <w:i/>
          <w:color w:val="000000"/>
          <w:sz w:val="18"/>
        </w:rPr>
        <w:t>(1) Exclusive of depreciation and amortization expense.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639"/>
        <w:gridCol w:w="2065"/>
        <w:gridCol w:w="2098"/>
        <w:gridCol w:w="109"/>
        <w:gridCol w:w="109"/>
        <w:gridCol w:w="109"/>
        <w:gridCol w:w="211"/>
        <w:gridCol w:w="991"/>
        <w:gridCol w:w="109"/>
        <w:gridCol w:w="109"/>
        <w:gridCol w:w="109"/>
        <w:gridCol w:w="109"/>
        <w:gridCol w:w="223"/>
        <w:gridCol w:w="1050"/>
        <w:gridCol w:w="165"/>
      </w:tblGrid>
      <w:tr>
        <w:trPr/>
        <w:tc>
          <w:tcPr>
            <w:tcW w:w="263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140,317 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858,316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795,189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101,837 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104,747 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1,708,503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1,618,403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272,303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290,116</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Long-term borrowings,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283,598 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647,553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688,541</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15,000,000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400,000,000 shares authorized, 207,810,635 shares issued and 161,829,331 shares outstanding as of June 30, 2025 and 206,510,587 shares issued and 161,801,212 shares 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588,583 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1,281,960 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(154,722)</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including shares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1,906,329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1,716,027</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45,981,304 shares as of June 30, 2025 and 44,709,375 shares as of December 31, 2024, held in treasury,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(786,165)</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1,060,950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929,862</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1,708,503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1,618,403</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4" w:after="283"/>
        <w:jc w:val="center"/>
        <w:rPr>
          <w:rFonts w:ascii="Times New Roman;serif" w:hAnsi="Times New Roman;serif"/>
          <w:b/>
          <w:color w:val="000000"/>
          <w:sz w:val="20"/>
        </w:rPr>
      </w:pPr>
      <w:r>
        <w:rPr>
          <w:rFonts w:ascii="Times New Roman;serif" w:hAnsi="Times New Roman;serif"/>
          <w:b/>
          <w:color w:val="000000"/>
          <w:sz w:val="20"/>
        </w:rPr>
        <w:t>EXLSERVICE HOLDINGS, INC.</w:t>
      </w:r>
    </w:p>
    <w:p>
      <w:pPr>
        <w:pStyle w:val="TextBody"/>
        <w:bidi w:val="0"/>
        <w:spacing w:lineRule="auto" w:line="288" w:before="144" w:after="283"/>
        <w:jc w:val="center"/>
        <w:rPr>
          <w:rFonts w:ascii="Times New Roman;serif" w:hAnsi="Times New Roman;serif"/>
          <w:b/>
          <w:color w:val="000000"/>
          <w:sz w:val="20"/>
        </w:rPr>
      </w:pPr>
      <w:r>
        <w:rPr>
          <w:rFonts w:ascii="Times New Roman;serif" w:hAnsi="Times New Roman;serif"/>
          <w:b/>
          <w:color w:val="000000"/>
          <w:sz w:val="20"/>
        </w:rPr>
        <w:t>Reconciliation of Adjusted Financial Measures to GAAP Measures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its reported operating results in accordance with U.S. generally accepted accounting principles (GAAP), EXL has included in this release certain financial measures that are considered non-GAAP financial measures, including the following: </w:t>
      </w:r>
    </w:p>
    <w:p>
      <w:pPr>
        <w:pStyle w:val="TextBody"/>
        <w:bidi w:val="0"/>
        <w:spacing w:lineRule="auto" w:line="417"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(i)Adjusted operating income and adjusted operating income margin;</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(ii)Adjusted EBITDA and adjusted EBITDA margin;</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(iii)Adjusted net income and adjusted diluted earnings per share; and</w:t>
      </w:r>
    </w:p>
    <w:p>
      <w:pPr>
        <w:pStyle w:val="TextBody"/>
        <w:bidi w:val="0"/>
        <w:spacing w:lineRule="auto" w:line="345"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(iv)Revenue growth on constant currency basis.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pStyle w:val="TextBody"/>
        <w:bidi w:val="0"/>
        <w:spacing w:before="0" w:after="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EXL non-GAAP financial measures exclude, where applicable, stock-based compensation expense, amortization of acquisition-related intangible assets, provision for restructuring and litigation settlement matters,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pStyle w:val="TextBody"/>
        <w:bidi w:val="0"/>
        <w:spacing w:before="0" w:after="0"/>
        <w:ind w:left="0" w:right="0" w:firstLine="450"/>
        <w:jc w:val="both"/>
        <w:rPr/>
      </w:pPr>
      <w:r>
        <w:rPr/>
      </w:r>
    </w:p>
    <w:p>
      <w:pPr>
        <w:pStyle w:val="TextBody"/>
        <w:bidi w:val="0"/>
        <w:spacing w:lineRule="auto" w:line="345"/>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EXL’s primary exchange rate exposure is with the Indian rupee, the Philippine peso, the U.K. pound sterling and the South African rand. The average exchange rate of the U.S. dollar against the Indian rupee increased from 83.42 during the quarter ended June 30, 2024 to 85.27 during the quarter ended June 30, 2025, representing a depreciation of 2.2% against the U.S. dollar. The average exchange rate of the U.S. dollar against the Philippine peso decreased from 58.29 during the quarter ended June 30, 2024 to 55.97 during the quarter ended June 30, 2025, representing an appreciation of 4.0% against the U.S. dollar. The average exchange rate of the U.K. pound sterling against the U.S. dollar increased from 1.26 during the quarter ended June 30, 2024 to 1.35 during the quarter ended June 30, 2025, representing an appreciation of 6.9% against the U.S. dollar. The average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rate of the U.S. dollar against the South African rand decreased from 18.53 during the quarter ended June 30, 2024 to 18.12 during the quarter ended June 30, 2025, representing an appreciation of 2.2% against the U.S. dollar.</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reconciliation of these non-GAAP financial measures for the three months ended June 30, 2025 and June 30, 2024, and the three months ended March 31,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Adjusted Operating Income and Adjusted EBITDA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158"/>
        <w:gridCol w:w="1603"/>
        <w:gridCol w:w="1597"/>
        <w:gridCol w:w="109"/>
        <w:gridCol w:w="109"/>
        <w:gridCol w:w="109"/>
        <w:gridCol w:w="211"/>
        <w:gridCol w:w="841"/>
        <w:gridCol w:w="256"/>
        <w:gridCol w:w="109"/>
        <w:gridCol w:w="109"/>
        <w:gridCol w:w="109"/>
        <w:gridCol w:w="211"/>
        <w:gridCol w:w="736"/>
        <w:gridCol w:w="256"/>
        <w:gridCol w:w="109"/>
        <w:gridCol w:w="109"/>
        <w:gridCol w:w="109"/>
        <w:gridCol w:w="211"/>
        <w:gridCol w:w="841"/>
        <w:gridCol w:w="303"/>
      </w:tblGrid>
      <w:tr>
        <w:trPr/>
        <w:tc>
          <w:tcPr>
            <w:tcW w:w="2158"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3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5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5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66,051</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45,825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66,561</w:t>
            </w: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add/(subtract): Foreign exchange gain, net, interest expense, gain/(loss) from equity-method investment and other income/(loss),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81,138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61,449</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78,415</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Restructuring and litigation settlement costs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operating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100,807</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88,795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100,848</w:t>
            </w:r>
            <w:r>
              <w:rPr>
                <w:color w:val="000000"/>
              </w:rPr>
              <w:t> </w:t>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operating income margin as a % of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19.6 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19.8 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20.1 </w:t>
            </w:r>
          </w:p>
        </w:tc>
        <w:tc>
          <w:tcPr>
            <w:tcW w:w="3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5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Depreciation on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111,585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98,628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111,159</w:t>
            </w:r>
            <w:r>
              <w:rPr>
                <w:color w:val="000000"/>
              </w:rPr>
              <w:t>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Adjusted EBITDA margin as a % of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21.7 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22.2 </w:t>
            </w:r>
          </w:p>
        </w:tc>
        <w:tc>
          <w:tcPr>
            <w:tcW w:w="3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bl>
    <w:p>
      <w:pPr>
        <w:pStyle w:val="TextBody"/>
        <w:bidi w:val="0"/>
        <w:spacing w:before="0" w:after="0"/>
        <w:jc w:val="left"/>
        <w:rPr/>
      </w:pPr>
      <w:r>
        <w:rPr/>
      </w:r>
    </w:p>
    <w:p>
      <w:pPr>
        <w:pStyle w:val="TextBody"/>
        <w:bidi w:val="0"/>
        <w:spacing w:lineRule="auto" w:line="276" w:before="0" w:after="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 To exclude effects of employee severance costs and outplacement support costs of $4,762 and litigation settlement costs and associated legal fees of $1,412 during the three months ended June 30, 2024.</w:t>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Reconciliation of Adjusted Net Income and Adjusted Diluted Earnings Per Share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(Amounts in thousands, except per share data)</w:t>
      </w:r>
    </w:p>
    <w:tbl>
      <w:tblPr>
        <w:tblW w:w="9218" w:type="dxa"/>
        <w:jc w:val="center"/>
        <w:tblInd w:w="0" w:type="dxa"/>
        <w:tblLayout w:type="fixed"/>
        <w:tblCellMar>
          <w:top w:w="28" w:type="dxa"/>
          <w:left w:w="28" w:type="dxa"/>
          <w:bottom w:w="28" w:type="dxa"/>
          <w:right w:w="28" w:type="dxa"/>
        </w:tblCellMar>
      </w:tblPr>
      <w:tblGrid>
        <w:gridCol w:w="1817"/>
        <w:gridCol w:w="1600"/>
        <w:gridCol w:w="1607"/>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66,051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Restructuring and litigation settlement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subtract: Acquisition-related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subtract: Tax impact on stock-based compensation expense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subtract: Tax impact on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subtract: Tax impact on restructuring and litigation settlement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net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79,757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66,199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79,090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diluted earnings per share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0.49</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0.40</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0.48</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(a) To exclude effects of employee severance costs and outplacement support costs of $4,762 and litigation settlement costs and associated legal fees of $1,412 during the three months ended June 30, 2024.</w:t>
      </w:r>
    </w:p>
    <w:p>
      <w:pPr>
        <w:pStyle w:val="TextBody"/>
        <w:bidi w:val="0"/>
        <w:spacing w:lineRule="auto" w:line="288" w:before="120" w:after="12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(b) Tax impact includes $203 and $18 during the three months ended June 30, 2025 and 2024 respectively, and $14,526 during the three months ended March 31, 2025, related to discrete benefits recognized in income tax expense in accordance with ASU No. 2016-09, Compensation - Stock Compensation.</w:t>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Contacts: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John Kristoff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+1 212 209 4613</w: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ir@exlservice.com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 US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Keith Little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Assistant Vice President, Media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+1 703 598 0980</w:t>
      </w:r>
    </w:p>
    <w:p>
      <w:pPr>
        <w:pStyle w:val="TextBody"/>
        <w:bidi w:val="0"/>
        <w:spacing w:lineRule="auto" w:line="288"/>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media.relations@exlservice.com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4144</Words>
  <Characters>23831</Characters>
  <CharactersWithSpaces>27652</CharactersWithSpaces>
  <Paragraphs>603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