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680"/>
        <w:spacing w:after="0"/>
        <w:tabs>
          <w:tab w:leader="none" w:pos="5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August 11, 2008</w:t>
      </w:r>
    </w:p>
    <w:p>
      <w:pPr>
        <w:spacing w:after="0" w:line="200" w:lineRule="exact"/>
        <w:rPr>
          <w:sz w:val="24"/>
          <w:szCs w:val="24"/>
          <w:color w:val="auto"/>
        </w:rPr>
      </w:pPr>
    </w:p>
    <w:p>
      <w:pPr>
        <w:spacing w:after="0" w:line="254"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324"/>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31"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514540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523240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87"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231" w:lineRule="exact"/>
        <w:rPr>
          <w:sz w:val="20"/>
          <w:szCs w:val="20"/>
          <w:color w:val="auto"/>
        </w:rPr>
      </w:pPr>
    </w:p>
    <w:p>
      <w:pPr>
        <w:jc w:val="both"/>
        <w:ind w:right="2099" w:firstLine="1297"/>
        <w:spacing w:after="0" w:line="287" w:lineRule="auto"/>
        <w:rPr>
          <w:sz w:val="20"/>
          <w:szCs w:val="20"/>
          <w:color w:val="auto"/>
        </w:rPr>
      </w:pPr>
      <w:r>
        <w:rPr>
          <w:rFonts w:ascii="Arial" w:cs="Arial" w:eastAsia="Arial" w:hAnsi="Arial"/>
          <w:sz w:val="16"/>
          <w:szCs w:val="16"/>
          <w:color w:val="auto"/>
        </w:rPr>
        <w:t>On August 11, 2008, ExlService Holdings, Inc. (the “Company”) completed the disposition of all of the capital shares of Noida Customer Operations Private Limited (“NCOP”), a subsidiary of the Company, to Aviva Global Services Singapore Pte Ltd. (“AGSS”) pursuant to the previously disclosed Share Sale and Purchase Agreement, dated July 11, 2008, between the Company and AGSS (the “SSPA”). NCOP operated one of the Company’s facilities in Pune, India and provided services exclusively to AGSS. Until July 11, 2008, AGSS was an affiliate of Aviva, one of the Company’s largest clients and shareholders. As partial consideration for the shares of NCOP, the Company received 87.1 million Indian Rupees on August 11, 2008. The final consideration for the shares will be determined pursuant to a procedure set forth in the SSPA and applicable laws in India. In addition, the Company’s subsidiary received a dividend from NCOP of 300 million Indian Rupees prior to the completion of the disposition.</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52" w:lineRule="exact"/>
        <w:rPr>
          <w:sz w:val="20"/>
          <w:szCs w:val="20"/>
          <w:color w:val="auto"/>
        </w:rPr>
      </w:pPr>
    </w:p>
    <w:p>
      <w:pPr>
        <w:jc w:val="both"/>
        <w:ind w:right="2119" w:firstLine="1297"/>
        <w:spacing w:after="0" w:line="259" w:lineRule="auto"/>
        <w:rPr>
          <w:sz w:val="20"/>
          <w:szCs w:val="20"/>
          <w:color w:val="auto"/>
        </w:rPr>
      </w:pPr>
      <w:r>
        <w:rPr>
          <w:rFonts w:ascii="Arial" w:cs="Arial" w:eastAsia="Arial" w:hAnsi="Arial"/>
          <w:sz w:val="18"/>
          <w:szCs w:val="18"/>
          <w:color w:val="auto"/>
        </w:rPr>
        <w:t>The following unaudited pro forma financial statements give effect to the disposition of NCOP as if it occurred on December 31, 2005, with respect to the unaudited condensed pro forma consolidated statements of operations and the unaudited pro forma consolidated balance sheet.</w:t>
      </w:r>
    </w:p>
    <w:p>
      <w:pPr>
        <w:spacing w:after="0" w:line="86" w:lineRule="exact"/>
        <w:rPr>
          <w:sz w:val="20"/>
          <w:szCs w:val="20"/>
          <w:color w:val="auto"/>
        </w:rPr>
      </w:pPr>
    </w:p>
    <w:p>
      <w:pPr>
        <w:jc w:val="both"/>
        <w:ind w:right="2099" w:firstLine="1297"/>
        <w:spacing w:after="0" w:line="287" w:lineRule="auto"/>
        <w:rPr>
          <w:sz w:val="20"/>
          <w:szCs w:val="20"/>
          <w:color w:val="auto"/>
        </w:rPr>
      </w:pPr>
      <w:r>
        <w:rPr>
          <w:rFonts w:ascii="Arial" w:cs="Arial" w:eastAsia="Arial" w:hAnsi="Arial"/>
          <w:sz w:val="16"/>
          <w:szCs w:val="16"/>
          <w:color w:val="auto"/>
        </w:rPr>
        <w:t>The unaudited pro forma consolidated financial statements presented below are based on the assumptions and adjustments described in the accompanying notes and do not reflect any adjustments for non-recurring items or changes in operating strategies arising as a result of the disposition. The unaudited pro forma consolidated financial statements are presented for illustrative purposes and do not purport to represent what results of operations would have been if the events described above had occurred as of the dates indicated or what such results would be for any future periods. The unaudited pro forma consolidated financial statements and the accompanying notes should be read in conjunction with the Company’s historical consolidated financial statements and related notes and “Management’s Discussion and Analysis of Financial Condition and Results of Operations” included in the Company’s Annual Report on Form 10-K for the fiscal year ended December 31, 2007, and Quarterly Report on Form 10-Q for the quarter ended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Unauduted Pro Forma Consolidated Balance Sheet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December 31, 2006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ExlService</w:t>
            </w:r>
          </w:p>
        </w:tc>
        <w:tc>
          <w:tcPr>
            <w:tcW w:w="22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ProForma</w:t>
            </w:r>
          </w:p>
        </w:tc>
        <w:tc>
          <w:tcPr>
            <w:tcW w:w="240" w:type="dxa"/>
            <w:vAlign w:val="bottom"/>
          </w:tcPr>
          <w:p>
            <w:pPr>
              <w:spacing w:after="0"/>
              <w:rPr>
                <w:sz w:val="14"/>
                <w:szCs w:val="14"/>
                <w:color w:val="auto"/>
              </w:rPr>
            </w:pP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ProForma</w:t>
            </w:r>
          </w:p>
        </w:tc>
        <w:tc>
          <w:tcPr>
            <w:tcW w:w="260" w:type="dxa"/>
            <w:vAlign w:val="bottom"/>
          </w:tcPr>
          <w:p>
            <w:pPr>
              <w:spacing w:after="0"/>
              <w:rPr>
                <w:sz w:val="14"/>
                <w:szCs w:val="14"/>
                <w:color w:val="auto"/>
              </w:rPr>
            </w:pPr>
          </w:p>
        </w:tc>
      </w:tr>
      <w:tr>
        <w:trPr>
          <w:trHeight w:val="161"/>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Holdings,Inc.</w:t>
            </w:r>
          </w:p>
        </w:tc>
        <w:tc>
          <w:tcPr>
            <w:tcW w:w="22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4"/>
                <w:szCs w:val="14"/>
                <w:color w:val="auto"/>
              </w:rPr>
            </w:pPr>
          </w:p>
        </w:tc>
      </w:tr>
      <w:tr>
        <w:trPr>
          <w:trHeight w:val="250"/>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80" w:type="dxa"/>
            <w:vAlign w:val="bottom"/>
          </w:tcPr>
          <w:p>
            <w:pPr>
              <w:spacing w:after="0"/>
              <w:rPr>
                <w:sz w:val="20"/>
                <w:szCs w:val="20"/>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340"/>
              <w:spacing w:after="0"/>
              <w:rPr>
                <w:sz w:val="20"/>
                <w:szCs w:val="20"/>
                <w:color w:val="auto"/>
              </w:rPr>
            </w:pPr>
            <w:r>
              <w:rPr>
                <w:rFonts w:ascii="Arial" w:cs="Arial" w:eastAsia="Arial" w:hAnsi="Arial"/>
                <w:sz w:val="14"/>
                <w:szCs w:val="14"/>
                <w:color w:val="auto"/>
              </w:rPr>
              <w:t>Cash and cash equivalents (e) (f)</w:t>
            </w:r>
          </w:p>
        </w:tc>
        <w:tc>
          <w:tcPr>
            <w:tcW w:w="240" w:type="dxa"/>
            <w:vAlign w:val="bottom"/>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85,366,103</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876,653</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86,242,756</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1,093,277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1,093,277</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340"/>
              <w:spacing w:after="0"/>
              <w:rPr>
                <w:sz w:val="20"/>
                <w:szCs w:val="20"/>
                <w:color w:val="auto"/>
              </w:rPr>
            </w:pPr>
            <w:r>
              <w:rPr>
                <w:rFonts w:ascii="Arial" w:cs="Arial" w:eastAsia="Arial" w:hAnsi="Arial"/>
                <w:sz w:val="14"/>
                <w:szCs w:val="14"/>
                <w:color w:val="auto"/>
              </w:rPr>
              <w:t>Short-term investments</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26,801,058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26,801,058</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340"/>
              <w:spacing w:after="0"/>
              <w:rPr>
                <w:sz w:val="20"/>
                <w:szCs w:val="20"/>
                <w:color w:val="auto"/>
              </w:rPr>
            </w:pPr>
            <w:r>
              <w:rPr>
                <w:rFonts w:ascii="Arial" w:cs="Arial" w:eastAsia="Arial" w:hAnsi="Arial"/>
                <w:sz w:val="14"/>
                <w:szCs w:val="14"/>
                <w:color w:val="auto"/>
              </w:rPr>
              <w:t>Accounts receivable from related parties</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254,803</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254,803</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340"/>
              <w:spacing w:after="0"/>
              <w:rPr>
                <w:sz w:val="20"/>
                <w:szCs w:val="20"/>
                <w:color w:val="auto"/>
              </w:rPr>
            </w:pPr>
            <w:r>
              <w:rPr>
                <w:rFonts w:ascii="Arial" w:cs="Arial" w:eastAsia="Arial" w:hAnsi="Arial"/>
                <w:sz w:val="14"/>
                <w:szCs w:val="14"/>
                <w:color w:val="auto"/>
              </w:rPr>
              <w:t>Employee receivables</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638,589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638,589</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3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1,673,721</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1,673,721</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340"/>
              <w:spacing w:after="0"/>
              <w:rPr>
                <w:sz w:val="20"/>
                <w:szCs w:val="20"/>
                <w:color w:val="auto"/>
              </w:rPr>
            </w:pPr>
            <w:r>
              <w:rPr>
                <w:rFonts w:ascii="Arial" w:cs="Arial" w:eastAsia="Arial" w:hAnsi="Arial"/>
                <w:sz w:val="14"/>
                <w:szCs w:val="14"/>
                <w:color w:val="auto"/>
              </w:rPr>
              <w:t>Deferred tax assets (f)</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2,870,089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(1,229,342)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1,640,747</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340"/>
              <w:spacing w:after="0"/>
              <w:rPr>
                <w:sz w:val="20"/>
                <w:szCs w:val="20"/>
                <w:color w:val="auto"/>
              </w:rPr>
            </w:pPr>
            <w:r>
              <w:rPr>
                <w:rFonts w:ascii="Arial" w:cs="Arial" w:eastAsia="Arial" w:hAnsi="Arial"/>
                <w:sz w:val="14"/>
                <w:szCs w:val="14"/>
                <w:color w:val="auto"/>
              </w:rPr>
              <w:t>Prepaid income tax</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3,321,992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3,321,992</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308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140" w:type="dxa"/>
            <w:vAlign w:val="bottom"/>
            <w:tcBorders>
              <w:bottom w:val="single" w:sz="8" w:color="auto"/>
            </w:tcBorders>
            <w:shd w:val="clear" w:color="auto" w:fill="C0F3F6"/>
          </w:tcPr>
          <w:p>
            <w:pPr>
              <w:spacing w:after="0"/>
              <w:rPr>
                <w:sz w:val="22"/>
                <w:szCs w:val="22"/>
                <w:color w:val="auto"/>
              </w:rPr>
            </w:pPr>
          </w:p>
        </w:tc>
        <w:tc>
          <w:tcPr>
            <w:tcW w:w="320" w:type="dxa"/>
            <w:vAlign w:val="bottom"/>
            <w:shd w:val="clear" w:color="auto" w:fill="C0F3F6"/>
          </w:tcPr>
          <w:p>
            <w:pPr>
              <w:spacing w:after="0"/>
              <w:rPr>
                <w:sz w:val="22"/>
                <w:szCs w:val="22"/>
                <w:color w:val="auto"/>
              </w:rPr>
            </w:pPr>
          </w:p>
        </w:tc>
        <w:tc>
          <w:tcPr>
            <w:tcW w:w="220" w:type="dxa"/>
            <w:vAlign w:val="bottom"/>
            <w:tcBorders>
              <w:bottom w:val="single" w:sz="8" w:color="auto"/>
            </w:tcBorders>
            <w:shd w:val="clear" w:color="auto" w:fill="C0F3F6"/>
          </w:tcPr>
          <w:p>
            <w:pPr>
              <w:spacing w:after="0"/>
              <w:rPr>
                <w:sz w:val="22"/>
                <w:szCs w:val="22"/>
                <w:color w:val="auto"/>
              </w:rPr>
            </w:pPr>
          </w:p>
        </w:tc>
        <w:tc>
          <w:tcPr>
            <w:tcW w:w="1000" w:type="dxa"/>
            <w:vAlign w:val="bottom"/>
            <w:tcBorders>
              <w:bottom w:val="single" w:sz="8" w:color="auto"/>
            </w:tcBorders>
            <w:shd w:val="clear" w:color="auto" w:fill="C0F3F6"/>
          </w:tcPr>
          <w:p>
            <w:pPr>
              <w:spacing w:after="0"/>
              <w:rPr>
                <w:sz w:val="22"/>
                <w:szCs w:val="22"/>
                <w:color w:val="auto"/>
              </w:rPr>
            </w:pPr>
          </w:p>
        </w:tc>
        <w:tc>
          <w:tcPr>
            <w:tcW w:w="40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160" w:type="dxa"/>
            <w:vAlign w:val="bottom"/>
            <w:tcBorders>
              <w:bottom w:val="single" w:sz="8" w:color="auto"/>
            </w:tcBorders>
            <w:shd w:val="clear" w:color="auto" w:fill="C0F3F6"/>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122,019,632</w:t>
            </w:r>
          </w:p>
        </w:tc>
        <w:tc>
          <w:tcPr>
            <w:tcW w:w="320" w:type="dxa"/>
            <w:vAlign w:val="bottom"/>
            <w:tcBorders>
              <w:bottom w:val="single" w:sz="8" w:color="C0F3F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(352,689)</w:t>
            </w:r>
          </w:p>
        </w:tc>
        <w:tc>
          <w:tcPr>
            <w:tcW w:w="400" w:type="dxa"/>
            <w:vAlign w:val="bottom"/>
            <w:tcBorders>
              <w:bottom w:val="single" w:sz="8" w:color="C0F3F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121,666,943</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08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140" w:type="dxa"/>
            <w:vAlign w:val="bottom"/>
            <w:shd w:val="clear" w:color="auto" w:fill="C0F3F6"/>
          </w:tcPr>
          <w:p>
            <w:pPr>
              <w:spacing w:after="0"/>
              <w:rPr>
                <w:sz w:val="20"/>
                <w:szCs w:val="20"/>
                <w:color w:val="auto"/>
              </w:rPr>
            </w:pPr>
          </w:p>
        </w:tc>
        <w:tc>
          <w:tcPr>
            <w:tcW w:w="320" w:type="dxa"/>
            <w:vAlign w:val="bottom"/>
            <w:shd w:val="clear" w:color="auto" w:fill="C0F3F6"/>
          </w:tcPr>
          <w:p>
            <w:pPr>
              <w:spacing w:after="0"/>
              <w:rPr>
                <w:sz w:val="20"/>
                <w:szCs w:val="20"/>
                <w:color w:val="auto"/>
              </w:rPr>
            </w:pPr>
          </w:p>
        </w:tc>
        <w:tc>
          <w:tcPr>
            <w:tcW w:w="220" w:type="dxa"/>
            <w:vAlign w:val="bottom"/>
            <w:shd w:val="clear" w:color="auto" w:fill="C0F3F6"/>
          </w:tcPr>
          <w:p>
            <w:pPr>
              <w:spacing w:after="0"/>
              <w:rPr>
                <w:sz w:val="20"/>
                <w:szCs w:val="20"/>
                <w:color w:val="auto"/>
              </w:rPr>
            </w:pPr>
          </w:p>
        </w:tc>
        <w:tc>
          <w:tcPr>
            <w:tcW w:w="1000" w:type="dxa"/>
            <w:vAlign w:val="bottom"/>
            <w:shd w:val="clear" w:color="auto" w:fill="C0F3F6"/>
          </w:tcPr>
          <w:p>
            <w:pPr>
              <w:spacing w:after="0"/>
              <w:rPr>
                <w:sz w:val="20"/>
                <w:szCs w:val="20"/>
                <w:color w:val="auto"/>
              </w:rPr>
            </w:pPr>
          </w:p>
        </w:tc>
        <w:tc>
          <w:tcPr>
            <w:tcW w:w="40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160" w:type="dxa"/>
            <w:vAlign w:val="bottom"/>
            <w:shd w:val="clear" w:color="auto" w:fill="C0F3F6"/>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Fixed assets, net (f)</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21,545,324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(202,584)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21,342,740</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Intangibles, net of amortization</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1,970,000</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1,970,000</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16,651,462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16,651,462</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302,160</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302,160</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672,019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672,019</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Other assets (f)</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1,601,244</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(1,455,564)</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145,680</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308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tcBorders>
              <w:bottom w:val="single" w:sz="8" w:color="C0F3F6"/>
            </w:tcBorders>
            <w:shd w:val="clear" w:color="auto" w:fill="C0F3F6"/>
          </w:tcPr>
          <w:p>
            <w:pPr>
              <w:ind w:left="1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164,761,841</w:t>
            </w:r>
          </w:p>
        </w:tc>
        <w:tc>
          <w:tcPr>
            <w:tcW w:w="320" w:type="dxa"/>
            <w:vAlign w:val="bottom"/>
            <w:tcBorders>
              <w:bottom w:val="single" w:sz="8" w:color="C0F3F6"/>
            </w:tcBorders>
            <w:shd w:val="clear" w:color="auto" w:fill="C0F3F6"/>
          </w:tcPr>
          <w:p>
            <w:pPr>
              <w:spacing w:after="0"/>
              <w:rPr>
                <w:sz w:val="20"/>
                <w:szCs w:val="20"/>
                <w:color w:val="auto"/>
              </w:rPr>
            </w:pPr>
          </w:p>
        </w:tc>
        <w:tc>
          <w:tcPr>
            <w:tcW w:w="220" w:type="dxa"/>
            <w:vAlign w:val="bottom"/>
            <w:tcBorders>
              <w:bottom w:val="single" w:sz="8" w:color="auto"/>
            </w:tcBorders>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(2,010,837)</w:t>
            </w:r>
          </w:p>
        </w:tc>
        <w:tc>
          <w:tcPr>
            <w:tcW w:w="400" w:type="dxa"/>
            <w:vAlign w:val="bottom"/>
            <w:tcBorders>
              <w:bottom w:val="single" w:sz="8" w:color="C0F3F6"/>
            </w:tcBorders>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162,751,004</w:t>
            </w:r>
          </w:p>
        </w:tc>
        <w:tc>
          <w:tcPr>
            <w:tcW w:w="2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3,161,942</w:t>
            </w:r>
          </w:p>
        </w:tc>
        <w:tc>
          <w:tcPr>
            <w:tcW w:w="3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3,161,942</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46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6,376,725</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6,376,725</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460"/>
              <w:spacing w:after="0"/>
              <w:rPr>
                <w:sz w:val="20"/>
                <w:szCs w:val="20"/>
                <w:color w:val="auto"/>
              </w:rPr>
            </w:pPr>
            <w:r>
              <w:rPr>
                <w:rFonts w:ascii="Arial" w:cs="Arial" w:eastAsia="Arial" w:hAnsi="Arial"/>
                <w:sz w:val="14"/>
                <w:szCs w:val="14"/>
                <w:color w:val="auto"/>
              </w:rPr>
              <w:t>Accrued employee cost</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10,251,197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10,251,197</w:t>
            </w:r>
          </w:p>
        </w:tc>
        <w:tc>
          <w:tcPr>
            <w:tcW w:w="260" w:type="dxa"/>
            <w:vAlign w:val="bottom"/>
          </w:tcPr>
          <w:p>
            <w:pPr>
              <w:spacing w:after="0"/>
              <w:rPr>
                <w:sz w:val="21"/>
                <w:szCs w:val="21"/>
                <w:color w:val="auto"/>
              </w:rPr>
            </w:pPr>
          </w:p>
        </w:tc>
      </w:tr>
      <w:tr>
        <w:trPr>
          <w:trHeight w:val="381"/>
        </w:trPr>
        <w:tc>
          <w:tcPr>
            <w:tcW w:w="80" w:type="dxa"/>
            <w:vAlign w:val="bottom"/>
          </w:tcPr>
          <w:p>
            <w:pPr>
              <w:spacing w:after="0"/>
              <w:rPr>
                <w:sz w:val="24"/>
                <w:szCs w:val="24"/>
                <w:color w:val="auto"/>
              </w:rPr>
            </w:pPr>
          </w:p>
        </w:tc>
        <w:tc>
          <w:tcPr>
            <w:tcW w:w="3080" w:type="dxa"/>
            <w:vAlign w:val="bottom"/>
            <w:shd w:val="clear" w:color="auto" w:fill="C0F3F6"/>
          </w:tcPr>
          <w:p>
            <w:pPr>
              <w:ind w:left="460"/>
              <w:spacing w:after="0"/>
              <w:rPr>
                <w:sz w:val="20"/>
                <w:szCs w:val="20"/>
                <w:color w:val="auto"/>
              </w:rPr>
            </w:pPr>
            <w:r>
              <w:rPr>
                <w:rFonts w:ascii="Arial" w:cs="Arial" w:eastAsia="Arial" w:hAnsi="Arial"/>
                <w:sz w:val="14"/>
                <w:szCs w:val="14"/>
                <w:color w:val="auto"/>
              </w:rPr>
              <w:t>Other accrued expenses and current</w:t>
            </w:r>
          </w:p>
        </w:tc>
        <w:tc>
          <w:tcPr>
            <w:tcW w:w="240" w:type="dxa"/>
            <w:vAlign w:val="bottom"/>
            <w:shd w:val="clear" w:color="auto" w:fill="C0F3F6"/>
          </w:tcPr>
          <w:p>
            <w:pPr>
              <w:spacing w:after="0"/>
              <w:rPr>
                <w:sz w:val="24"/>
                <w:szCs w:val="24"/>
                <w:color w:val="auto"/>
              </w:rPr>
            </w:pPr>
          </w:p>
        </w:tc>
        <w:tc>
          <w:tcPr>
            <w:tcW w:w="1140" w:type="dxa"/>
            <w:vAlign w:val="bottom"/>
            <w:shd w:val="clear" w:color="auto" w:fill="C0F3F6"/>
          </w:tcPr>
          <w:p>
            <w:pPr>
              <w:spacing w:after="0"/>
              <w:rPr>
                <w:sz w:val="24"/>
                <w:szCs w:val="24"/>
                <w:color w:val="auto"/>
              </w:rPr>
            </w:pPr>
          </w:p>
        </w:tc>
        <w:tc>
          <w:tcPr>
            <w:tcW w:w="320" w:type="dxa"/>
            <w:vAlign w:val="bottom"/>
            <w:shd w:val="clear" w:color="auto" w:fill="C0F3F6"/>
          </w:tcPr>
          <w:p>
            <w:pPr>
              <w:spacing w:after="0"/>
              <w:rPr>
                <w:sz w:val="24"/>
                <w:szCs w:val="24"/>
                <w:color w:val="auto"/>
              </w:rPr>
            </w:pPr>
          </w:p>
        </w:tc>
        <w:tc>
          <w:tcPr>
            <w:tcW w:w="220" w:type="dxa"/>
            <w:vAlign w:val="bottom"/>
            <w:shd w:val="clear" w:color="auto" w:fill="C0F3F6"/>
          </w:tcPr>
          <w:p>
            <w:pPr>
              <w:spacing w:after="0"/>
              <w:rPr>
                <w:sz w:val="24"/>
                <w:szCs w:val="24"/>
                <w:color w:val="auto"/>
              </w:rPr>
            </w:pPr>
          </w:p>
        </w:tc>
        <w:tc>
          <w:tcPr>
            <w:tcW w:w="1000" w:type="dxa"/>
            <w:vAlign w:val="bottom"/>
            <w:shd w:val="clear" w:color="auto" w:fill="C0F3F6"/>
          </w:tcPr>
          <w:p>
            <w:pPr>
              <w:spacing w:after="0"/>
              <w:rPr>
                <w:sz w:val="24"/>
                <w:szCs w:val="24"/>
                <w:color w:val="auto"/>
              </w:rPr>
            </w:pPr>
          </w:p>
        </w:tc>
        <w:tc>
          <w:tcPr>
            <w:tcW w:w="400" w:type="dxa"/>
            <w:vAlign w:val="bottom"/>
            <w:shd w:val="clear" w:color="auto" w:fill="C0F3F6"/>
          </w:tcPr>
          <w:p>
            <w:pPr>
              <w:spacing w:after="0"/>
              <w:rPr>
                <w:sz w:val="24"/>
                <w:szCs w:val="24"/>
                <w:color w:val="auto"/>
              </w:rPr>
            </w:pPr>
          </w:p>
        </w:tc>
        <w:tc>
          <w:tcPr>
            <w:tcW w:w="240" w:type="dxa"/>
            <w:vAlign w:val="bottom"/>
            <w:shd w:val="clear" w:color="auto" w:fill="C0F3F6"/>
          </w:tcPr>
          <w:p>
            <w:pPr>
              <w:spacing w:after="0"/>
              <w:rPr>
                <w:sz w:val="24"/>
                <w:szCs w:val="24"/>
                <w:color w:val="auto"/>
              </w:rPr>
            </w:pPr>
          </w:p>
        </w:tc>
        <w:tc>
          <w:tcPr>
            <w:tcW w:w="1160" w:type="dxa"/>
            <w:vAlign w:val="bottom"/>
            <w:shd w:val="clear" w:color="auto" w:fill="C0F3F6"/>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80" w:type="dxa"/>
            <w:vAlign w:val="bottom"/>
          </w:tcPr>
          <w:p>
            <w:pPr>
              <w:spacing w:after="0"/>
              <w:rPr>
                <w:sz w:val="13"/>
                <w:szCs w:val="13"/>
                <w:color w:val="auto"/>
              </w:rPr>
            </w:pPr>
          </w:p>
        </w:tc>
        <w:tc>
          <w:tcPr>
            <w:tcW w:w="3080" w:type="dxa"/>
            <w:vAlign w:val="bottom"/>
            <w:shd w:val="clear" w:color="auto" w:fill="C0F3F6"/>
          </w:tcPr>
          <w:p>
            <w:pPr>
              <w:ind w:left="560"/>
              <w:spacing w:after="0" w:line="159" w:lineRule="exact"/>
              <w:rPr>
                <w:sz w:val="20"/>
                <w:szCs w:val="20"/>
                <w:color w:val="auto"/>
              </w:rPr>
            </w:pPr>
            <w:r>
              <w:rPr>
                <w:rFonts w:ascii="Arial" w:cs="Arial" w:eastAsia="Arial" w:hAnsi="Arial"/>
                <w:sz w:val="14"/>
                <w:szCs w:val="14"/>
                <w:color w:val="auto"/>
              </w:rPr>
              <w:t>liabilities (f) (g)</w:t>
            </w:r>
          </w:p>
        </w:tc>
        <w:tc>
          <w:tcPr>
            <w:tcW w:w="240" w:type="dxa"/>
            <w:vAlign w:val="bottom"/>
            <w:shd w:val="clear" w:color="auto" w:fill="C0F3F6"/>
          </w:tcPr>
          <w:p>
            <w:pPr>
              <w:spacing w:after="0"/>
              <w:rPr>
                <w:sz w:val="13"/>
                <w:szCs w:val="13"/>
                <w:color w:val="auto"/>
              </w:rPr>
            </w:pPr>
          </w:p>
        </w:tc>
        <w:tc>
          <w:tcPr>
            <w:tcW w:w="11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14,336,829</w:t>
            </w:r>
          </w:p>
        </w:tc>
        <w:tc>
          <w:tcPr>
            <w:tcW w:w="320" w:type="dxa"/>
            <w:vAlign w:val="bottom"/>
            <w:shd w:val="clear" w:color="auto" w:fill="C0F3F6"/>
          </w:tcPr>
          <w:p>
            <w:pPr>
              <w:spacing w:after="0"/>
              <w:rPr>
                <w:sz w:val="13"/>
                <w:szCs w:val="13"/>
                <w:color w:val="auto"/>
              </w:rPr>
            </w:pPr>
          </w:p>
        </w:tc>
        <w:tc>
          <w:tcPr>
            <w:tcW w:w="220" w:type="dxa"/>
            <w:vAlign w:val="bottom"/>
            <w:shd w:val="clear" w:color="auto" w:fill="C0F3F6"/>
          </w:tcPr>
          <w:p>
            <w:pPr>
              <w:spacing w:after="0"/>
              <w:rPr>
                <w:sz w:val="13"/>
                <w:szCs w:val="13"/>
                <w:color w:val="auto"/>
              </w:rPr>
            </w:pPr>
          </w:p>
        </w:tc>
        <w:tc>
          <w:tcPr>
            <w:tcW w:w="1000" w:type="dxa"/>
            <w:vAlign w:val="bottom"/>
            <w:shd w:val="clear" w:color="auto" w:fill="C0F3F6"/>
          </w:tcPr>
          <w:p>
            <w:pPr>
              <w:jc w:val="right"/>
              <w:ind w:right="12"/>
              <w:spacing w:after="0" w:line="159" w:lineRule="exact"/>
              <w:rPr>
                <w:sz w:val="20"/>
                <w:szCs w:val="20"/>
                <w:color w:val="auto"/>
              </w:rPr>
            </w:pPr>
            <w:r>
              <w:rPr>
                <w:rFonts w:ascii="Arial" w:cs="Arial" w:eastAsia="Arial" w:hAnsi="Arial"/>
                <w:sz w:val="14"/>
                <w:szCs w:val="14"/>
                <w:color w:val="auto"/>
              </w:rPr>
              <w:t>201,978</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14,538,807</w:t>
            </w:r>
          </w:p>
        </w:tc>
        <w:tc>
          <w:tcPr>
            <w:tcW w:w="26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2,705,326</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2,705,326</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460"/>
              <w:spacing w:after="0"/>
              <w:rPr>
                <w:sz w:val="20"/>
                <w:szCs w:val="20"/>
                <w:color w:val="auto"/>
              </w:rPr>
            </w:pPr>
            <w:r>
              <w:rPr>
                <w:rFonts w:ascii="Arial" w:cs="Arial" w:eastAsia="Arial" w:hAnsi="Arial"/>
                <w:sz w:val="14"/>
                <w:szCs w:val="14"/>
                <w:color w:val="auto"/>
                <w:w w:val="99"/>
              </w:rPr>
              <w:t>Current portion of capital lease obligations</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165,995</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165,995</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308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0F3F6"/>
          </w:tcPr>
          <w:p>
            <w:pPr>
              <w:spacing w:after="0"/>
              <w:rPr>
                <w:sz w:val="20"/>
                <w:szCs w:val="20"/>
                <w:color w:val="auto"/>
              </w:rPr>
            </w:pPr>
          </w:p>
        </w:tc>
        <w:tc>
          <w:tcPr>
            <w:tcW w:w="11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36,998,014</w:t>
            </w:r>
          </w:p>
        </w:tc>
        <w:tc>
          <w:tcPr>
            <w:tcW w:w="320" w:type="dxa"/>
            <w:vAlign w:val="bottom"/>
            <w:shd w:val="clear" w:color="auto" w:fill="C0F3F6"/>
          </w:tcPr>
          <w:p>
            <w:pPr>
              <w:spacing w:after="0"/>
              <w:rPr>
                <w:sz w:val="20"/>
                <w:szCs w:val="20"/>
                <w:color w:val="auto"/>
              </w:rPr>
            </w:pPr>
          </w:p>
        </w:tc>
        <w:tc>
          <w:tcPr>
            <w:tcW w:w="220" w:type="dxa"/>
            <w:vAlign w:val="bottom"/>
            <w:tcBorders>
              <w:bottom w:val="single" w:sz="8" w:color="auto"/>
            </w:tcBorders>
            <w:shd w:val="clear" w:color="auto" w:fill="C0F3F6"/>
          </w:tcPr>
          <w:p>
            <w:pPr>
              <w:spacing w:after="0"/>
              <w:rPr>
                <w:sz w:val="20"/>
                <w:szCs w:val="20"/>
                <w:color w:val="auto"/>
              </w:rPr>
            </w:pPr>
          </w:p>
        </w:tc>
        <w:tc>
          <w:tcPr>
            <w:tcW w:w="100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201,978</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37,199,992</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Capital lease obligations, less current portion</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227,651</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227,651</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Other non current liabilities</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339,715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339,715</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308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140" w:type="dxa"/>
            <w:vAlign w:val="bottom"/>
            <w:tcBorders>
              <w:bottom w:val="single" w:sz="8" w:color="auto"/>
            </w:tcBorders>
            <w:shd w:val="clear" w:color="auto" w:fill="C0F3F6"/>
          </w:tcPr>
          <w:p>
            <w:pPr>
              <w:spacing w:after="0"/>
              <w:rPr>
                <w:sz w:val="22"/>
                <w:szCs w:val="22"/>
                <w:color w:val="auto"/>
              </w:rPr>
            </w:pPr>
          </w:p>
        </w:tc>
        <w:tc>
          <w:tcPr>
            <w:tcW w:w="320" w:type="dxa"/>
            <w:vAlign w:val="bottom"/>
            <w:shd w:val="clear" w:color="auto" w:fill="C0F3F6"/>
          </w:tcPr>
          <w:p>
            <w:pPr>
              <w:spacing w:after="0"/>
              <w:rPr>
                <w:sz w:val="22"/>
                <w:szCs w:val="22"/>
                <w:color w:val="auto"/>
              </w:rPr>
            </w:pPr>
          </w:p>
        </w:tc>
        <w:tc>
          <w:tcPr>
            <w:tcW w:w="220" w:type="dxa"/>
            <w:vAlign w:val="bottom"/>
            <w:tcBorders>
              <w:bottom w:val="single" w:sz="8" w:color="auto"/>
            </w:tcBorders>
            <w:shd w:val="clear" w:color="auto" w:fill="C0F3F6"/>
          </w:tcPr>
          <w:p>
            <w:pPr>
              <w:spacing w:after="0"/>
              <w:rPr>
                <w:sz w:val="22"/>
                <w:szCs w:val="22"/>
                <w:color w:val="auto"/>
              </w:rPr>
            </w:pPr>
          </w:p>
        </w:tc>
        <w:tc>
          <w:tcPr>
            <w:tcW w:w="1000" w:type="dxa"/>
            <w:vAlign w:val="bottom"/>
            <w:tcBorders>
              <w:bottom w:val="single" w:sz="8" w:color="auto"/>
            </w:tcBorders>
            <w:shd w:val="clear" w:color="auto" w:fill="C0F3F6"/>
          </w:tcPr>
          <w:p>
            <w:pPr>
              <w:spacing w:after="0"/>
              <w:rPr>
                <w:sz w:val="22"/>
                <w:szCs w:val="22"/>
                <w:color w:val="auto"/>
              </w:rPr>
            </w:pPr>
          </w:p>
        </w:tc>
        <w:tc>
          <w:tcPr>
            <w:tcW w:w="40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160" w:type="dxa"/>
            <w:vAlign w:val="bottom"/>
            <w:tcBorders>
              <w:bottom w:val="single" w:sz="8" w:color="auto"/>
            </w:tcBorders>
            <w:shd w:val="clear" w:color="auto" w:fill="C0F3F6"/>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37,565,380</w:t>
            </w:r>
          </w:p>
        </w:tc>
        <w:tc>
          <w:tcPr>
            <w:tcW w:w="320" w:type="dxa"/>
            <w:vAlign w:val="bottom"/>
            <w:tcBorders>
              <w:bottom w:val="single" w:sz="8" w:color="C0F3F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201,978</w:t>
            </w:r>
          </w:p>
        </w:tc>
        <w:tc>
          <w:tcPr>
            <w:tcW w:w="400" w:type="dxa"/>
            <w:vAlign w:val="bottom"/>
            <w:tcBorders>
              <w:bottom w:val="single" w:sz="8" w:color="C0F3F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37,767,358</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08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140" w:type="dxa"/>
            <w:vAlign w:val="bottom"/>
            <w:shd w:val="clear" w:color="auto" w:fill="C0F3F6"/>
          </w:tcPr>
          <w:p>
            <w:pPr>
              <w:spacing w:after="0"/>
              <w:rPr>
                <w:sz w:val="20"/>
                <w:szCs w:val="20"/>
                <w:color w:val="auto"/>
              </w:rPr>
            </w:pPr>
          </w:p>
        </w:tc>
        <w:tc>
          <w:tcPr>
            <w:tcW w:w="320" w:type="dxa"/>
            <w:vAlign w:val="bottom"/>
            <w:shd w:val="clear" w:color="auto" w:fill="C0F3F6"/>
          </w:tcPr>
          <w:p>
            <w:pPr>
              <w:spacing w:after="0"/>
              <w:rPr>
                <w:sz w:val="20"/>
                <w:szCs w:val="20"/>
                <w:color w:val="auto"/>
              </w:rPr>
            </w:pPr>
          </w:p>
        </w:tc>
        <w:tc>
          <w:tcPr>
            <w:tcW w:w="220" w:type="dxa"/>
            <w:vAlign w:val="bottom"/>
            <w:shd w:val="clear" w:color="auto" w:fill="C0F3F6"/>
          </w:tcPr>
          <w:p>
            <w:pPr>
              <w:spacing w:after="0"/>
              <w:rPr>
                <w:sz w:val="20"/>
                <w:szCs w:val="20"/>
                <w:color w:val="auto"/>
              </w:rPr>
            </w:pPr>
          </w:p>
        </w:tc>
        <w:tc>
          <w:tcPr>
            <w:tcW w:w="1000" w:type="dxa"/>
            <w:vAlign w:val="bottom"/>
            <w:shd w:val="clear" w:color="auto" w:fill="C0F3F6"/>
          </w:tcPr>
          <w:p>
            <w:pPr>
              <w:spacing w:after="0"/>
              <w:rPr>
                <w:sz w:val="20"/>
                <w:szCs w:val="20"/>
                <w:color w:val="auto"/>
              </w:rPr>
            </w:pPr>
          </w:p>
        </w:tc>
        <w:tc>
          <w:tcPr>
            <w:tcW w:w="40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160" w:type="dxa"/>
            <w:vAlign w:val="bottom"/>
            <w:shd w:val="clear" w:color="auto" w:fill="C0F3F6"/>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46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28,263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28,263</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46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98,429,374</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98,429,374</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080" w:type="dxa"/>
            <w:vAlign w:val="bottom"/>
          </w:tcPr>
          <w:p>
            <w:pPr>
              <w:ind w:left="460"/>
              <w:spacing w:after="0"/>
              <w:rPr>
                <w:sz w:val="20"/>
                <w:szCs w:val="20"/>
                <w:color w:val="auto"/>
              </w:rPr>
            </w:pPr>
            <w:r>
              <w:rPr>
                <w:rFonts w:ascii="Arial" w:cs="Arial" w:eastAsia="Arial" w:hAnsi="Arial"/>
                <w:sz w:val="14"/>
                <w:szCs w:val="14"/>
                <w:color w:val="auto"/>
              </w:rPr>
              <w:t>Retained earnings (g)</w:t>
            </w: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28,664,647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(2,212,815)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26,451,832</w:t>
            </w:r>
          </w:p>
        </w:tc>
        <w:tc>
          <w:tcPr>
            <w:tcW w:w="26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308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Accumulated other comprehensive</w:t>
            </w:r>
          </w:p>
        </w:tc>
        <w:tc>
          <w:tcPr>
            <w:tcW w:w="240" w:type="dxa"/>
            <w:vAlign w:val="bottom"/>
            <w:shd w:val="clear" w:color="auto" w:fill="C0F3F6"/>
          </w:tcPr>
          <w:p>
            <w:pPr>
              <w:spacing w:after="0"/>
              <w:rPr>
                <w:sz w:val="11"/>
                <w:szCs w:val="11"/>
                <w:color w:val="auto"/>
              </w:rPr>
            </w:pPr>
          </w:p>
        </w:tc>
        <w:tc>
          <w:tcPr>
            <w:tcW w:w="1140" w:type="dxa"/>
            <w:vAlign w:val="bottom"/>
            <w:shd w:val="clear" w:color="auto" w:fill="C0F3F6"/>
          </w:tcPr>
          <w:p>
            <w:pPr>
              <w:spacing w:after="0"/>
              <w:rPr>
                <w:sz w:val="11"/>
                <w:szCs w:val="11"/>
                <w:color w:val="auto"/>
              </w:rPr>
            </w:pPr>
          </w:p>
        </w:tc>
        <w:tc>
          <w:tcPr>
            <w:tcW w:w="320" w:type="dxa"/>
            <w:vAlign w:val="bottom"/>
            <w:shd w:val="clear" w:color="auto" w:fill="C0F3F6"/>
          </w:tcPr>
          <w:p>
            <w:pPr>
              <w:spacing w:after="0"/>
              <w:rPr>
                <w:sz w:val="11"/>
                <w:szCs w:val="11"/>
                <w:color w:val="auto"/>
              </w:rPr>
            </w:pPr>
          </w:p>
        </w:tc>
        <w:tc>
          <w:tcPr>
            <w:tcW w:w="220" w:type="dxa"/>
            <w:vAlign w:val="bottom"/>
            <w:shd w:val="clear" w:color="auto" w:fill="C0F3F6"/>
          </w:tcPr>
          <w:p>
            <w:pPr>
              <w:spacing w:after="0"/>
              <w:rPr>
                <w:sz w:val="11"/>
                <w:szCs w:val="11"/>
                <w:color w:val="auto"/>
              </w:rPr>
            </w:pPr>
          </w:p>
        </w:tc>
        <w:tc>
          <w:tcPr>
            <w:tcW w:w="1000" w:type="dxa"/>
            <w:vAlign w:val="bottom"/>
            <w:shd w:val="clear" w:color="auto" w:fill="C0F3F6"/>
          </w:tcPr>
          <w:p>
            <w:pPr>
              <w:spacing w:after="0"/>
              <w:rPr>
                <w:sz w:val="11"/>
                <w:szCs w:val="11"/>
                <w:color w:val="auto"/>
              </w:rPr>
            </w:pPr>
          </w:p>
        </w:tc>
        <w:tc>
          <w:tcPr>
            <w:tcW w:w="40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080" w:type="dxa"/>
            <w:vAlign w:val="bottom"/>
            <w:shd w:val="clear" w:color="auto" w:fill="C0F3F6"/>
          </w:tcPr>
          <w:p>
            <w:pPr>
              <w:ind w:left="420"/>
              <w:spacing w:after="0" w:line="159" w:lineRule="exact"/>
              <w:rPr>
                <w:sz w:val="20"/>
                <w:szCs w:val="20"/>
                <w:color w:val="auto"/>
              </w:rPr>
            </w:pPr>
            <w:r>
              <w:rPr>
                <w:rFonts w:ascii="Arial" w:cs="Arial" w:eastAsia="Arial" w:hAnsi="Arial"/>
                <w:sz w:val="14"/>
                <w:szCs w:val="14"/>
                <w:color w:val="auto"/>
              </w:rPr>
              <w:t>income/(loss)</w:t>
            </w:r>
          </w:p>
        </w:tc>
        <w:tc>
          <w:tcPr>
            <w:tcW w:w="240" w:type="dxa"/>
            <w:vAlign w:val="bottom"/>
            <w:shd w:val="clear" w:color="auto" w:fill="C0F3F6"/>
          </w:tcPr>
          <w:p>
            <w:pPr>
              <w:spacing w:after="0"/>
              <w:rPr>
                <w:sz w:val="13"/>
                <w:szCs w:val="13"/>
                <w:color w:val="auto"/>
              </w:rPr>
            </w:pPr>
          </w:p>
        </w:tc>
        <w:tc>
          <w:tcPr>
            <w:tcW w:w="11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109,693</w:t>
            </w:r>
          </w:p>
        </w:tc>
        <w:tc>
          <w:tcPr>
            <w:tcW w:w="320" w:type="dxa"/>
            <w:vAlign w:val="bottom"/>
            <w:shd w:val="clear" w:color="auto" w:fill="C0F3F6"/>
          </w:tcPr>
          <w:p>
            <w:pPr>
              <w:spacing w:after="0"/>
              <w:rPr>
                <w:sz w:val="13"/>
                <w:szCs w:val="13"/>
                <w:color w:val="auto"/>
              </w:rPr>
            </w:pPr>
          </w:p>
        </w:tc>
        <w:tc>
          <w:tcPr>
            <w:tcW w:w="220" w:type="dxa"/>
            <w:vAlign w:val="bottom"/>
            <w:shd w:val="clear" w:color="auto" w:fill="C0F3F6"/>
          </w:tcPr>
          <w:p>
            <w:pPr>
              <w:spacing w:after="0"/>
              <w:rPr>
                <w:sz w:val="13"/>
                <w:szCs w:val="13"/>
                <w:color w:val="auto"/>
              </w:rPr>
            </w:pPr>
          </w:p>
        </w:tc>
        <w:tc>
          <w:tcPr>
            <w:tcW w:w="1000" w:type="dxa"/>
            <w:vAlign w:val="bottom"/>
            <w:shd w:val="clear" w:color="auto" w:fill="C0F3F6"/>
          </w:tcPr>
          <w:p>
            <w:pPr>
              <w:spacing w:after="0"/>
              <w:rPr>
                <w:sz w:val="13"/>
                <w:szCs w:val="13"/>
                <w:color w:val="auto"/>
              </w:rPr>
            </w:pP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109,693</w:t>
            </w:r>
          </w:p>
        </w:tc>
        <w:tc>
          <w:tcPr>
            <w:tcW w:w="260" w:type="dxa"/>
            <w:vAlign w:val="bottom"/>
          </w:tcPr>
          <w:p>
            <w:pPr>
              <w:spacing w:after="0"/>
              <w:rPr>
                <w:sz w:val="13"/>
                <w:szCs w:val="13"/>
                <w:color w:val="auto"/>
              </w:rPr>
            </w:pPr>
          </w:p>
        </w:tc>
      </w:tr>
      <w:tr>
        <w:trPr>
          <w:trHeight w:val="257"/>
        </w:trPr>
        <w:tc>
          <w:tcPr>
            <w:tcW w:w="80" w:type="dxa"/>
            <w:vAlign w:val="bottom"/>
          </w:tcPr>
          <w:p>
            <w:pPr>
              <w:spacing w:after="0"/>
              <w:rPr>
                <w:sz w:val="22"/>
                <w:szCs w:val="22"/>
                <w:color w:val="auto"/>
              </w:rPr>
            </w:pPr>
          </w:p>
        </w:tc>
        <w:tc>
          <w:tcPr>
            <w:tcW w:w="308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1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127,231,977</w:t>
            </w:r>
          </w:p>
        </w:tc>
        <w:tc>
          <w:tcPr>
            <w:tcW w:w="320" w:type="dxa"/>
            <w:vAlign w:val="bottom"/>
            <w:shd w:val="clear" w:color="auto" w:fill="C0F3F6"/>
          </w:tcPr>
          <w:p>
            <w:pPr>
              <w:spacing w:after="0"/>
              <w:rPr>
                <w:sz w:val="20"/>
                <w:szCs w:val="20"/>
                <w:color w:val="auto"/>
              </w:rPr>
            </w:pPr>
          </w:p>
        </w:tc>
        <w:tc>
          <w:tcPr>
            <w:tcW w:w="220" w:type="dxa"/>
            <w:vAlign w:val="bottom"/>
            <w:tcBorders>
              <w:bottom w:val="single" w:sz="8" w:color="auto"/>
            </w:tcBorders>
            <w:shd w:val="clear" w:color="auto" w:fill="C0F3F6"/>
          </w:tcPr>
          <w:p>
            <w:pPr>
              <w:spacing w:after="0"/>
              <w:rPr>
                <w:sz w:val="20"/>
                <w:szCs w:val="20"/>
                <w:color w:val="auto"/>
              </w:rPr>
            </w:pPr>
          </w:p>
        </w:tc>
        <w:tc>
          <w:tcPr>
            <w:tcW w:w="100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125,019,162</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3080" w:type="dxa"/>
            <w:vAlign w:val="bottom"/>
            <w:shd w:val="clear" w:color="auto" w:fill="C0F3F6"/>
          </w:tcPr>
          <w:p>
            <w:pPr>
              <w:ind w:left="460"/>
              <w:spacing w:after="0"/>
              <w:rPr>
                <w:sz w:val="20"/>
                <w:szCs w:val="20"/>
                <w:color w:val="auto"/>
              </w:rPr>
            </w:pPr>
            <w:r>
              <w:rPr>
                <w:rFonts w:ascii="Arial" w:cs="Arial" w:eastAsia="Arial" w:hAnsi="Arial"/>
                <w:sz w:val="14"/>
                <w:szCs w:val="14"/>
                <w:color w:val="auto"/>
              </w:rPr>
              <w:t>Less: Treasury Stock</w:t>
            </w: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(35,516)</w:t>
            </w:r>
          </w:p>
        </w:tc>
        <w:tc>
          <w:tcPr>
            <w:tcW w:w="32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00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(35,516)</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308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308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0F3F6"/>
          </w:tcPr>
          <w:p>
            <w:pPr>
              <w:spacing w:after="0"/>
              <w:rPr>
                <w:sz w:val="20"/>
                <w:szCs w:val="20"/>
                <w:color w:val="auto"/>
              </w:rPr>
            </w:pPr>
          </w:p>
        </w:tc>
        <w:tc>
          <w:tcPr>
            <w:tcW w:w="11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127,196,461</w:t>
            </w:r>
          </w:p>
        </w:tc>
        <w:tc>
          <w:tcPr>
            <w:tcW w:w="320" w:type="dxa"/>
            <w:vAlign w:val="bottom"/>
            <w:shd w:val="clear" w:color="auto" w:fill="C0F3F6"/>
          </w:tcPr>
          <w:p>
            <w:pPr>
              <w:spacing w:after="0"/>
              <w:rPr>
                <w:sz w:val="20"/>
                <w:szCs w:val="20"/>
                <w:color w:val="auto"/>
              </w:rPr>
            </w:pPr>
          </w:p>
        </w:tc>
        <w:tc>
          <w:tcPr>
            <w:tcW w:w="220" w:type="dxa"/>
            <w:vAlign w:val="bottom"/>
            <w:tcBorders>
              <w:bottom w:val="single" w:sz="8" w:color="auto"/>
            </w:tcBorders>
            <w:shd w:val="clear" w:color="auto" w:fill="C0F3F6"/>
          </w:tcPr>
          <w:p>
            <w:pPr>
              <w:spacing w:after="0"/>
              <w:rPr>
                <w:sz w:val="20"/>
                <w:szCs w:val="20"/>
                <w:color w:val="auto"/>
              </w:rPr>
            </w:pPr>
          </w:p>
        </w:tc>
        <w:tc>
          <w:tcPr>
            <w:tcW w:w="100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124,983,646</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164,761,841</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(2,010,837)</w:t>
            </w:r>
          </w:p>
        </w:tc>
        <w:tc>
          <w:tcPr>
            <w:tcW w:w="400" w:type="dxa"/>
            <w:vAlign w:val="bottom"/>
          </w:tcPr>
          <w:p>
            <w:pPr>
              <w:spacing w:after="0"/>
              <w:rPr>
                <w:sz w:val="20"/>
                <w:szCs w:val="20"/>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162,751,004</w:t>
            </w:r>
          </w:p>
        </w:tc>
        <w:tc>
          <w:tcPr>
            <w:tcW w:w="2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90"/>
        </w:trPr>
        <w:tc>
          <w:tcPr>
            <w:tcW w:w="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343" w:gutter="0" w:footer="0" w:header="0"/>
        </w:sectPr>
      </w:pPr>
    </w:p>
    <w:bookmarkStart w:id="3" w:name="page4"/>
    <w:bookmarkEnd w:id="3"/>
    <w:p>
      <w:pPr>
        <w:jc w:val="center"/>
        <w:ind w:right="217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Unaudited Pro Forma Consolidated Balance Sheet Data</w:t>
      </w:r>
    </w:p>
    <w:p>
      <w:pPr>
        <w:spacing w:after="0" w:line="9"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December 31, 2007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Exl Service</w:t>
            </w:r>
          </w:p>
        </w:tc>
        <w:tc>
          <w:tcPr>
            <w:tcW w:w="24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Pro Forma</w:t>
            </w:r>
          </w:p>
        </w:tc>
        <w:tc>
          <w:tcPr>
            <w:tcW w:w="28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Holdings, Inc.</w:t>
            </w:r>
          </w:p>
        </w:tc>
        <w:tc>
          <w:tcPr>
            <w:tcW w:w="24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4"/>
                <w:szCs w:val="14"/>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274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Cash and cash equivalents (e) (f)</w:t>
            </w:r>
          </w:p>
        </w:tc>
        <w:tc>
          <w:tcPr>
            <w:tcW w:w="220" w:type="dxa"/>
            <w:vAlign w:val="bottom"/>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102,209,734</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876,653</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103,086,387</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285,089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285,089</w:t>
            </w: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Short-term investments</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252,561</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252,561</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38,513,774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38,513,774</w:t>
            </w:r>
          </w:p>
        </w:tc>
      </w:tr>
      <w:tr>
        <w:trPr>
          <w:trHeight w:val="138"/>
        </w:trPr>
        <w:tc>
          <w:tcPr>
            <w:tcW w:w="274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Accounts receivable from related</w:t>
            </w:r>
          </w:p>
        </w:tc>
        <w:tc>
          <w:tcPr>
            <w:tcW w:w="22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40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060" w:type="dxa"/>
            <w:vAlign w:val="bottom"/>
            <w:shd w:val="clear" w:color="auto" w:fill="C0F3F6"/>
          </w:tcPr>
          <w:p>
            <w:pPr>
              <w:spacing w:after="0"/>
              <w:rPr>
                <w:sz w:val="11"/>
                <w:szCs w:val="11"/>
                <w:color w:val="auto"/>
              </w:rPr>
            </w:pPr>
          </w:p>
        </w:tc>
        <w:tc>
          <w:tcPr>
            <w:tcW w:w="480" w:type="dxa"/>
            <w:vAlign w:val="bottom"/>
            <w:shd w:val="clear" w:color="auto" w:fill="C0F3F6"/>
          </w:tcPr>
          <w:p>
            <w:pPr>
              <w:spacing w:after="0"/>
              <w:rPr>
                <w:sz w:val="11"/>
                <w:szCs w:val="11"/>
                <w:color w:val="auto"/>
              </w:rPr>
            </w:pPr>
          </w:p>
        </w:tc>
        <w:tc>
          <w:tcPr>
            <w:tcW w:w="280" w:type="dxa"/>
            <w:vAlign w:val="bottom"/>
            <w:shd w:val="clear" w:color="auto" w:fill="C0F3F6"/>
          </w:tcPr>
          <w:p>
            <w:pPr>
              <w:spacing w:after="0"/>
              <w:rPr>
                <w:sz w:val="11"/>
                <w:szCs w:val="11"/>
                <w:color w:val="auto"/>
              </w:rPr>
            </w:pPr>
          </w:p>
        </w:tc>
        <w:tc>
          <w:tcPr>
            <w:tcW w:w="1220" w:type="dxa"/>
            <w:vAlign w:val="bottom"/>
            <w:shd w:val="clear" w:color="auto" w:fill="C0F3F6"/>
          </w:tcPr>
          <w:p>
            <w:pPr>
              <w:spacing w:after="0"/>
              <w:rPr>
                <w:sz w:val="11"/>
                <w:szCs w:val="11"/>
                <w:color w:val="auto"/>
              </w:rPr>
            </w:pPr>
          </w:p>
        </w:tc>
      </w:tr>
      <w:tr>
        <w:trPr>
          <w:trHeight w:val="159"/>
        </w:trPr>
        <w:tc>
          <w:tcPr>
            <w:tcW w:w="2740" w:type="dxa"/>
            <w:vAlign w:val="bottom"/>
            <w:shd w:val="clear" w:color="auto" w:fill="C0F3F6"/>
          </w:tcPr>
          <w:p>
            <w:pPr>
              <w:ind w:left="120"/>
              <w:spacing w:after="0" w:line="159" w:lineRule="exact"/>
              <w:rPr>
                <w:sz w:val="20"/>
                <w:szCs w:val="20"/>
                <w:color w:val="auto"/>
              </w:rPr>
            </w:pPr>
            <w:r>
              <w:rPr>
                <w:rFonts w:ascii="Arial" w:cs="Arial" w:eastAsia="Arial" w:hAnsi="Arial"/>
                <w:sz w:val="14"/>
                <w:szCs w:val="14"/>
                <w:color w:val="auto"/>
              </w:rPr>
              <w:t>parties</w:t>
            </w:r>
          </w:p>
        </w:tc>
        <w:tc>
          <w:tcPr>
            <w:tcW w:w="22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338,629</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060" w:type="dxa"/>
            <w:vAlign w:val="bottom"/>
            <w:shd w:val="clear" w:color="auto" w:fill="C0F3F6"/>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13"/>
                <w:szCs w:val="13"/>
                <w:color w:val="auto"/>
              </w:rPr>
            </w:pPr>
          </w:p>
        </w:tc>
        <w:tc>
          <w:tcPr>
            <w:tcW w:w="280" w:type="dxa"/>
            <w:vAlign w:val="bottom"/>
            <w:shd w:val="clear" w:color="auto" w:fill="C0F3F6"/>
          </w:tcPr>
          <w:p>
            <w:pPr>
              <w:spacing w:after="0"/>
              <w:rPr>
                <w:sz w:val="13"/>
                <w:szCs w:val="13"/>
                <w:color w:val="auto"/>
              </w:rPr>
            </w:pPr>
          </w:p>
        </w:tc>
        <w:tc>
          <w:tcPr>
            <w:tcW w:w="12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338,629</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Employee receivables</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225,624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225,624</w:t>
            </w: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2,947,064</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2,947,064</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Deferred tax assets (f)</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3,279,715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(1,229,342)</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2,050,373</w:t>
            </w: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Prepaid income tax</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7,541,165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7,541,165</w:t>
            </w:r>
          </w:p>
        </w:tc>
      </w:tr>
      <w:tr>
        <w:trPr>
          <w:trHeight w:val="257"/>
        </w:trPr>
        <w:tc>
          <w:tcPr>
            <w:tcW w:w="2740" w:type="dxa"/>
            <w:vAlign w:val="bottom"/>
            <w:shd w:val="clear" w:color="auto" w:fill="C0F3F6"/>
          </w:tcPr>
          <w:p>
            <w:pPr>
              <w:spacing w:after="0"/>
              <w:rPr>
                <w:sz w:val="22"/>
                <w:szCs w:val="22"/>
                <w:color w:val="auto"/>
              </w:rPr>
            </w:pPr>
          </w:p>
        </w:tc>
        <w:tc>
          <w:tcPr>
            <w:tcW w:w="220" w:type="dxa"/>
            <w:vAlign w:val="bottom"/>
            <w:tcBorders>
              <w:bottom w:val="single" w:sz="8" w:color="auto"/>
            </w:tcBorders>
            <w:shd w:val="clear" w:color="auto" w:fill="C0F3F6"/>
          </w:tcPr>
          <w:p>
            <w:pPr>
              <w:spacing w:after="0"/>
              <w:rPr>
                <w:sz w:val="22"/>
                <w:szCs w:val="22"/>
                <w:color w:val="auto"/>
              </w:rPr>
            </w:pPr>
          </w:p>
        </w:tc>
        <w:tc>
          <w:tcPr>
            <w:tcW w:w="1160" w:type="dxa"/>
            <w:vAlign w:val="bottom"/>
            <w:tcBorders>
              <w:bottom w:val="single" w:sz="8" w:color="auto"/>
            </w:tcBorders>
            <w:shd w:val="clear" w:color="auto" w:fill="C0F3F6"/>
          </w:tcPr>
          <w:p>
            <w:pPr>
              <w:spacing w:after="0"/>
              <w:rPr>
                <w:sz w:val="22"/>
                <w:szCs w:val="22"/>
                <w:color w:val="auto"/>
              </w:rPr>
            </w:pPr>
          </w:p>
        </w:tc>
        <w:tc>
          <w:tcPr>
            <w:tcW w:w="40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060" w:type="dxa"/>
            <w:vAlign w:val="bottom"/>
            <w:tcBorders>
              <w:bottom w:val="single" w:sz="8" w:color="auto"/>
            </w:tcBorders>
            <w:shd w:val="clear" w:color="auto" w:fill="C0F3F6"/>
          </w:tcPr>
          <w:p>
            <w:pPr>
              <w:spacing w:after="0"/>
              <w:rPr>
                <w:sz w:val="22"/>
                <w:szCs w:val="22"/>
                <w:color w:val="auto"/>
              </w:rPr>
            </w:pPr>
          </w:p>
        </w:tc>
        <w:tc>
          <w:tcPr>
            <w:tcW w:w="480" w:type="dxa"/>
            <w:vAlign w:val="bottom"/>
            <w:shd w:val="clear" w:color="auto" w:fill="C0F3F6"/>
          </w:tcPr>
          <w:p>
            <w:pPr>
              <w:spacing w:after="0"/>
              <w:rPr>
                <w:sz w:val="22"/>
                <w:szCs w:val="22"/>
                <w:color w:val="auto"/>
              </w:rPr>
            </w:pPr>
          </w:p>
        </w:tc>
        <w:tc>
          <w:tcPr>
            <w:tcW w:w="280" w:type="dxa"/>
            <w:vAlign w:val="bottom"/>
            <w:tcBorders>
              <w:bottom w:val="single" w:sz="8" w:color="auto"/>
            </w:tcBorders>
            <w:shd w:val="clear" w:color="auto" w:fill="C0F3F6"/>
          </w:tcPr>
          <w:p>
            <w:pPr>
              <w:spacing w:after="0"/>
              <w:rPr>
                <w:sz w:val="22"/>
                <w:szCs w:val="22"/>
                <w:color w:val="auto"/>
              </w:rPr>
            </w:pPr>
          </w:p>
        </w:tc>
        <w:tc>
          <w:tcPr>
            <w:tcW w:w="1220" w:type="dxa"/>
            <w:vAlign w:val="bottom"/>
            <w:tcBorders>
              <w:bottom w:val="single" w:sz="8" w:color="auto"/>
            </w:tcBorders>
            <w:shd w:val="clear" w:color="auto" w:fill="C0F3F6"/>
          </w:tcPr>
          <w:p>
            <w:pPr>
              <w:spacing w:after="0"/>
              <w:rPr>
                <w:sz w:val="22"/>
                <w:szCs w:val="22"/>
                <w:color w:val="auto"/>
              </w:rPr>
            </w:pPr>
          </w:p>
        </w:tc>
      </w:tr>
      <w:tr>
        <w:trPr>
          <w:trHeight w:val="237"/>
        </w:trPr>
        <w:tc>
          <w:tcPr>
            <w:tcW w:w="274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155,593,355</w:t>
            </w:r>
          </w:p>
        </w:tc>
        <w:tc>
          <w:tcPr>
            <w:tcW w:w="400" w:type="dxa"/>
            <w:vAlign w:val="bottom"/>
            <w:tcBorders>
              <w:bottom w:val="single" w:sz="8" w:color="C0F3F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(352,689)</w:t>
            </w:r>
          </w:p>
        </w:tc>
        <w:tc>
          <w:tcPr>
            <w:tcW w:w="480" w:type="dxa"/>
            <w:vAlign w:val="bottom"/>
            <w:tcBorders>
              <w:bottom w:val="single" w:sz="8" w:color="C0F3F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155,240,666</w:t>
            </w:r>
          </w:p>
        </w:tc>
      </w:tr>
      <w:tr>
        <w:trPr>
          <w:trHeight w:val="237"/>
        </w:trPr>
        <w:tc>
          <w:tcPr>
            <w:tcW w:w="2740" w:type="dxa"/>
            <w:vAlign w:val="bottom"/>
            <w:shd w:val="clear" w:color="auto" w:fill="C0F3F6"/>
          </w:tcPr>
          <w:p>
            <w:pPr>
              <w:spacing w:after="0"/>
              <w:rPr>
                <w:sz w:val="20"/>
                <w:szCs w:val="20"/>
                <w:color w:val="auto"/>
              </w:rPr>
            </w:pPr>
          </w:p>
        </w:tc>
        <w:tc>
          <w:tcPr>
            <w:tcW w:w="220" w:type="dxa"/>
            <w:vAlign w:val="bottom"/>
            <w:shd w:val="clear" w:color="auto" w:fill="C0F3F6"/>
          </w:tcPr>
          <w:p>
            <w:pPr>
              <w:spacing w:after="0"/>
              <w:rPr>
                <w:sz w:val="20"/>
                <w:szCs w:val="20"/>
                <w:color w:val="auto"/>
              </w:rPr>
            </w:pPr>
          </w:p>
        </w:tc>
        <w:tc>
          <w:tcPr>
            <w:tcW w:w="1160" w:type="dxa"/>
            <w:vAlign w:val="bottom"/>
            <w:shd w:val="clear" w:color="auto" w:fill="C0F3F6"/>
          </w:tcPr>
          <w:p>
            <w:pPr>
              <w:spacing w:after="0"/>
              <w:rPr>
                <w:sz w:val="20"/>
                <w:szCs w:val="20"/>
                <w:color w:val="auto"/>
              </w:rPr>
            </w:pPr>
          </w:p>
        </w:tc>
        <w:tc>
          <w:tcPr>
            <w:tcW w:w="40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060" w:type="dxa"/>
            <w:vAlign w:val="bottom"/>
            <w:shd w:val="clear" w:color="auto" w:fill="C0F3F6"/>
          </w:tcPr>
          <w:p>
            <w:pPr>
              <w:spacing w:after="0"/>
              <w:rPr>
                <w:sz w:val="20"/>
                <w:szCs w:val="20"/>
                <w:color w:val="auto"/>
              </w:rPr>
            </w:pPr>
          </w:p>
        </w:tc>
        <w:tc>
          <w:tcPr>
            <w:tcW w:w="480" w:type="dxa"/>
            <w:vAlign w:val="bottom"/>
            <w:shd w:val="clear" w:color="auto" w:fill="C0F3F6"/>
          </w:tcPr>
          <w:p>
            <w:pPr>
              <w:spacing w:after="0"/>
              <w:rPr>
                <w:sz w:val="20"/>
                <w:szCs w:val="20"/>
                <w:color w:val="auto"/>
              </w:rPr>
            </w:pPr>
          </w:p>
        </w:tc>
        <w:tc>
          <w:tcPr>
            <w:tcW w:w="280" w:type="dxa"/>
            <w:vAlign w:val="bottom"/>
            <w:shd w:val="clear" w:color="auto" w:fill="C0F3F6"/>
          </w:tcPr>
          <w:p>
            <w:pPr>
              <w:spacing w:after="0"/>
              <w:rPr>
                <w:sz w:val="20"/>
                <w:szCs w:val="20"/>
                <w:color w:val="auto"/>
              </w:rPr>
            </w:pPr>
          </w:p>
        </w:tc>
        <w:tc>
          <w:tcPr>
            <w:tcW w:w="1220" w:type="dxa"/>
            <w:vAlign w:val="bottom"/>
            <w:shd w:val="clear" w:color="auto" w:fill="C0F3F6"/>
          </w:tcPr>
          <w:p>
            <w:pPr>
              <w:spacing w:after="0"/>
              <w:rPr>
                <w:sz w:val="20"/>
                <w:szCs w:val="20"/>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4"/>
                <w:szCs w:val="14"/>
                <w:color w:val="auto"/>
              </w:rPr>
              <w:t>Fixed assets, net (f)</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25,244,603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(202,584)</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25,042,019</w:t>
            </w:r>
          </w:p>
        </w:tc>
      </w:tr>
      <w:tr>
        <w:trPr>
          <w:trHeight w:val="243"/>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Intangibles, net of amortization</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340,000</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340,000</w:t>
            </w:r>
          </w:p>
        </w:tc>
      </w:tr>
      <w:tr>
        <w:trPr>
          <w:trHeight w:val="243"/>
        </w:trPr>
        <w:tc>
          <w:tcPr>
            <w:tcW w:w="274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16,785,487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16,785,487</w:t>
            </w:r>
          </w:p>
        </w:tc>
      </w:tr>
      <w:tr>
        <w:trPr>
          <w:trHeight w:val="243"/>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304,316</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304,316</w:t>
            </w:r>
          </w:p>
        </w:tc>
      </w:tr>
      <w:tr>
        <w:trPr>
          <w:trHeight w:val="243"/>
        </w:trPr>
        <w:tc>
          <w:tcPr>
            <w:tcW w:w="2740" w:type="dxa"/>
            <w:vAlign w:val="bottom"/>
          </w:tcPr>
          <w:p>
            <w:pPr>
              <w:ind w:left="220"/>
              <w:spacing w:after="0"/>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4,498,449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4,498,449</w:t>
            </w:r>
          </w:p>
        </w:tc>
      </w:tr>
      <w:tr>
        <w:trPr>
          <w:trHeight w:val="243"/>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Other assets (f)</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8,047,497</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(1,455,564)</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6,591,933</w:t>
            </w:r>
          </w:p>
        </w:tc>
      </w:tr>
      <w:tr>
        <w:trPr>
          <w:trHeight w:val="257"/>
        </w:trPr>
        <w:tc>
          <w:tcPr>
            <w:tcW w:w="274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C0F3F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7"/>
        </w:trPr>
        <w:tc>
          <w:tcPr>
            <w:tcW w:w="2740" w:type="dxa"/>
            <w:vAlign w:val="bottom"/>
            <w:tcBorders>
              <w:bottom w:val="single" w:sz="8" w:color="C0F3F6"/>
            </w:tcBorders>
            <w:shd w:val="clear" w:color="auto" w:fill="C0F3F6"/>
          </w:tcPr>
          <w:p>
            <w:pPr>
              <w:ind w:left="1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210,813,707</w:t>
            </w:r>
          </w:p>
        </w:tc>
        <w:tc>
          <w:tcPr>
            <w:tcW w:w="400" w:type="dxa"/>
            <w:vAlign w:val="bottom"/>
            <w:tcBorders>
              <w:bottom w:val="single" w:sz="8" w:color="C0F3F6"/>
            </w:tcBorders>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(2,010,837)</w:t>
            </w:r>
          </w:p>
        </w:tc>
        <w:tc>
          <w:tcPr>
            <w:tcW w:w="480" w:type="dxa"/>
            <w:vAlign w:val="bottom"/>
            <w:tcBorders>
              <w:bottom w:val="single" w:sz="8" w:color="C0F3F6"/>
            </w:tcBorders>
            <w:shd w:val="clear" w:color="auto" w:fill="C0F3F6"/>
          </w:tcPr>
          <w:p>
            <w:pPr>
              <w:spacing w:after="0"/>
              <w:rPr>
                <w:sz w:val="20"/>
                <w:szCs w:val="20"/>
                <w:color w:val="auto"/>
              </w:rPr>
            </w:pPr>
          </w:p>
        </w:tc>
        <w:tc>
          <w:tcPr>
            <w:tcW w:w="28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208,802,870</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2740" w:type="dxa"/>
            <w:vAlign w:val="bottom"/>
            <w:shd w:val="clear" w:color="auto" w:fill="C0F3F6"/>
          </w:tcPr>
          <w:p>
            <w:pPr>
              <w:spacing w:after="0"/>
              <w:rPr>
                <w:sz w:val="21"/>
                <w:szCs w:val="21"/>
                <w:color w:val="auto"/>
              </w:rPr>
            </w:pP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r>
      <w:tr>
        <w:trPr>
          <w:trHeight w:val="243"/>
        </w:trPr>
        <w:tc>
          <w:tcPr>
            <w:tcW w:w="2740" w:type="dxa"/>
            <w:vAlign w:val="bottom"/>
          </w:tcPr>
          <w:p>
            <w:pPr>
              <w:ind w:left="1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6,389,425</w:t>
            </w:r>
          </w:p>
        </w:tc>
        <w:tc>
          <w:tcPr>
            <w:tcW w:w="400" w:type="dxa"/>
            <w:vAlign w:val="bottom"/>
          </w:tcPr>
          <w:p>
            <w:pPr>
              <w:spacing w:after="0"/>
              <w:rPr>
                <w:sz w:val="21"/>
                <w:szCs w:val="21"/>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6,389,425</w:t>
            </w: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4,440,261</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4,440,261</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Accrued employee cost</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13,774,306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13,774,306</w:t>
            </w:r>
          </w:p>
        </w:tc>
      </w:tr>
      <w:tr>
        <w:trPr>
          <w:trHeight w:val="381"/>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Other accrued expenses and</w:t>
            </w:r>
          </w:p>
        </w:tc>
        <w:tc>
          <w:tcPr>
            <w:tcW w:w="220" w:type="dxa"/>
            <w:vAlign w:val="bottom"/>
            <w:shd w:val="clear" w:color="auto" w:fill="C0F3F6"/>
          </w:tcPr>
          <w:p>
            <w:pPr>
              <w:spacing w:after="0"/>
              <w:rPr>
                <w:sz w:val="24"/>
                <w:szCs w:val="24"/>
                <w:color w:val="auto"/>
              </w:rPr>
            </w:pPr>
          </w:p>
        </w:tc>
        <w:tc>
          <w:tcPr>
            <w:tcW w:w="1160" w:type="dxa"/>
            <w:vAlign w:val="bottom"/>
            <w:shd w:val="clear" w:color="auto" w:fill="C0F3F6"/>
          </w:tcPr>
          <w:p>
            <w:pPr>
              <w:spacing w:after="0"/>
              <w:rPr>
                <w:sz w:val="24"/>
                <w:szCs w:val="24"/>
                <w:color w:val="auto"/>
              </w:rPr>
            </w:pPr>
          </w:p>
        </w:tc>
        <w:tc>
          <w:tcPr>
            <w:tcW w:w="400" w:type="dxa"/>
            <w:vAlign w:val="bottom"/>
            <w:shd w:val="clear" w:color="auto" w:fill="C0F3F6"/>
          </w:tcPr>
          <w:p>
            <w:pPr>
              <w:spacing w:after="0"/>
              <w:rPr>
                <w:sz w:val="24"/>
                <w:szCs w:val="24"/>
                <w:color w:val="auto"/>
              </w:rPr>
            </w:pPr>
          </w:p>
        </w:tc>
        <w:tc>
          <w:tcPr>
            <w:tcW w:w="240" w:type="dxa"/>
            <w:vAlign w:val="bottom"/>
            <w:shd w:val="clear" w:color="auto" w:fill="C0F3F6"/>
          </w:tcPr>
          <w:p>
            <w:pPr>
              <w:spacing w:after="0"/>
              <w:rPr>
                <w:sz w:val="24"/>
                <w:szCs w:val="24"/>
                <w:color w:val="auto"/>
              </w:rPr>
            </w:pPr>
          </w:p>
        </w:tc>
        <w:tc>
          <w:tcPr>
            <w:tcW w:w="1060" w:type="dxa"/>
            <w:vAlign w:val="bottom"/>
            <w:shd w:val="clear" w:color="auto" w:fill="C0F3F6"/>
          </w:tcPr>
          <w:p>
            <w:pPr>
              <w:spacing w:after="0"/>
              <w:rPr>
                <w:sz w:val="24"/>
                <w:szCs w:val="24"/>
                <w:color w:val="auto"/>
              </w:rPr>
            </w:pPr>
          </w:p>
        </w:tc>
        <w:tc>
          <w:tcPr>
            <w:tcW w:w="480" w:type="dxa"/>
            <w:vAlign w:val="bottom"/>
            <w:shd w:val="clear" w:color="auto" w:fill="C0F3F6"/>
          </w:tcPr>
          <w:p>
            <w:pPr>
              <w:spacing w:after="0"/>
              <w:rPr>
                <w:sz w:val="24"/>
                <w:szCs w:val="24"/>
                <w:color w:val="auto"/>
              </w:rPr>
            </w:pPr>
          </w:p>
        </w:tc>
        <w:tc>
          <w:tcPr>
            <w:tcW w:w="280" w:type="dxa"/>
            <w:vAlign w:val="bottom"/>
            <w:shd w:val="clear" w:color="auto" w:fill="C0F3F6"/>
          </w:tcPr>
          <w:p>
            <w:pPr>
              <w:spacing w:after="0"/>
              <w:rPr>
                <w:sz w:val="24"/>
                <w:szCs w:val="24"/>
                <w:color w:val="auto"/>
              </w:rPr>
            </w:pPr>
          </w:p>
        </w:tc>
        <w:tc>
          <w:tcPr>
            <w:tcW w:w="1220" w:type="dxa"/>
            <w:vAlign w:val="bottom"/>
            <w:shd w:val="clear" w:color="auto" w:fill="C0F3F6"/>
          </w:tcPr>
          <w:p>
            <w:pPr>
              <w:spacing w:after="0"/>
              <w:rPr>
                <w:sz w:val="24"/>
                <w:szCs w:val="24"/>
                <w:color w:val="auto"/>
              </w:rPr>
            </w:pPr>
          </w:p>
        </w:tc>
      </w:tr>
      <w:tr>
        <w:trPr>
          <w:trHeight w:val="159"/>
        </w:trPr>
        <w:tc>
          <w:tcPr>
            <w:tcW w:w="2740" w:type="dxa"/>
            <w:vAlign w:val="bottom"/>
            <w:shd w:val="clear" w:color="auto" w:fill="C0F3F6"/>
          </w:tcPr>
          <w:p>
            <w:pPr>
              <w:ind w:left="420"/>
              <w:spacing w:after="0" w:line="159" w:lineRule="exact"/>
              <w:rPr>
                <w:sz w:val="20"/>
                <w:szCs w:val="20"/>
                <w:color w:val="auto"/>
              </w:rPr>
            </w:pPr>
            <w:r>
              <w:rPr>
                <w:rFonts w:ascii="Arial" w:cs="Arial" w:eastAsia="Arial" w:hAnsi="Arial"/>
                <w:sz w:val="14"/>
                <w:szCs w:val="14"/>
                <w:color w:val="auto"/>
              </w:rPr>
              <w:t>current liabilities (f) (g)</w:t>
            </w:r>
          </w:p>
        </w:tc>
        <w:tc>
          <w:tcPr>
            <w:tcW w:w="22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10,563,187</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060" w:type="dxa"/>
            <w:vAlign w:val="bottom"/>
            <w:shd w:val="clear" w:color="auto" w:fill="C0F3F6"/>
          </w:tcPr>
          <w:p>
            <w:pPr>
              <w:jc w:val="right"/>
              <w:ind w:right="12"/>
              <w:spacing w:after="0" w:line="159" w:lineRule="exact"/>
              <w:rPr>
                <w:sz w:val="20"/>
                <w:szCs w:val="20"/>
                <w:color w:val="auto"/>
              </w:rPr>
            </w:pPr>
            <w:r>
              <w:rPr>
                <w:rFonts w:ascii="Arial" w:cs="Arial" w:eastAsia="Arial" w:hAnsi="Arial"/>
                <w:sz w:val="14"/>
                <w:szCs w:val="14"/>
                <w:color w:val="auto"/>
              </w:rPr>
              <w:t>201,978</w:t>
            </w:r>
          </w:p>
        </w:tc>
        <w:tc>
          <w:tcPr>
            <w:tcW w:w="480" w:type="dxa"/>
            <w:vAlign w:val="bottom"/>
            <w:shd w:val="clear" w:color="auto" w:fill="C0F3F6"/>
          </w:tcPr>
          <w:p>
            <w:pPr>
              <w:spacing w:after="0"/>
              <w:rPr>
                <w:sz w:val="13"/>
                <w:szCs w:val="13"/>
                <w:color w:val="auto"/>
              </w:rPr>
            </w:pPr>
          </w:p>
        </w:tc>
        <w:tc>
          <w:tcPr>
            <w:tcW w:w="280" w:type="dxa"/>
            <w:vAlign w:val="bottom"/>
            <w:shd w:val="clear" w:color="auto" w:fill="C0F3F6"/>
          </w:tcPr>
          <w:p>
            <w:pPr>
              <w:spacing w:after="0"/>
              <w:rPr>
                <w:sz w:val="13"/>
                <w:szCs w:val="13"/>
                <w:color w:val="auto"/>
              </w:rPr>
            </w:pPr>
          </w:p>
        </w:tc>
        <w:tc>
          <w:tcPr>
            <w:tcW w:w="12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10,765,165</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729,715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729,715</w:t>
            </w:r>
          </w:p>
        </w:tc>
      </w:tr>
      <w:tr>
        <w:trPr>
          <w:trHeight w:val="138"/>
        </w:trPr>
        <w:tc>
          <w:tcPr>
            <w:tcW w:w="274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Current portion of capital lease</w:t>
            </w:r>
          </w:p>
        </w:tc>
        <w:tc>
          <w:tcPr>
            <w:tcW w:w="22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40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060" w:type="dxa"/>
            <w:vAlign w:val="bottom"/>
            <w:shd w:val="clear" w:color="auto" w:fill="C0F3F6"/>
          </w:tcPr>
          <w:p>
            <w:pPr>
              <w:spacing w:after="0"/>
              <w:rPr>
                <w:sz w:val="11"/>
                <w:szCs w:val="11"/>
                <w:color w:val="auto"/>
              </w:rPr>
            </w:pPr>
          </w:p>
        </w:tc>
        <w:tc>
          <w:tcPr>
            <w:tcW w:w="480" w:type="dxa"/>
            <w:vAlign w:val="bottom"/>
            <w:shd w:val="clear" w:color="auto" w:fill="C0F3F6"/>
          </w:tcPr>
          <w:p>
            <w:pPr>
              <w:spacing w:after="0"/>
              <w:rPr>
                <w:sz w:val="11"/>
                <w:szCs w:val="11"/>
                <w:color w:val="auto"/>
              </w:rPr>
            </w:pPr>
          </w:p>
        </w:tc>
        <w:tc>
          <w:tcPr>
            <w:tcW w:w="280" w:type="dxa"/>
            <w:vAlign w:val="bottom"/>
            <w:shd w:val="clear" w:color="auto" w:fill="C0F3F6"/>
          </w:tcPr>
          <w:p>
            <w:pPr>
              <w:spacing w:after="0"/>
              <w:rPr>
                <w:sz w:val="11"/>
                <w:szCs w:val="11"/>
                <w:color w:val="auto"/>
              </w:rPr>
            </w:pPr>
          </w:p>
        </w:tc>
        <w:tc>
          <w:tcPr>
            <w:tcW w:w="1220" w:type="dxa"/>
            <w:vAlign w:val="bottom"/>
            <w:shd w:val="clear" w:color="auto" w:fill="C0F3F6"/>
          </w:tcPr>
          <w:p>
            <w:pPr>
              <w:spacing w:after="0"/>
              <w:rPr>
                <w:sz w:val="11"/>
                <w:szCs w:val="11"/>
                <w:color w:val="auto"/>
              </w:rPr>
            </w:pPr>
          </w:p>
        </w:tc>
      </w:tr>
      <w:tr>
        <w:trPr>
          <w:trHeight w:val="159"/>
        </w:trPr>
        <w:tc>
          <w:tcPr>
            <w:tcW w:w="2740" w:type="dxa"/>
            <w:vAlign w:val="bottom"/>
            <w:shd w:val="clear" w:color="auto" w:fill="C0F3F6"/>
          </w:tcPr>
          <w:p>
            <w:pPr>
              <w:ind w:left="420"/>
              <w:spacing w:after="0" w:line="159" w:lineRule="exact"/>
              <w:rPr>
                <w:sz w:val="20"/>
                <w:szCs w:val="20"/>
                <w:color w:val="auto"/>
              </w:rPr>
            </w:pPr>
            <w:r>
              <w:rPr>
                <w:rFonts w:ascii="Arial" w:cs="Arial" w:eastAsia="Arial" w:hAnsi="Arial"/>
                <w:sz w:val="14"/>
                <w:szCs w:val="14"/>
                <w:color w:val="auto"/>
              </w:rPr>
              <w:t>obligations</w:t>
            </w:r>
          </w:p>
        </w:tc>
        <w:tc>
          <w:tcPr>
            <w:tcW w:w="22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125,960</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06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13"/>
                <w:szCs w:val="13"/>
                <w:color w:val="auto"/>
              </w:rPr>
            </w:pPr>
          </w:p>
        </w:tc>
        <w:tc>
          <w:tcPr>
            <w:tcW w:w="280" w:type="dxa"/>
            <w:vAlign w:val="bottom"/>
            <w:shd w:val="clear" w:color="auto" w:fill="C0F3F6"/>
          </w:tcPr>
          <w:p>
            <w:pPr>
              <w:spacing w:after="0"/>
              <w:rPr>
                <w:sz w:val="13"/>
                <w:szCs w:val="13"/>
                <w:color w:val="auto"/>
              </w:rPr>
            </w:pPr>
          </w:p>
        </w:tc>
        <w:tc>
          <w:tcPr>
            <w:tcW w:w="12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125,960</w:t>
            </w:r>
          </w:p>
        </w:tc>
      </w:tr>
      <w:tr>
        <w:trPr>
          <w:trHeight w:val="257"/>
        </w:trPr>
        <w:tc>
          <w:tcPr>
            <w:tcW w:w="274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C0F3F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7"/>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36,022,854</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0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201,978</w:t>
            </w:r>
          </w:p>
        </w:tc>
        <w:tc>
          <w:tcPr>
            <w:tcW w:w="480" w:type="dxa"/>
            <w:vAlign w:val="bottom"/>
            <w:shd w:val="clear" w:color="auto" w:fill="C0F3F6"/>
          </w:tcPr>
          <w:p>
            <w:pPr>
              <w:spacing w:after="0"/>
              <w:rPr>
                <w:sz w:val="20"/>
                <w:szCs w:val="20"/>
                <w:color w:val="auto"/>
              </w:rPr>
            </w:pPr>
          </w:p>
        </w:tc>
        <w:tc>
          <w:tcPr>
            <w:tcW w:w="280" w:type="dxa"/>
            <w:vAlign w:val="bottom"/>
            <w:tcBorders>
              <w:bottom w:val="single" w:sz="8" w:color="auto"/>
            </w:tcBorders>
            <w:shd w:val="clear" w:color="auto" w:fill="C0F3F6"/>
          </w:tcPr>
          <w:p>
            <w:pPr>
              <w:spacing w:after="0"/>
              <w:rPr>
                <w:sz w:val="20"/>
                <w:szCs w:val="20"/>
                <w:color w:val="auto"/>
              </w:rPr>
            </w:pPr>
          </w:p>
        </w:tc>
        <w:tc>
          <w:tcPr>
            <w:tcW w:w="122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36,224,832</w:t>
            </w: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38"/>
        </w:trPr>
        <w:tc>
          <w:tcPr>
            <w:tcW w:w="2740" w:type="dxa"/>
            <w:vAlign w:val="bottom"/>
            <w:shd w:val="clear" w:color="auto" w:fill="C0F3F6"/>
          </w:tcPr>
          <w:p>
            <w:pPr>
              <w:ind w:left="220"/>
              <w:spacing w:after="0" w:line="138" w:lineRule="exact"/>
              <w:rPr>
                <w:sz w:val="20"/>
                <w:szCs w:val="20"/>
                <w:color w:val="auto"/>
              </w:rPr>
            </w:pPr>
            <w:r>
              <w:rPr>
                <w:rFonts w:ascii="Arial" w:cs="Arial" w:eastAsia="Arial" w:hAnsi="Arial"/>
                <w:sz w:val="14"/>
                <w:szCs w:val="14"/>
                <w:color w:val="auto"/>
              </w:rPr>
              <w:t>Capital lease obligations, less current</w:t>
            </w:r>
          </w:p>
        </w:tc>
        <w:tc>
          <w:tcPr>
            <w:tcW w:w="22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40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060" w:type="dxa"/>
            <w:vAlign w:val="bottom"/>
            <w:shd w:val="clear" w:color="auto" w:fill="C0F3F6"/>
          </w:tcPr>
          <w:p>
            <w:pPr>
              <w:spacing w:after="0"/>
              <w:rPr>
                <w:sz w:val="11"/>
                <w:szCs w:val="11"/>
                <w:color w:val="auto"/>
              </w:rPr>
            </w:pPr>
          </w:p>
        </w:tc>
        <w:tc>
          <w:tcPr>
            <w:tcW w:w="480" w:type="dxa"/>
            <w:vAlign w:val="bottom"/>
            <w:shd w:val="clear" w:color="auto" w:fill="C0F3F6"/>
          </w:tcPr>
          <w:p>
            <w:pPr>
              <w:spacing w:after="0"/>
              <w:rPr>
                <w:sz w:val="11"/>
                <w:szCs w:val="11"/>
                <w:color w:val="auto"/>
              </w:rPr>
            </w:pPr>
          </w:p>
        </w:tc>
        <w:tc>
          <w:tcPr>
            <w:tcW w:w="280" w:type="dxa"/>
            <w:vAlign w:val="bottom"/>
            <w:shd w:val="clear" w:color="auto" w:fill="C0F3F6"/>
          </w:tcPr>
          <w:p>
            <w:pPr>
              <w:spacing w:after="0"/>
              <w:rPr>
                <w:sz w:val="11"/>
                <w:szCs w:val="11"/>
                <w:color w:val="auto"/>
              </w:rPr>
            </w:pPr>
          </w:p>
        </w:tc>
        <w:tc>
          <w:tcPr>
            <w:tcW w:w="1220" w:type="dxa"/>
            <w:vAlign w:val="bottom"/>
            <w:shd w:val="clear" w:color="auto" w:fill="C0F3F6"/>
          </w:tcPr>
          <w:p>
            <w:pPr>
              <w:spacing w:after="0"/>
              <w:rPr>
                <w:sz w:val="11"/>
                <w:szCs w:val="11"/>
                <w:color w:val="auto"/>
              </w:rPr>
            </w:pPr>
          </w:p>
        </w:tc>
      </w:tr>
      <w:tr>
        <w:trPr>
          <w:trHeight w:val="159"/>
        </w:trPr>
        <w:tc>
          <w:tcPr>
            <w:tcW w:w="2740" w:type="dxa"/>
            <w:vAlign w:val="bottom"/>
            <w:shd w:val="clear" w:color="auto" w:fill="C0F3F6"/>
          </w:tcPr>
          <w:p>
            <w:pPr>
              <w:ind w:left="120"/>
              <w:spacing w:after="0" w:line="159" w:lineRule="exact"/>
              <w:rPr>
                <w:sz w:val="20"/>
                <w:szCs w:val="20"/>
                <w:color w:val="auto"/>
              </w:rPr>
            </w:pPr>
            <w:r>
              <w:rPr>
                <w:rFonts w:ascii="Arial" w:cs="Arial" w:eastAsia="Arial" w:hAnsi="Arial"/>
                <w:sz w:val="14"/>
                <w:szCs w:val="14"/>
                <w:color w:val="auto"/>
              </w:rPr>
              <w:t>portion</w:t>
            </w:r>
          </w:p>
        </w:tc>
        <w:tc>
          <w:tcPr>
            <w:tcW w:w="22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258,399</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06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13"/>
                <w:szCs w:val="13"/>
                <w:color w:val="auto"/>
              </w:rPr>
            </w:pPr>
          </w:p>
        </w:tc>
        <w:tc>
          <w:tcPr>
            <w:tcW w:w="280" w:type="dxa"/>
            <w:vAlign w:val="bottom"/>
            <w:shd w:val="clear" w:color="auto" w:fill="C0F3F6"/>
          </w:tcPr>
          <w:p>
            <w:pPr>
              <w:spacing w:after="0"/>
              <w:rPr>
                <w:sz w:val="13"/>
                <w:szCs w:val="13"/>
                <w:color w:val="auto"/>
              </w:rPr>
            </w:pPr>
          </w:p>
        </w:tc>
        <w:tc>
          <w:tcPr>
            <w:tcW w:w="12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258,399</w:t>
            </w:r>
          </w:p>
        </w:tc>
      </w:tr>
      <w:tr>
        <w:trPr>
          <w:trHeight w:val="243"/>
        </w:trPr>
        <w:tc>
          <w:tcPr>
            <w:tcW w:w="2740" w:type="dxa"/>
            <w:vAlign w:val="bottom"/>
          </w:tcPr>
          <w:p>
            <w:pPr>
              <w:ind w:left="220"/>
              <w:spacing w:after="0"/>
              <w:rPr>
                <w:sz w:val="20"/>
                <w:szCs w:val="20"/>
                <w:color w:val="auto"/>
              </w:rPr>
            </w:pPr>
            <w:r>
              <w:rPr>
                <w:rFonts w:ascii="Arial" w:cs="Arial" w:eastAsia="Arial" w:hAnsi="Arial"/>
                <w:sz w:val="14"/>
                <w:szCs w:val="14"/>
                <w:color w:val="auto"/>
              </w:rPr>
              <w:t>Other non current liabilities</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552,685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552,685</w:t>
            </w:r>
          </w:p>
        </w:tc>
      </w:tr>
      <w:tr>
        <w:trPr>
          <w:trHeight w:val="257"/>
        </w:trPr>
        <w:tc>
          <w:tcPr>
            <w:tcW w:w="2740" w:type="dxa"/>
            <w:vAlign w:val="bottom"/>
            <w:shd w:val="clear" w:color="auto" w:fill="C0F3F6"/>
          </w:tcPr>
          <w:p>
            <w:pPr>
              <w:spacing w:after="0"/>
              <w:rPr>
                <w:sz w:val="22"/>
                <w:szCs w:val="22"/>
                <w:color w:val="auto"/>
              </w:rPr>
            </w:pPr>
          </w:p>
        </w:tc>
        <w:tc>
          <w:tcPr>
            <w:tcW w:w="220" w:type="dxa"/>
            <w:vAlign w:val="bottom"/>
            <w:tcBorders>
              <w:bottom w:val="single" w:sz="8" w:color="auto"/>
            </w:tcBorders>
            <w:shd w:val="clear" w:color="auto" w:fill="C0F3F6"/>
          </w:tcPr>
          <w:p>
            <w:pPr>
              <w:spacing w:after="0"/>
              <w:rPr>
                <w:sz w:val="22"/>
                <w:szCs w:val="22"/>
                <w:color w:val="auto"/>
              </w:rPr>
            </w:pPr>
          </w:p>
        </w:tc>
        <w:tc>
          <w:tcPr>
            <w:tcW w:w="1160" w:type="dxa"/>
            <w:vAlign w:val="bottom"/>
            <w:tcBorders>
              <w:bottom w:val="single" w:sz="8" w:color="auto"/>
            </w:tcBorders>
            <w:shd w:val="clear" w:color="auto" w:fill="C0F3F6"/>
          </w:tcPr>
          <w:p>
            <w:pPr>
              <w:spacing w:after="0"/>
              <w:rPr>
                <w:sz w:val="22"/>
                <w:szCs w:val="22"/>
                <w:color w:val="auto"/>
              </w:rPr>
            </w:pPr>
          </w:p>
        </w:tc>
        <w:tc>
          <w:tcPr>
            <w:tcW w:w="400" w:type="dxa"/>
            <w:vAlign w:val="bottom"/>
            <w:shd w:val="clear" w:color="auto" w:fill="C0F3F6"/>
          </w:tcPr>
          <w:p>
            <w:pPr>
              <w:spacing w:after="0"/>
              <w:rPr>
                <w:sz w:val="22"/>
                <w:szCs w:val="22"/>
                <w:color w:val="auto"/>
              </w:rPr>
            </w:pPr>
          </w:p>
        </w:tc>
        <w:tc>
          <w:tcPr>
            <w:tcW w:w="240" w:type="dxa"/>
            <w:vAlign w:val="bottom"/>
            <w:tcBorders>
              <w:bottom w:val="single" w:sz="8" w:color="auto"/>
            </w:tcBorders>
            <w:shd w:val="clear" w:color="auto" w:fill="C0F3F6"/>
          </w:tcPr>
          <w:p>
            <w:pPr>
              <w:spacing w:after="0"/>
              <w:rPr>
                <w:sz w:val="22"/>
                <w:szCs w:val="22"/>
                <w:color w:val="auto"/>
              </w:rPr>
            </w:pPr>
          </w:p>
        </w:tc>
        <w:tc>
          <w:tcPr>
            <w:tcW w:w="1060" w:type="dxa"/>
            <w:vAlign w:val="bottom"/>
            <w:tcBorders>
              <w:bottom w:val="single" w:sz="8" w:color="auto"/>
            </w:tcBorders>
            <w:shd w:val="clear" w:color="auto" w:fill="C0F3F6"/>
          </w:tcPr>
          <w:p>
            <w:pPr>
              <w:spacing w:after="0"/>
              <w:rPr>
                <w:sz w:val="22"/>
                <w:szCs w:val="22"/>
                <w:color w:val="auto"/>
              </w:rPr>
            </w:pPr>
          </w:p>
        </w:tc>
        <w:tc>
          <w:tcPr>
            <w:tcW w:w="480" w:type="dxa"/>
            <w:vAlign w:val="bottom"/>
            <w:shd w:val="clear" w:color="auto" w:fill="C0F3F6"/>
          </w:tcPr>
          <w:p>
            <w:pPr>
              <w:spacing w:after="0"/>
              <w:rPr>
                <w:sz w:val="22"/>
                <w:szCs w:val="22"/>
                <w:color w:val="auto"/>
              </w:rPr>
            </w:pPr>
          </w:p>
        </w:tc>
        <w:tc>
          <w:tcPr>
            <w:tcW w:w="280" w:type="dxa"/>
            <w:vAlign w:val="bottom"/>
            <w:tcBorders>
              <w:bottom w:val="single" w:sz="8" w:color="auto"/>
            </w:tcBorders>
            <w:shd w:val="clear" w:color="auto" w:fill="C0F3F6"/>
          </w:tcPr>
          <w:p>
            <w:pPr>
              <w:spacing w:after="0"/>
              <w:rPr>
                <w:sz w:val="22"/>
                <w:szCs w:val="22"/>
                <w:color w:val="auto"/>
              </w:rPr>
            </w:pPr>
          </w:p>
        </w:tc>
        <w:tc>
          <w:tcPr>
            <w:tcW w:w="1220" w:type="dxa"/>
            <w:vAlign w:val="bottom"/>
            <w:tcBorders>
              <w:bottom w:val="single" w:sz="8" w:color="auto"/>
            </w:tcBorders>
            <w:shd w:val="clear" w:color="auto" w:fill="C0F3F6"/>
          </w:tcPr>
          <w:p>
            <w:pPr>
              <w:spacing w:after="0"/>
              <w:rPr>
                <w:sz w:val="22"/>
                <w:szCs w:val="22"/>
                <w:color w:val="auto"/>
              </w:rPr>
            </w:pPr>
          </w:p>
        </w:tc>
      </w:tr>
      <w:tr>
        <w:trPr>
          <w:trHeight w:val="237"/>
        </w:trPr>
        <w:tc>
          <w:tcPr>
            <w:tcW w:w="274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36,833,938</w:t>
            </w:r>
          </w:p>
        </w:tc>
        <w:tc>
          <w:tcPr>
            <w:tcW w:w="400" w:type="dxa"/>
            <w:vAlign w:val="bottom"/>
            <w:tcBorders>
              <w:bottom w:val="single" w:sz="8" w:color="C0F3F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201,978</w:t>
            </w:r>
          </w:p>
        </w:tc>
        <w:tc>
          <w:tcPr>
            <w:tcW w:w="480" w:type="dxa"/>
            <w:vAlign w:val="bottom"/>
            <w:tcBorders>
              <w:bottom w:val="single" w:sz="8" w:color="C0F3F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37,035,916</w:t>
            </w:r>
          </w:p>
        </w:tc>
      </w:tr>
      <w:tr>
        <w:trPr>
          <w:trHeight w:val="237"/>
        </w:trPr>
        <w:tc>
          <w:tcPr>
            <w:tcW w:w="2740" w:type="dxa"/>
            <w:vAlign w:val="bottom"/>
            <w:shd w:val="clear" w:color="auto" w:fill="C0F3F6"/>
          </w:tcPr>
          <w:p>
            <w:pPr>
              <w:spacing w:after="0"/>
              <w:rPr>
                <w:sz w:val="20"/>
                <w:szCs w:val="20"/>
                <w:color w:val="auto"/>
              </w:rPr>
            </w:pPr>
          </w:p>
        </w:tc>
        <w:tc>
          <w:tcPr>
            <w:tcW w:w="220" w:type="dxa"/>
            <w:vAlign w:val="bottom"/>
            <w:shd w:val="clear" w:color="auto" w:fill="C0F3F6"/>
          </w:tcPr>
          <w:p>
            <w:pPr>
              <w:spacing w:after="0"/>
              <w:rPr>
                <w:sz w:val="20"/>
                <w:szCs w:val="20"/>
                <w:color w:val="auto"/>
              </w:rPr>
            </w:pPr>
          </w:p>
        </w:tc>
        <w:tc>
          <w:tcPr>
            <w:tcW w:w="1160" w:type="dxa"/>
            <w:vAlign w:val="bottom"/>
            <w:shd w:val="clear" w:color="auto" w:fill="C0F3F6"/>
          </w:tcPr>
          <w:p>
            <w:pPr>
              <w:spacing w:after="0"/>
              <w:rPr>
                <w:sz w:val="20"/>
                <w:szCs w:val="20"/>
                <w:color w:val="auto"/>
              </w:rPr>
            </w:pPr>
          </w:p>
        </w:tc>
        <w:tc>
          <w:tcPr>
            <w:tcW w:w="400" w:type="dxa"/>
            <w:vAlign w:val="bottom"/>
            <w:shd w:val="clear" w:color="auto" w:fill="C0F3F6"/>
          </w:tcPr>
          <w:p>
            <w:pPr>
              <w:spacing w:after="0"/>
              <w:rPr>
                <w:sz w:val="20"/>
                <w:szCs w:val="20"/>
                <w:color w:val="auto"/>
              </w:rPr>
            </w:pPr>
          </w:p>
        </w:tc>
        <w:tc>
          <w:tcPr>
            <w:tcW w:w="240" w:type="dxa"/>
            <w:vAlign w:val="bottom"/>
            <w:shd w:val="clear" w:color="auto" w:fill="C0F3F6"/>
          </w:tcPr>
          <w:p>
            <w:pPr>
              <w:spacing w:after="0"/>
              <w:rPr>
                <w:sz w:val="20"/>
                <w:szCs w:val="20"/>
                <w:color w:val="auto"/>
              </w:rPr>
            </w:pPr>
          </w:p>
        </w:tc>
        <w:tc>
          <w:tcPr>
            <w:tcW w:w="1060" w:type="dxa"/>
            <w:vAlign w:val="bottom"/>
            <w:shd w:val="clear" w:color="auto" w:fill="C0F3F6"/>
          </w:tcPr>
          <w:p>
            <w:pPr>
              <w:spacing w:after="0"/>
              <w:rPr>
                <w:sz w:val="20"/>
                <w:szCs w:val="20"/>
                <w:color w:val="auto"/>
              </w:rPr>
            </w:pPr>
          </w:p>
        </w:tc>
        <w:tc>
          <w:tcPr>
            <w:tcW w:w="480" w:type="dxa"/>
            <w:vAlign w:val="bottom"/>
            <w:shd w:val="clear" w:color="auto" w:fill="C0F3F6"/>
          </w:tcPr>
          <w:p>
            <w:pPr>
              <w:spacing w:after="0"/>
              <w:rPr>
                <w:sz w:val="20"/>
                <w:szCs w:val="20"/>
                <w:color w:val="auto"/>
              </w:rPr>
            </w:pPr>
          </w:p>
        </w:tc>
        <w:tc>
          <w:tcPr>
            <w:tcW w:w="280" w:type="dxa"/>
            <w:vAlign w:val="bottom"/>
            <w:shd w:val="clear" w:color="auto" w:fill="C0F3F6"/>
          </w:tcPr>
          <w:p>
            <w:pPr>
              <w:spacing w:after="0"/>
              <w:rPr>
                <w:sz w:val="20"/>
                <w:szCs w:val="20"/>
                <w:color w:val="auto"/>
              </w:rPr>
            </w:pPr>
          </w:p>
        </w:tc>
        <w:tc>
          <w:tcPr>
            <w:tcW w:w="1220" w:type="dxa"/>
            <w:vAlign w:val="bottom"/>
            <w:shd w:val="clear" w:color="auto" w:fill="C0F3F6"/>
          </w:tcPr>
          <w:p>
            <w:pPr>
              <w:spacing w:after="0"/>
              <w:rPr>
                <w:sz w:val="20"/>
                <w:szCs w:val="20"/>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43"/>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28,891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28,891</w:t>
            </w: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110,988,552</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110,988,552</w:t>
            </w:r>
          </w:p>
        </w:tc>
      </w:tr>
      <w:tr>
        <w:trPr>
          <w:trHeight w:val="243"/>
        </w:trPr>
        <w:tc>
          <w:tcPr>
            <w:tcW w:w="2740" w:type="dxa"/>
            <w:vAlign w:val="bottom"/>
          </w:tcPr>
          <w:p>
            <w:pPr>
              <w:ind w:left="460"/>
              <w:spacing w:after="0"/>
              <w:rPr>
                <w:sz w:val="20"/>
                <w:szCs w:val="20"/>
                <w:color w:val="auto"/>
              </w:rPr>
            </w:pPr>
            <w:r>
              <w:rPr>
                <w:rFonts w:ascii="Arial" w:cs="Arial" w:eastAsia="Arial" w:hAnsi="Arial"/>
                <w:sz w:val="14"/>
                <w:szCs w:val="14"/>
                <w:color w:val="auto"/>
              </w:rPr>
              <w:t>Retained earnings (g)</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55,708,233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(2,212,815)</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53,495,418</w:t>
            </w:r>
          </w:p>
        </w:tc>
      </w:tr>
      <w:tr>
        <w:trPr>
          <w:trHeight w:val="381"/>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Accumulated other comprehensive</w:t>
            </w:r>
          </w:p>
        </w:tc>
        <w:tc>
          <w:tcPr>
            <w:tcW w:w="220" w:type="dxa"/>
            <w:vAlign w:val="bottom"/>
            <w:shd w:val="clear" w:color="auto" w:fill="C0F3F6"/>
          </w:tcPr>
          <w:p>
            <w:pPr>
              <w:spacing w:after="0"/>
              <w:rPr>
                <w:sz w:val="24"/>
                <w:szCs w:val="24"/>
                <w:color w:val="auto"/>
              </w:rPr>
            </w:pPr>
          </w:p>
        </w:tc>
        <w:tc>
          <w:tcPr>
            <w:tcW w:w="1160" w:type="dxa"/>
            <w:vAlign w:val="bottom"/>
            <w:shd w:val="clear" w:color="auto" w:fill="C0F3F6"/>
          </w:tcPr>
          <w:p>
            <w:pPr>
              <w:spacing w:after="0"/>
              <w:rPr>
                <w:sz w:val="24"/>
                <w:szCs w:val="24"/>
                <w:color w:val="auto"/>
              </w:rPr>
            </w:pPr>
          </w:p>
        </w:tc>
        <w:tc>
          <w:tcPr>
            <w:tcW w:w="400" w:type="dxa"/>
            <w:vAlign w:val="bottom"/>
            <w:shd w:val="clear" w:color="auto" w:fill="C0F3F6"/>
          </w:tcPr>
          <w:p>
            <w:pPr>
              <w:spacing w:after="0"/>
              <w:rPr>
                <w:sz w:val="24"/>
                <w:szCs w:val="24"/>
                <w:color w:val="auto"/>
              </w:rPr>
            </w:pPr>
          </w:p>
        </w:tc>
        <w:tc>
          <w:tcPr>
            <w:tcW w:w="240" w:type="dxa"/>
            <w:vAlign w:val="bottom"/>
            <w:shd w:val="clear" w:color="auto" w:fill="C0F3F6"/>
          </w:tcPr>
          <w:p>
            <w:pPr>
              <w:spacing w:after="0"/>
              <w:rPr>
                <w:sz w:val="24"/>
                <w:szCs w:val="24"/>
                <w:color w:val="auto"/>
              </w:rPr>
            </w:pPr>
          </w:p>
        </w:tc>
        <w:tc>
          <w:tcPr>
            <w:tcW w:w="1060" w:type="dxa"/>
            <w:vAlign w:val="bottom"/>
            <w:shd w:val="clear" w:color="auto" w:fill="C0F3F6"/>
          </w:tcPr>
          <w:p>
            <w:pPr>
              <w:spacing w:after="0"/>
              <w:rPr>
                <w:sz w:val="24"/>
                <w:szCs w:val="24"/>
                <w:color w:val="auto"/>
              </w:rPr>
            </w:pPr>
          </w:p>
        </w:tc>
        <w:tc>
          <w:tcPr>
            <w:tcW w:w="480" w:type="dxa"/>
            <w:vAlign w:val="bottom"/>
            <w:shd w:val="clear" w:color="auto" w:fill="C0F3F6"/>
          </w:tcPr>
          <w:p>
            <w:pPr>
              <w:spacing w:after="0"/>
              <w:rPr>
                <w:sz w:val="24"/>
                <w:szCs w:val="24"/>
                <w:color w:val="auto"/>
              </w:rPr>
            </w:pPr>
          </w:p>
        </w:tc>
        <w:tc>
          <w:tcPr>
            <w:tcW w:w="280" w:type="dxa"/>
            <w:vAlign w:val="bottom"/>
            <w:shd w:val="clear" w:color="auto" w:fill="C0F3F6"/>
          </w:tcPr>
          <w:p>
            <w:pPr>
              <w:spacing w:after="0"/>
              <w:rPr>
                <w:sz w:val="24"/>
                <w:szCs w:val="24"/>
                <w:color w:val="auto"/>
              </w:rPr>
            </w:pPr>
          </w:p>
        </w:tc>
        <w:tc>
          <w:tcPr>
            <w:tcW w:w="1220" w:type="dxa"/>
            <w:vAlign w:val="bottom"/>
            <w:shd w:val="clear" w:color="auto" w:fill="C0F3F6"/>
          </w:tcPr>
          <w:p>
            <w:pPr>
              <w:spacing w:after="0"/>
              <w:rPr>
                <w:sz w:val="24"/>
                <w:szCs w:val="24"/>
                <w:color w:val="auto"/>
              </w:rPr>
            </w:pPr>
          </w:p>
        </w:tc>
      </w:tr>
      <w:tr>
        <w:trPr>
          <w:trHeight w:val="159"/>
        </w:trPr>
        <w:tc>
          <w:tcPr>
            <w:tcW w:w="2740" w:type="dxa"/>
            <w:vAlign w:val="bottom"/>
            <w:shd w:val="clear" w:color="auto" w:fill="C0F3F6"/>
          </w:tcPr>
          <w:p>
            <w:pPr>
              <w:ind w:left="560"/>
              <w:spacing w:after="0" w:line="159" w:lineRule="exact"/>
              <w:rPr>
                <w:sz w:val="20"/>
                <w:szCs w:val="20"/>
                <w:color w:val="auto"/>
              </w:rPr>
            </w:pPr>
            <w:r>
              <w:rPr>
                <w:rFonts w:ascii="Arial" w:cs="Arial" w:eastAsia="Arial" w:hAnsi="Arial"/>
                <w:sz w:val="14"/>
                <w:szCs w:val="14"/>
                <w:color w:val="auto"/>
              </w:rPr>
              <w:t>income/(loss)</w:t>
            </w:r>
          </w:p>
        </w:tc>
        <w:tc>
          <w:tcPr>
            <w:tcW w:w="220" w:type="dxa"/>
            <w:vAlign w:val="bottom"/>
            <w:shd w:val="clear" w:color="auto" w:fill="C0F3F6"/>
          </w:tcPr>
          <w:p>
            <w:pPr>
              <w:spacing w:after="0"/>
              <w:rPr>
                <w:sz w:val="13"/>
                <w:szCs w:val="13"/>
                <w:color w:val="auto"/>
              </w:rPr>
            </w:pPr>
          </w:p>
        </w:tc>
        <w:tc>
          <w:tcPr>
            <w:tcW w:w="116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7,570,026</w:t>
            </w:r>
          </w:p>
        </w:tc>
        <w:tc>
          <w:tcPr>
            <w:tcW w:w="40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06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13"/>
                <w:szCs w:val="13"/>
                <w:color w:val="auto"/>
              </w:rPr>
            </w:pPr>
          </w:p>
        </w:tc>
        <w:tc>
          <w:tcPr>
            <w:tcW w:w="280" w:type="dxa"/>
            <w:vAlign w:val="bottom"/>
            <w:shd w:val="clear" w:color="auto" w:fill="C0F3F6"/>
          </w:tcPr>
          <w:p>
            <w:pPr>
              <w:spacing w:after="0"/>
              <w:rPr>
                <w:sz w:val="13"/>
                <w:szCs w:val="13"/>
                <w:color w:val="auto"/>
              </w:rPr>
            </w:pPr>
          </w:p>
        </w:tc>
        <w:tc>
          <w:tcPr>
            <w:tcW w:w="12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7,570,026</w:t>
            </w:r>
          </w:p>
        </w:tc>
      </w:tr>
      <w:tr>
        <w:trPr>
          <w:trHeight w:val="257"/>
        </w:trPr>
        <w:tc>
          <w:tcPr>
            <w:tcW w:w="274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C0F3F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7"/>
        </w:trPr>
        <w:tc>
          <w:tcPr>
            <w:tcW w:w="2740" w:type="dxa"/>
            <w:vAlign w:val="bottom"/>
            <w:shd w:val="clear" w:color="auto" w:fill="C0F3F6"/>
          </w:tcPr>
          <w:p>
            <w:pPr>
              <w:spacing w:after="0"/>
              <w:rPr>
                <w:sz w:val="20"/>
                <w:szCs w:val="20"/>
                <w:color w:val="auto"/>
              </w:rPr>
            </w:pPr>
          </w:p>
        </w:tc>
        <w:tc>
          <w:tcPr>
            <w:tcW w:w="22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174,295,702</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0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80" w:type="dxa"/>
            <w:vAlign w:val="bottom"/>
            <w:shd w:val="clear" w:color="auto" w:fill="C0F3F6"/>
          </w:tcPr>
          <w:p>
            <w:pPr>
              <w:spacing w:after="0"/>
              <w:rPr>
                <w:sz w:val="20"/>
                <w:szCs w:val="20"/>
                <w:color w:val="auto"/>
              </w:rPr>
            </w:pPr>
          </w:p>
        </w:tc>
        <w:tc>
          <w:tcPr>
            <w:tcW w:w="280" w:type="dxa"/>
            <w:vAlign w:val="bottom"/>
            <w:tcBorders>
              <w:bottom w:val="single" w:sz="8" w:color="auto"/>
            </w:tcBorders>
            <w:shd w:val="clear" w:color="auto" w:fill="C0F3F6"/>
          </w:tcPr>
          <w:p>
            <w:pPr>
              <w:spacing w:after="0"/>
              <w:rPr>
                <w:sz w:val="20"/>
                <w:szCs w:val="20"/>
                <w:color w:val="auto"/>
              </w:rPr>
            </w:pPr>
          </w:p>
        </w:tc>
        <w:tc>
          <w:tcPr>
            <w:tcW w:w="122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172,082,887</w:t>
            </w: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2740" w:type="dxa"/>
            <w:vAlign w:val="bottom"/>
            <w:shd w:val="clear" w:color="auto" w:fill="C0F3F6"/>
          </w:tcPr>
          <w:p>
            <w:pPr>
              <w:ind w:left="460"/>
              <w:spacing w:after="0"/>
              <w:rPr>
                <w:sz w:val="20"/>
                <w:szCs w:val="20"/>
                <w:color w:val="auto"/>
              </w:rPr>
            </w:pPr>
            <w:r>
              <w:rPr>
                <w:rFonts w:ascii="Arial" w:cs="Arial" w:eastAsia="Arial" w:hAnsi="Arial"/>
                <w:sz w:val="14"/>
                <w:szCs w:val="14"/>
                <w:color w:val="auto"/>
              </w:rPr>
              <w:t>Less: Treasury Stock</w:t>
            </w:r>
          </w:p>
        </w:tc>
        <w:tc>
          <w:tcPr>
            <w:tcW w:w="220" w:type="dxa"/>
            <w:vAlign w:val="bottom"/>
            <w:shd w:val="clear" w:color="auto" w:fill="C0F3F6"/>
          </w:tcPr>
          <w:p>
            <w:pPr>
              <w:spacing w:after="0"/>
              <w:rPr>
                <w:sz w:val="21"/>
                <w:szCs w:val="21"/>
                <w:color w:val="auto"/>
              </w:rPr>
            </w:pPr>
          </w:p>
        </w:tc>
        <w:tc>
          <w:tcPr>
            <w:tcW w:w="11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(315,933)</w:t>
            </w:r>
          </w:p>
        </w:tc>
        <w:tc>
          <w:tcPr>
            <w:tcW w:w="4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0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1220" w:type="dxa"/>
            <w:vAlign w:val="bottom"/>
            <w:shd w:val="clear" w:color="auto" w:fill="C0F3F6"/>
          </w:tcPr>
          <w:p>
            <w:pPr>
              <w:jc w:val="right"/>
              <w:spacing w:after="0"/>
              <w:rPr>
                <w:sz w:val="20"/>
                <w:szCs w:val="20"/>
                <w:color w:val="auto"/>
              </w:rPr>
            </w:pPr>
            <w:r>
              <w:rPr>
                <w:rFonts w:ascii="Arial" w:cs="Arial" w:eastAsia="Arial" w:hAnsi="Arial"/>
                <w:sz w:val="14"/>
                <w:szCs w:val="14"/>
                <w:color w:val="auto"/>
              </w:rPr>
              <w:t>(315,933)</w:t>
            </w:r>
          </w:p>
        </w:tc>
      </w:tr>
      <w:tr>
        <w:trPr>
          <w:trHeight w:val="257"/>
        </w:trPr>
        <w:tc>
          <w:tcPr>
            <w:tcW w:w="2740" w:type="dxa"/>
            <w:vAlign w:val="bottom"/>
            <w:tcBorders>
              <w:bottom w:val="single" w:sz="8" w:color="C0F3F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C0F3F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C0F3F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7"/>
        </w:trPr>
        <w:tc>
          <w:tcPr>
            <w:tcW w:w="27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0F3F6"/>
          </w:tcPr>
          <w:p>
            <w:pPr>
              <w:spacing w:after="0"/>
              <w:rPr>
                <w:sz w:val="20"/>
                <w:szCs w:val="20"/>
                <w:color w:val="auto"/>
              </w:rPr>
            </w:pPr>
          </w:p>
        </w:tc>
        <w:tc>
          <w:tcPr>
            <w:tcW w:w="11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173,979,769</w:t>
            </w:r>
          </w:p>
        </w:tc>
        <w:tc>
          <w:tcPr>
            <w:tcW w:w="400" w:type="dxa"/>
            <w:vAlign w:val="bottom"/>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spacing w:after="0"/>
              <w:rPr>
                <w:sz w:val="20"/>
                <w:szCs w:val="20"/>
                <w:color w:val="auto"/>
              </w:rPr>
            </w:pPr>
          </w:p>
        </w:tc>
        <w:tc>
          <w:tcPr>
            <w:tcW w:w="10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80" w:type="dxa"/>
            <w:vAlign w:val="bottom"/>
            <w:shd w:val="clear" w:color="auto" w:fill="C0F3F6"/>
          </w:tcPr>
          <w:p>
            <w:pPr>
              <w:spacing w:after="0"/>
              <w:rPr>
                <w:sz w:val="20"/>
                <w:szCs w:val="20"/>
                <w:color w:val="auto"/>
              </w:rPr>
            </w:pPr>
          </w:p>
        </w:tc>
        <w:tc>
          <w:tcPr>
            <w:tcW w:w="280" w:type="dxa"/>
            <w:vAlign w:val="bottom"/>
            <w:tcBorders>
              <w:bottom w:val="single" w:sz="8" w:color="auto"/>
            </w:tcBorders>
            <w:shd w:val="clear" w:color="auto" w:fill="C0F3F6"/>
          </w:tcPr>
          <w:p>
            <w:pPr>
              <w:spacing w:after="0"/>
              <w:rPr>
                <w:sz w:val="20"/>
                <w:szCs w:val="20"/>
                <w:color w:val="auto"/>
              </w:rPr>
            </w:pPr>
          </w:p>
        </w:tc>
        <w:tc>
          <w:tcPr>
            <w:tcW w:w="122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171,766,954</w:t>
            </w:r>
          </w:p>
        </w:tc>
      </w:tr>
      <w:tr>
        <w:trPr>
          <w:trHeight w:val="237"/>
        </w:trPr>
        <w:tc>
          <w:tcPr>
            <w:tcW w:w="2740" w:type="dxa"/>
            <w:vAlign w:val="bottom"/>
            <w:tcBorders>
              <w:bottom w:val="single" w:sz="8" w:color="C0F3F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0" w:type="dxa"/>
            <w:vAlign w:val="bottom"/>
            <w:tcBorders>
              <w:bottom w:val="single" w:sz="8" w:color="C0F3F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80" w:type="dxa"/>
            <w:vAlign w:val="bottom"/>
            <w:tcBorders>
              <w:bottom w:val="single" w:sz="8" w:color="C0F3F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2740" w:type="dxa"/>
            <w:vAlign w:val="bottom"/>
            <w:tcBorders>
              <w:bottom w:val="single" w:sz="8" w:color="C0F3F6"/>
            </w:tcBorders>
            <w:shd w:val="clear" w:color="auto" w:fill="C0F3F6"/>
          </w:tcPr>
          <w:p>
            <w:pPr>
              <w:ind w:left="26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210,813,707</w:t>
            </w:r>
          </w:p>
        </w:tc>
        <w:tc>
          <w:tcPr>
            <w:tcW w:w="400" w:type="dxa"/>
            <w:vAlign w:val="bottom"/>
            <w:tcBorders>
              <w:bottom w:val="single" w:sz="8" w:color="C0F3F6"/>
            </w:tcBorders>
            <w:shd w:val="clear" w:color="auto" w:fill="C0F3F6"/>
          </w:tcPr>
          <w:p>
            <w:pPr>
              <w:spacing w:after="0"/>
              <w:rPr>
                <w:sz w:val="20"/>
                <w:szCs w:val="20"/>
                <w:color w:val="auto"/>
              </w:rPr>
            </w:pPr>
          </w:p>
        </w:tc>
        <w:tc>
          <w:tcPr>
            <w:tcW w:w="24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(2,010,837)</w:t>
            </w:r>
          </w:p>
        </w:tc>
        <w:tc>
          <w:tcPr>
            <w:tcW w:w="480" w:type="dxa"/>
            <w:vAlign w:val="bottom"/>
            <w:tcBorders>
              <w:bottom w:val="single" w:sz="8" w:color="C0F3F6"/>
            </w:tcBorders>
            <w:shd w:val="clear" w:color="auto" w:fill="C0F3F6"/>
          </w:tcPr>
          <w:p>
            <w:pPr>
              <w:spacing w:after="0"/>
              <w:rPr>
                <w:sz w:val="20"/>
                <w:szCs w:val="20"/>
                <w:color w:val="auto"/>
              </w:rPr>
            </w:pPr>
          </w:p>
        </w:tc>
        <w:tc>
          <w:tcPr>
            <w:tcW w:w="28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208,802,870</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314960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139"/>
          </w:cols>
          <w:pgMar w:left="320" w:top="368" w:right="1440" w:bottom="211" w:gutter="0" w:footer="0" w:header="0"/>
        </w:sectPr>
      </w:pPr>
    </w:p>
    <w:bookmarkStart w:id="4" w:name="page5"/>
    <w:bookmarkEnd w:id="4"/>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Unaudited Pro Forma Consolidated Balance Sheet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June 30, 2008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ExlService</w:t>
            </w:r>
          </w:p>
        </w:tc>
        <w:tc>
          <w:tcPr>
            <w:tcW w:w="26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Pro Forma</w:t>
            </w:r>
          </w:p>
        </w:tc>
        <w:tc>
          <w:tcPr>
            <w:tcW w:w="260" w:type="dxa"/>
            <w:vAlign w:val="bottom"/>
          </w:tcPr>
          <w:p>
            <w:pPr>
              <w:spacing w:after="0"/>
              <w:rPr>
                <w:sz w:val="14"/>
                <w:szCs w:val="14"/>
                <w:color w:val="auto"/>
              </w:rPr>
            </w:pPr>
          </w:p>
        </w:tc>
        <w:tc>
          <w:tcPr>
            <w:tcW w:w="1180" w:type="dxa"/>
            <w:vAlign w:val="bottom"/>
          </w:tcPr>
          <w:p>
            <w:pPr>
              <w:jc w:val="right"/>
              <w:ind w:right="332"/>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r>
      <w:tr>
        <w:trPr>
          <w:trHeight w:val="161"/>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Holdings, Inc.</w:t>
            </w:r>
          </w:p>
        </w:tc>
        <w:tc>
          <w:tcPr>
            <w:tcW w:w="26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Adjustments</w:t>
            </w:r>
          </w:p>
        </w:tc>
        <w:tc>
          <w:tcPr>
            <w:tcW w:w="260" w:type="dxa"/>
            <w:vAlign w:val="bottom"/>
          </w:tcPr>
          <w:p>
            <w:pPr>
              <w:spacing w:after="0"/>
              <w:rPr>
                <w:sz w:val="14"/>
                <w:szCs w:val="14"/>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4"/>
                <w:szCs w:val="14"/>
                <w:color w:val="auto"/>
              </w:rPr>
            </w:pPr>
          </w:p>
        </w:tc>
      </w:tr>
      <w:tr>
        <w:trPr>
          <w:trHeight w:val="250"/>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0"/>
        </w:trPr>
        <w:tc>
          <w:tcPr>
            <w:tcW w:w="80" w:type="dxa"/>
            <w:vAlign w:val="bottom"/>
          </w:tcPr>
          <w:p>
            <w:pPr>
              <w:spacing w:after="0"/>
              <w:rPr>
                <w:sz w:val="20"/>
                <w:szCs w:val="20"/>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Cash and cash equivalents (e)(f)</w:t>
            </w:r>
          </w:p>
        </w:tc>
        <w:tc>
          <w:tcPr>
            <w:tcW w:w="2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97,666,533</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876,653</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98,543,186</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242,871</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242,871</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Short-term investments</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258,368</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258,368</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43,923,228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43,923,228</w:t>
            </w:r>
          </w:p>
        </w:tc>
        <w:tc>
          <w:tcPr>
            <w:tcW w:w="26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66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Accounts receivable from related</w:t>
            </w:r>
          </w:p>
        </w:tc>
        <w:tc>
          <w:tcPr>
            <w:tcW w:w="260" w:type="dxa"/>
            <w:vAlign w:val="bottom"/>
            <w:shd w:val="clear" w:color="auto" w:fill="C0F3F6"/>
          </w:tcPr>
          <w:p>
            <w:pPr>
              <w:spacing w:after="0"/>
              <w:rPr>
                <w:sz w:val="11"/>
                <w:szCs w:val="11"/>
                <w:color w:val="auto"/>
              </w:rPr>
            </w:pPr>
          </w:p>
        </w:tc>
        <w:tc>
          <w:tcPr>
            <w:tcW w:w="1240" w:type="dxa"/>
            <w:vAlign w:val="bottom"/>
            <w:shd w:val="clear" w:color="auto" w:fill="C0F3F6"/>
          </w:tcPr>
          <w:p>
            <w:pPr>
              <w:spacing w:after="0"/>
              <w:rPr>
                <w:sz w:val="11"/>
                <w:szCs w:val="11"/>
                <w:color w:val="auto"/>
              </w:rPr>
            </w:pPr>
          </w:p>
        </w:tc>
        <w:tc>
          <w:tcPr>
            <w:tcW w:w="38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2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660" w:type="dxa"/>
            <w:vAlign w:val="bottom"/>
            <w:shd w:val="clear" w:color="auto" w:fill="C0F3F6"/>
          </w:tcPr>
          <w:p>
            <w:pPr>
              <w:ind w:left="440"/>
              <w:spacing w:after="0" w:line="159" w:lineRule="exact"/>
              <w:rPr>
                <w:sz w:val="20"/>
                <w:szCs w:val="20"/>
                <w:color w:val="auto"/>
              </w:rPr>
            </w:pPr>
            <w:r>
              <w:rPr>
                <w:rFonts w:ascii="Arial" w:cs="Arial" w:eastAsia="Arial" w:hAnsi="Arial"/>
                <w:sz w:val="14"/>
                <w:szCs w:val="14"/>
                <w:color w:val="auto"/>
              </w:rPr>
              <w:t>parties</w:t>
            </w:r>
          </w:p>
        </w:tc>
        <w:tc>
          <w:tcPr>
            <w:tcW w:w="260" w:type="dxa"/>
            <w:vAlign w:val="bottom"/>
            <w:shd w:val="clear" w:color="auto" w:fill="C0F3F6"/>
          </w:tcPr>
          <w:p>
            <w:pPr>
              <w:spacing w:after="0"/>
              <w:rPr>
                <w:sz w:val="13"/>
                <w:szCs w:val="13"/>
                <w:color w:val="auto"/>
              </w:rPr>
            </w:pPr>
          </w:p>
        </w:tc>
        <w:tc>
          <w:tcPr>
            <w:tcW w:w="12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61,920</w:t>
            </w:r>
          </w:p>
        </w:tc>
        <w:tc>
          <w:tcPr>
            <w:tcW w:w="38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20" w:type="dxa"/>
            <w:vAlign w:val="bottom"/>
            <w:shd w:val="clear" w:color="auto" w:fill="C0F3F6"/>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8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61,920</w:t>
            </w:r>
          </w:p>
        </w:tc>
        <w:tc>
          <w:tcPr>
            <w:tcW w:w="26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Employee receivables</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483,474</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483,474</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2,389,727</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2,389,727</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Deferred tax assets (f)</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3,373,595</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(1,229,342)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2,144,253</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Prepaid income tax</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533,959</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533,959</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1,987,142</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1,987,142</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266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240" w:type="dxa"/>
            <w:vAlign w:val="bottom"/>
            <w:tcBorders>
              <w:bottom w:val="single" w:sz="8" w:color="auto"/>
            </w:tcBorders>
            <w:shd w:val="clear" w:color="auto" w:fill="C0F3F6"/>
          </w:tcPr>
          <w:p>
            <w:pPr>
              <w:spacing w:after="0"/>
              <w:rPr>
                <w:sz w:val="22"/>
                <w:szCs w:val="22"/>
                <w:color w:val="auto"/>
              </w:rPr>
            </w:pPr>
          </w:p>
        </w:tc>
        <w:tc>
          <w:tcPr>
            <w:tcW w:w="38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120" w:type="dxa"/>
            <w:vAlign w:val="bottom"/>
            <w:tcBorders>
              <w:bottom w:val="single" w:sz="8" w:color="auto"/>
            </w:tcBorders>
            <w:shd w:val="clear" w:color="auto" w:fill="C0F3F6"/>
          </w:tcPr>
          <w:p>
            <w:pPr>
              <w:spacing w:after="0"/>
              <w:rPr>
                <w:sz w:val="22"/>
                <w:szCs w:val="22"/>
                <w:color w:val="auto"/>
              </w:rPr>
            </w:pPr>
          </w:p>
        </w:tc>
        <w:tc>
          <w:tcPr>
            <w:tcW w:w="44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180" w:type="dxa"/>
            <w:vAlign w:val="bottom"/>
            <w:tcBorders>
              <w:bottom w:val="single" w:sz="8" w:color="auto"/>
            </w:tcBorders>
            <w:shd w:val="clear" w:color="auto" w:fill="C0F3F6"/>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150,920,817</w:t>
            </w:r>
          </w:p>
        </w:tc>
        <w:tc>
          <w:tcPr>
            <w:tcW w:w="380" w:type="dxa"/>
            <w:vAlign w:val="bottom"/>
            <w:tcBorders>
              <w:bottom w:val="single" w:sz="8" w:color="C0F3F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(352,689)</w:t>
            </w:r>
          </w:p>
        </w:tc>
        <w:tc>
          <w:tcPr>
            <w:tcW w:w="440" w:type="dxa"/>
            <w:vAlign w:val="bottom"/>
            <w:tcBorders>
              <w:bottom w:val="single" w:sz="8" w:color="C0F3F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150,568,128</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266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240" w:type="dxa"/>
            <w:vAlign w:val="bottom"/>
            <w:shd w:val="clear" w:color="auto" w:fill="C0F3F6"/>
          </w:tcPr>
          <w:p>
            <w:pPr>
              <w:spacing w:after="0"/>
              <w:rPr>
                <w:sz w:val="20"/>
                <w:szCs w:val="20"/>
                <w:color w:val="auto"/>
              </w:rPr>
            </w:pPr>
          </w:p>
        </w:tc>
        <w:tc>
          <w:tcPr>
            <w:tcW w:w="38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120" w:type="dxa"/>
            <w:vAlign w:val="bottom"/>
            <w:shd w:val="clear" w:color="auto" w:fill="C0F3F6"/>
          </w:tcPr>
          <w:p>
            <w:pPr>
              <w:spacing w:after="0"/>
              <w:rPr>
                <w:sz w:val="20"/>
                <w:szCs w:val="20"/>
                <w:color w:val="auto"/>
              </w:rPr>
            </w:pPr>
          </w:p>
        </w:tc>
        <w:tc>
          <w:tcPr>
            <w:tcW w:w="44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180" w:type="dxa"/>
            <w:vAlign w:val="bottom"/>
            <w:shd w:val="clear" w:color="auto" w:fill="C0F3F6"/>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Fixed assets, net (f)</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27,797,270</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(202,584)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27,594,686</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Intangibles, net of amortization</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101,247</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101,247</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17,695,657</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17,695,657</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324,911</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324,911</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4,879,548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4,879,548</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Other assets (f)</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9,956,772</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(1,455,564)</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8,501,208</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266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tcBorders>
              <w:bottom w:val="single" w:sz="8" w:color="C0F3F6"/>
            </w:tcBorders>
            <w:shd w:val="clear" w:color="auto" w:fill="C0F3F6"/>
          </w:tcPr>
          <w:p>
            <w:pPr>
              <w:ind w:left="1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211,676,222</w:t>
            </w:r>
          </w:p>
        </w:tc>
        <w:tc>
          <w:tcPr>
            <w:tcW w:w="380" w:type="dxa"/>
            <w:vAlign w:val="bottom"/>
            <w:tcBorders>
              <w:bottom w:val="single" w:sz="8" w:color="C0F3F6"/>
            </w:tcBorders>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(2,010,837)</w:t>
            </w:r>
          </w:p>
        </w:tc>
        <w:tc>
          <w:tcPr>
            <w:tcW w:w="440" w:type="dxa"/>
            <w:vAlign w:val="bottom"/>
            <w:tcBorders>
              <w:bottom w:val="single" w:sz="8" w:color="C0F3F6"/>
            </w:tcBorders>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209,665,385</w:t>
            </w:r>
          </w:p>
        </w:tc>
        <w:tc>
          <w:tcPr>
            <w:tcW w:w="2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1,981,704</w:t>
            </w:r>
          </w:p>
        </w:tc>
        <w:tc>
          <w:tcPr>
            <w:tcW w:w="380" w:type="dxa"/>
            <w:vAlign w:val="bottom"/>
          </w:tcPr>
          <w:p>
            <w:pPr>
              <w:spacing w:after="0"/>
              <w:rPr>
                <w:sz w:val="21"/>
                <w:szCs w:val="21"/>
                <w:color w:val="auto"/>
              </w:rPr>
            </w:pP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1,981,704</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4,056,755</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4,056,755</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Accrued employee cost</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10,832,758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10,832,758</w:t>
            </w:r>
          </w:p>
        </w:tc>
        <w:tc>
          <w:tcPr>
            <w:tcW w:w="26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66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w w:val="95"/>
              </w:rPr>
              <w:t>Other accrued expenses and current</w:t>
            </w:r>
          </w:p>
        </w:tc>
        <w:tc>
          <w:tcPr>
            <w:tcW w:w="260" w:type="dxa"/>
            <w:vAlign w:val="bottom"/>
            <w:shd w:val="clear" w:color="auto" w:fill="C0F3F6"/>
          </w:tcPr>
          <w:p>
            <w:pPr>
              <w:spacing w:after="0"/>
              <w:rPr>
                <w:sz w:val="11"/>
                <w:szCs w:val="11"/>
                <w:color w:val="auto"/>
              </w:rPr>
            </w:pPr>
          </w:p>
        </w:tc>
        <w:tc>
          <w:tcPr>
            <w:tcW w:w="1240" w:type="dxa"/>
            <w:vAlign w:val="bottom"/>
            <w:shd w:val="clear" w:color="auto" w:fill="C0F3F6"/>
          </w:tcPr>
          <w:p>
            <w:pPr>
              <w:spacing w:after="0"/>
              <w:rPr>
                <w:sz w:val="11"/>
                <w:szCs w:val="11"/>
                <w:color w:val="auto"/>
              </w:rPr>
            </w:pPr>
          </w:p>
        </w:tc>
        <w:tc>
          <w:tcPr>
            <w:tcW w:w="38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2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660" w:type="dxa"/>
            <w:vAlign w:val="bottom"/>
            <w:shd w:val="clear" w:color="auto" w:fill="C0F3F6"/>
          </w:tcPr>
          <w:p>
            <w:pPr>
              <w:ind w:left="440"/>
              <w:spacing w:after="0" w:line="159" w:lineRule="exact"/>
              <w:rPr>
                <w:sz w:val="20"/>
                <w:szCs w:val="20"/>
                <w:color w:val="auto"/>
              </w:rPr>
            </w:pPr>
            <w:r>
              <w:rPr>
                <w:rFonts w:ascii="Arial" w:cs="Arial" w:eastAsia="Arial" w:hAnsi="Arial"/>
                <w:sz w:val="14"/>
                <w:szCs w:val="14"/>
                <w:color w:val="auto"/>
              </w:rPr>
              <w:t>liabilities (f)(g)</w:t>
            </w:r>
          </w:p>
        </w:tc>
        <w:tc>
          <w:tcPr>
            <w:tcW w:w="260" w:type="dxa"/>
            <w:vAlign w:val="bottom"/>
            <w:shd w:val="clear" w:color="auto" w:fill="C0F3F6"/>
          </w:tcPr>
          <w:p>
            <w:pPr>
              <w:spacing w:after="0"/>
              <w:rPr>
                <w:sz w:val="13"/>
                <w:szCs w:val="13"/>
                <w:color w:val="auto"/>
              </w:rPr>
            </w:pPr>
          </w:p>
        </w:tc>
        <w:tc>
          <w:tcPr>
            <w:tcW w:w="12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22,370,751</w:t>
            </w:r>
          </w:p>
        </w:tc>
        <w:tc>
          <w:tcPr>
            <w:tcW w:w="38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201,978</w:t>
            </w:r>
          </w:p>
        </w:tc>
        <w:tc>
          <w:tcPr>
            <w:tcW w:w="44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8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22,572,729</w:t>
            </w:r>
          </w:p>
        </w:tc>
        <w:tc>
          <w:tcPr>
            <w:tcW w:w="26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66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Current portion of capital lease</w:t>
            </w:r>
          </w:p>
        </w:tc>
        <w:tc>
          <w:tcPr>
            <w:tcW w:w="260" w:type="dxa"/>
            <w:vAlign w:val="bottom"/>
            <w:shd w:val="clear" w:color="auto" w:fill="C0F3F6"/>
          </w:tcPr>
          <w:p>
            <w:pPr>
              <w:spacing w:after="0"/>
              <w:rPr>
                <w:sz w:val="11"/>
                <w:szCs w:val="11"/>
                <w:color w:val="auto"/>
              </w:rPr>
            </w:pPr>
          </w:p>
        </w:tc>
        <w:tc>
          <w:tcPr>
            <w:tcW w:w="1240" w:type="dxa"/>
            <w:vAlign w:val="bottom"/>
            <w:shd w:val="clear" w:color="auto" w:fill="C0F3F6"/>
          </w:tcPr>
          <w:p>
            <w:pPr>
              <w:spacing w:after="0"/>
              <w:rPr>
                <w:sz w:val="11"/>
                <w:szCs w:val="11"/>
                <w:color w:val="auto"/>
              </w:rPr>
            </w:pPr>
          </w:p>
        </w:tc>
        <w:tc>
          <w:tcPr>
            <w:tcW w:w="38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2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660" w:type="dxa"/>
            <w:vAlign w:val="bottom"/>
            <w:shd w:val="clear" w:color="auto" w:fill="C0F3F6"/>
          </w:tcPr>
          <w:p>
            <w:pPr>
              <w:ind w:left="440"/>
              <w:spacing w:after="0" w:line="159" w:lineRule="exact"/>
              <w:rPr>
                <w:sz w:val="20"/>
                <w:szCs w:val="20"/>
                <w:color w:val="auto"/>
              </w:rPr>
            </w:pPr>
            <w:r>
              <w:rPr>
                <w:rFonts w:ascii="Arial" w:cs="Arial" w:eastAsia="Arial" w:hAnsi="Arial"/>
                <w:sz w:val="14"/>
                <w:szCs w:val="14"/>
                <w:color w:val="auto"/>
              </w:rPr>
              <w:t>obligations</w:t>
            </w:r>
          </w:p>
        </w:tc>
        <w:tc>
          <w:tcPr>
            <w:tcW w:w="260" w:type="dxa"/>
            <w:vAlign w:val="bottom"/>
            <w:shd w:val="clear" w:color="auto" w:fill="C0F3F6"/>
          </w:tcPr>
          <w:p>
            <w:pPr>
              <w:spacing w:after="0"/>
              <w:rPr>
                <w:sz w:val="13"/>
                <w:szCs w:val="13"/>
                <w:color w:val="auto"/>
              </w:rPr>
            </w:pPr>
          </w:p>
        </w:tc>
        <w:tc>
          <w:tcPr>
            <w:tcW w:w="12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118,881</w:t>
            </w:r>
          </w:p>
        </w:tc>
        <w:tc>
          <w:tcPr>
            <w:tcW w:w="38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8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118,881</w:t>
            </w:r>
          </w:p>
        </w:tc>
        <w:tc>
          <w:tcPr>
            <w:tcW w:w="260" w:type="dxa"/>
            <w:vAlign w:val="bottom"/>
          </w:tcPr>
          <w:p>
            <w:pPr>
              <w:spacing w:after="0"/>
              <w:rPr>
                <w:sz w:val="13"/>
                <w:szCs w:val="13"/>
                <w:color w:val="auto"/>
              </w:rPr>
            </w:pPr>
          </w:p>
        </w:tc>
      </w:tr>
      <w:tr>
        <w:trPr>
          <w:trHeight w:val="257"/>
        </w:trPr>
        <w:tc>
          <w:tcPr>
            <w:tcW w:w="80" w:type="dxa"/>
            <w:vAlign w:val="bottom"/>
          </w:tcPr>
          <w:p>
            <w:pPr>
              <w:spacing w:after="0"/>
              <w:rPr>
                <w:sz w:val="22"/>
                <w:szCs w:val="22"/>
                <w:color w:val="auto"/>
              </w:rPr>
            </w:pPr>
          </w:p>
        </w:tc>
        <w:tc>
          <w:tcPr>
            <w:tcW w:w="266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0F3F6"/>
          </w:tcPr>
          <w:p>
            <w:pPr>
              <w:spacing w:after="0"/>
              <w:rPr>
                <w:sz w:val="20"/>
                <w:szCs w:val="20"/>
                <w:color w:val="auto"/>
              </w:rPr>
            </w:pPr>
          </w:p>
        </w:tc>
        <w:tc>
          <w:tcPr>
            <w:tcW w:w="12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39,360,849</w:t>
            </w:r>
          </w:p>
        </w:tc>
        <w:tc>
          <w:tcPr>
            <w:tcW w:w="38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2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201,978</w:t>
            </w:r>
          </w:p>
        </w:tc>
        <w:tc>
          <w:tcPr>
            <w:tcW w:w="44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8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39,562,827</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38"/>
        </w:trPr>
        <w:tc>
          <w:tcPr>
            <w:tcW w:w="80" w:type="dxa"/>
            <w:vAlign w:val="bottom"/>
          </w:tcPr>
          <w:p>
            <w:pPr>
              <w:spacing w:after="0"/>
              <w:rPr>
                <w:sz w:val="11"/>
                <w:szCs w:val="11"/>
                <w:color w:val="auto"/>
              </w:rPr>
            </w:pPr>
          </w:p>
        </w:tc>
        <w:tc>
          <w:tcPr>
            <w:tcW w:w="2660" w:type="dxa"/>
            <w:vAlign w:val="bottom"/>
            <w:shd w:val="clear" w:color="auto" w:fill="C0F3F6"/>
          </w:tcPr>
          <w:p>
            <w:pPr>
              <w:ind w:left="220"/>
              <w:spacing w:after="0" w:line="138" w:lineRule="exact"/>
              <w:rPr>
                <w:sz w:val="20"/>
                <w:szCs w:val="20"/>
                <w:color w:val="auto"/>
              </w:rPr>
            </w:pPr>
            <w:r>
              <w:rPr>
                <w:rFonts w:ascii="Arial" w:cs="Arial" w:eastAsia="Arial" w:hAnsi="Arial"/>
                <w:sz w:val="14"/>
                <w:szCs w:val="14"/>
                <w:color w:val="auto"/>
              </w:rPr>
              <w:t>Capital lease obligations, less current</w:t>
            </w:r>
          </w:p>
        </w:tc>
        <w:tc>
          <w:tcPr>
            <w:tcW w:w="260" w:type="dxa"/>
            <w:vAlign w:val="bottom"/>
            <w:shd w:val="clear" w:color="auto" w:fill="C0F3F6"/>
          </w:tcPr>
          <w:p>
            <w:pPr>
              <w:spacing w:after="0"/>
              <w:rPr>
                <w:sz w:val="11"/>
                <w:szCs w:val="11"/>
                <w:color w:val="auto"/>
              </w:rPr>
            </w:pPr>
          </w:p>
        </w:tc>
        <w:tc>
          <w:tcPr>
            <w:tcW w:w="1240" w:type="dxa"/>
            <w:vAlign w:val="bottom"/>
            <w:shd w:val="clear" w:color="auto" w:fill="C0F3F6"/>
          </w:tcPr>
          <w:p>
            <w:pPr>
              <w:spacing w:after="0"/>
              <w:rPr>
                <w:sz w:val="11"/>
                <w:szCs w:val="11"/>
                <w:color w:val="auto"/>
              </w:rPr>
            </w:pPr>
          </w:p>
        </w:tc>
        <w:tc>
          <w:tcPr>
            <w:tcW w:w="38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2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660" w:type="dxa"/>
            <w:vAlign w:val="bottom"/>
            <w:shd w:val="clear" w:color="auto" w:fill="C0F3F6"/>
          </w:tcPr>
          <w:p>
            <w:pPr>
              <w:ind w:left="220"/>
              <w:spacing w:after="0" w:line="159" w:lineRule="exact"/>
              <w:rPr>
                <w:sz w:val="20"/>
                <w:szCs w:val="20"/>
                <w:color w:val="auto"/>
              </w:rPr>
            </w:pPr>
            <w:r>
              <w:rPr>
                <w:rFonts w:ascii="Arial" w:cs="Arial" w:eastAsia="Arial" w:hAnsi="Arial"/>
                <w:sz w:val="14"/>
                <w:szCs w:val="14"/>
                <w:color w:val="auto"/>
              </w:rPr>
              <w:t>portion</w:t>
            </w:r>
          </w:p>
        </w:tc>
        <w:tc>
          <w:tcPr>
            <w:tcW w:w="260" w:type="dxa"/>
            <w:vAlign w:val="bottom"/>
            <w:shd w:val="clear" w:color="auto" w:fill="C0F3F6"/>
          </w:tcPr>
          <w:p>
            <w:pPr>
              <w:spacing w:after="0"/>
              <w:rPr>
                <w:sz w:val="13"/>
                <w:szCs w:val="13"/>
                <w:color w:val="auto"/>
              </w:rPr>
            </w:pPr>
          </w:p>
        </w:tc>
        <w:tc>
          <w:tcPr>
            <w:tcW w:w="1240" w:type="dxa"/>
            <w:vAlign w:val="bottom"/>
            <w:shd w:val="clear" w:color="auto" w:fill="C0F3F6"/>
          </w:tcPr>
          <w:p>
            <w:pPr>
              <w:jc w:val="right"/>
              <w:ind w:right="72"/>
              <w:spacing w:after="0" w:line="159" w:lineRule="exact"/>
              <w:rPr>
                <w:sz w:val="20"/>
                <w:szCs w:val="20"/>
                <w:color w:val="auto"/>
              </w:rPr>
            </w:pPr>
            <w:r>
              <w:rPr>
                <w:rFonts w:ascii="Arial" w:cs="Arial" w:eastAsia="Arial" w:hAnsi="Arial"/>
                <w:sz w:val="14"/>
                <w:szCs w:val="14"/>
                <w:color w:val="auto"/>
              </w:rPr>
              <w:t>226,965</w:t>
            </w:r>
          </w:p>
        </w:tc>
        <w:tc>
          <w:tcPr>
            <w:tcW w:w="38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8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226,965</w:t>
            </w:r>
          </w:p>
        </w:tc>
        <w:tc>
          <w:tcPr>
            <w:tcW w:w="26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Other non current liabilities</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5,655,728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5,655,728</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266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240" w:type="dxa"/>
            <w:vAlign w:val="bottom"/>
            <w:tcBorders>
              <w:bottom w:val="single" w:sz="8" w:color="auto"/>
            </w:tcBorders>
            <w:shd w:val="clear" w:color="auto" w:fill="C0F3F6"/>
          </w:tcPr>
          <w:p>
            <w:pPr>
              <w:spacing w:after="0"/>
              <w:rPr>
                <w:sz w:val="22"/>
                <w:szCs w:val="22"/>
                <w:color w:val="auto"/>
              </w:rPr>
            </w:pPr>
          </w:p>
        </w:tc>
        <w:tc>
          <w:tcPr>
            <w:tcW w:w="38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120" w:type="dxa"/>
            <w:vAlign w:val="bottom"/>
            <w:tcBorders>
              <w:bottom w:val="single" w:sz="8" w:color="auto"/>
            </w:tcBorders>
            <w:shd w:val="clear" w:color="auto" w:fill="C0F3F6"/>
          </w:tcPr>
          <w:p>
            <w:pPr>
              <w:spacing w:after="0"/>
              <w:rPr>
                <w:sz w:val="22"/>
                <w:szCs w:val="22"/>
                <w:color w:val="auto"/>
              </w:rPr>
            </w:pPr>
          </w:p>
        </w:tc>
        <w:tc>
          <w:tcPr>
            <w:tcW w:w="440" w:type="dxa"/>
            <w:vAlign w:val="bottom"/>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spacing w:after="0"/>
              <w:rPr>
                <w:sz w:val="22"/>
                <w:szCs w:val="22"/>
                <w:color w:val="auto"/>
              </w:rPr>
            </w:pPr>
          </w:p>
        </w:tc>
        <w:tc>
          <w:tcPr>
            <w:tcW w:w="1180" w:type="dxa"/>
            <w:vAlign w:val="bottom"/>
            <w:tcBorders>
              <w:bottom w:val="single" w:sz="8" w:color="auto"/>
            </w:tcBorders>
            <w:shd w:val="clear" w:color="auto" w:fill="C0F3F6"/>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tcBorders>
              <w:bottom w:val="single" w:sz="8" w:color="C0F3F6"/>
            </w:tcBorders>
          </w:tcPr>
          <w:p>
            <w:pPr>
              <w:ind w:left="2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45,243,542</w:t>
            </w:r>
          </w:p>
        </w:tc>
        <w:tc>
          <w:tcPr>
            <w:tcW w:w="380" w:type="dxa"/>
            <w:vAlign w:val="bottom"/>
            <w:tcBorders>
              <w:bottom w:val="single" w:sz="8" w:color="C0F3F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201,978</w:t>
            </w:r>
          </w:p>
        </w:tc>
        <w:tc>
          <w:tcPr>
            <w:tcW w:w="440" w:type="dxa"/>
            <w:vAlign w:val="bottom"/>
            <w:tcBorders>
              <w:bottom w:val="single" w:sz="8" w:color="C0F3F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45,445,520</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266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240" w:type="dxa"/>
            <w:vAlign w:val="bottom"/>
            <w:shd w:val="clear" w:color="auto" w:fill="C0F3F6"/>
          </w:tcPr>
          <w:p>
            <w:pPr>
              <w:spacing w:after="0"/>
              <w:rPr>
                <w:sz w:val="20"/>
                <w:szCs w:val="20"/>
                <w:color w:val="auto"/>
              </w:rPr>
            </w:pPr>
          </w:p>
        </w:tc>
        <w:tc>
          <w:tcPr>
            <w:tcW w:w="38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120" w:type="dxa"/>
            <w:vAlign w:val="bottom"/>
            <w:shd w:val="clear" w:color="auto" w:fill="C0F3F6"/>
          </w:tcPr>
          <w:p>
            <w:pPr>
              <w:spacing w:after="0"/>
              <w:rPr>
                <w:sz w:val="20"/>
                <w:szCs w:val="20"/>
                <w:color w:val="auto"/>
              </w:rPr>
            </w:pPr>
          </w:p>
        </w:tc>
        <w:tc>
          <w:tcPr>
            <w:tcW w:w="440" w:type="dxa"/>
            <w:vAlign w:val="bottom"/>
            <w:shd w:val="clear" w:color="auto" w:fill="C0F3F6"/>
          </w:tcPr>
          <w:p>
            <w:pPr>
              <w:spacing w:after="0"/>
              <w:rPr>
                <w:sz w:val="20"/>
                <w:szCs w:val="20"/>
                <w:color w:val="auto"/>
              </w:rPr>
            </w:pPr>
          </w:p>
        </w:tc>
        <w:tc>
          <w:tcPr>
            <w:tcW w:w="260" w:type="dxa"/>
            <w:vAlign w:val="bottom"/>
            <w:shd w:val="clear" w:color="auto" w:fill="C0F3F6"/>
          </w:tcPr>
          <w:p>
            <w:pPr>
              <w:spacing w:after="0"/>
              <w:rPr>
                <w:sz w:val="20"/>
                <w:szCs w:val="20"/>
                <w:color w:val="auto"/>
              </w:rPr>
            </w:pPr>
          </w:p>
        </w:tc>
        <w:tc>
          <w:tcPr>
            <w:tcW w:w="1180" w:type="dxa"/>
            <w:vAlign w:val="bottom"/>
            <w:shd w:val="clear" w:color="auto" w:fill="C0F3F6"/>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28,980</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28,980</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114,335,764</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114,335,764</w:t>
            </w:r>
          </w:p>
        </w:tc>
        <w:tc>
          <w:tcPr>
            <w:tcW w:w="2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460"/>
              <w:spacing w:after="0"/>
              <w:rPr>
                <w:sz w:val="20"/>
                <w:szCs w:val="20"/>
                <w:color w:val="auto"/>
              </w:rPr>
            </w:pPr>
            <w:r>
              <w:rPr>
                <w:rFonts w:ascii="Arial" w:cs="Arial" w:eastAsia="Arial" w:hAnsi="Arial"/>
                <w:sz w:val="14"/>
                <w:szCs w:val="14"/>
                <w:color w:val="auto"/>
              </w:rPr>
              <w:t>Retained earnings (g)</w:t>
            </w: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color w:val="auto"/>
              </w:rPr>
              <w:t>67,677,066</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(2,212,815)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65,464,251</w:t>
            </w:r>
          </w:p>
        </w:tc>
        <w:tc>
          <w:tcPr>
            <w:tcW w:w="26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660" w:type="dxa"/>
            <w:vAlign w:val="bottom"/>
            <w:shd w:val="clear" w:color="auto" w:fill="C0F3F6"/>
          </w:tcPr>
          <w:p>
            <w:pPr>
              <w:ind w:left="460"/>
              <w:spacing w:after="0" w:line="138" w:lineRule="exact"/>
              <w:rPr>
                <w:sz w:val="20"/>
                <w:szCs w:val="20"/>
                <w:color w:val="auto"/>
              </w:rPr>
            </w:pPr>
            <w:r>
              <w:rPr>
                <w:rFonts w:ascii="Arial" w:cs="Arial" w:eastAsia="Arial" w:hAnsi="Arial"/>
                <w:sz w:val="14"/>
                <w:szCs w:val="14"/>
                <w:color w:val="auto"/>
              </w:rPr>
              <w:t>Accumulated other comprehensive</w:t>
            </w:r>
          </w:p>
        </w:tc>
        <w:tc>
          <w:tcPr>
            <w:tcW w:w="260" w:type="dxa"/>
            <w:vAlign w:val="bottom"/>
            <w:shd w:val="clear" w:color="auto" w:fill="C0F3F6"/>
          </w:tcPr>
          <w:p>
            <w:pPr>
              <w:spacing w:after="0"/>
              <w:rPr>
                <w:sz w:val="11"/>
                <w:szCs w:val="11"/>
                <w:color w:val="auto"/>
              </w:rPr>
            </w:pPr>
          </w:p>
        </w:tc>
        <w:tc>
          <w:tcPr>
            <w:tcW w:w="1240" w:type="dxa"/>
            <w:vAlign w:val="bottom"/>
            <w:shd w:val="clear" w:color="auto" w:fill="C0F3F6"/>
          </w:tcPr>
          <w:p>
            <w:pPr>
              <w:spacing w:after="0"/>
              <w:rPr>
                <w:sz w:val="11"/>
                <w:szCs w:val="11"/>
                <w:color w:val="auto"/>
              </w:rPr>
            </w:pPr>
          </w:p>
        </w:tc>
        <w:tc>
          <w:tcPr>
            <w:tcW w:w="38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2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26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660" w:type="dxa"/>
            <w:vAlign w:val="bottom"/>
            <w:shd w:val="clear" w:color="auto" w:fill="C0F3F6"/>
          </w:tcPr>
          <w:p>
            <w:pPr>
              <w:ind w:left="440"/>
              <w:spacing w:after="0" w:line="159" w:lineRule="exact"/>
              <w:rPr>
                <w:sz w:val="20"/>
                <w:szCs w:val="20"/>
                <w:color w:val="auto"/>
              </w:rPr>
            </w:pPr>
            <w:r>
              <w:rPr>
                <w:rFonts w:ascii="Arial" w:cs="Arial" w:eastAsia="Arial" w:hAnsi="Arial"/>
                <w:sz w:val="14"/>
                <w:szCs w:val="14"/>
                <w:color w:val="auto"/>
              </w:rPr>
              <w:t>income/(loss)</w:t>
            </w:r>
          </w:p>
        </w:tc>
        <w:tc>
          <w:tcPr>
            <w:tcW w:w="260" w:type="dxa"/>
            <w:vAlign w:val="bottom"/>
            <w:shd w:val="clear" w:color="auto" w:fill="C0F3F6"/>
          </w:tcPr>
          <w:p>
            <w:pPr>
              <w:spacing w:after="0"/>
              <w:rPr>
                <w:sz w:val="13"/>
                <w:szCs w:val="13"/>
                <w:color w:val="auto"/>
              </w:rPr>
            </w:pPr>
          </w:p>
        </w:tc>
        <w:tc>
          <w:tcPr>
            <w:tcW w:w="1240" w:type="dxa"/>
            <w:vAlign w:val="bottom"/>
            <w:shd w:val="clear" w:color="auto" w:fill="C0F3F6"/>
          </w:tcPr>
          <w:p>
            <w:pPr>
              <w:jc w:val="right"/>
              <w:ind w:right="32"/>
              <w:spacing w:after="0" w:line="159" w:lineRule="exact"/>
              <w:rPr>
                <w:sz w:val="20"/>
                <w:szCs w:val="20"/>
                <w:color w:val="auto"/>
              </w:rPr>
            </w:pPr>
            <w:r>
              <w:rPr>
                <w:rFonts w:ascii="Arial" w:cs="Arial" w:eastAsia="Arial" w:hAnsi="Arial"/>
                <w:sz w:val="14"/>
                <w:szCs w:val="14"/>
                <w:color w:val="auto"/>
              </w:rPr>
              <w:t>(15,264,369)</w:t>
            </w:r>
          </w:p>
        </w:tc>
        <w:tc>
          <w:tcPr>
            <w:tcW w:w="38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20" w:type="dxa"/>
            <w:vAlign w:val="bottom"/>
            <w:shd w:val="clear" w:color="auto" w:fill="C0F3F6"/>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13"/>
                <w:szCs w:val="13"/>
                <w:color w:val="auto"/>
              </w:rPr>
            </w:pPr>
          </w:p>
        </w:tc>
        <w:tc>
          <w:tcPr>
            <w:tcW w:w="260" w:type="dxa"/>
            <w:vAlign w:val="bottom"/>
            <w:shd w:val="clear" w:color="auto" w:fill="C0F3F6"/>
          </w:tcPr>
          <w:p>
            <w:pPr>
              <w:spacing w:after="0"/>
              <w:rPr>
                <w:sz w:val="13"/>
                <w:szCs w:val="13"/>
                <w:color w:val="auto"/>
              </w:rPr>
            </w:pPr>
          </w:p>
        </w:tc>
        <w:tc>
          <w:tcPr>
            <w:tcW w:w="1180" w:type="dxa"/>
            <w:vAlign w:val="bottom"/>
            <w:shd w:val="clear" w:color="auto" w:fill="C0F3F6"/>
          </w:tcPr>
          <w:p>
            <w:pPr>
              <w:jc w:val="right"/>
              <w:ind w:right="32"/>
              <w:spacing w:after="0" w:line="159" w:lineRule="exact"/>
              <w:rPr>
                <w:sz w:val="20"/>
                <w:szCs w:val="20"/>
                <w:color w:val="auto"/>
              </w:rPr>
            </w:pPr>
            <w:r>
              <w:rPr>
                <w:rFonts w:ascii="Arial" w:cs="Arial" w:eastAsia="Arial" w:hAnsi="Arial"/>
                <w:sz w:val="14"/>
                <w:szCs w:val="14"/>
                <w:color w:val="auto"/>
              </w:rPr>
              <w:t>(15,264,369)</w:t>
            </w:r>
          </w:p>
        </w:tc>
        <w:tc>
          <w:tcPr>
            <w:tcW w:w="260" w:type="dxa"/>
            <w:vAlign w:val="bottom"/>
          </w:tcPr>
          <w:p>
            <w:pPr>
              <w:spacing w:after="0"/>
              <w:rPr>
                <w:sz w:val="13"/>
                <w:szCs w:val="13"/>
                <w:color w:val="auto"/>
              </w:rPr>
            </w:pPr>
          </w:p>
        </w:tc>
      </w:tr>
      <w:tr>
        <w:trPr>
          <w:trHeight w:val="257"/>
        </w:trPr>
        <w:tc>
          <w:tcPr>
            <w:tcW w:w="80" w:type="dxa"/>
            <w:vAlign w:val="bottom"/>
          </w:tcPr>
          <w:p>
            <w:pPr>
              <w:spacing w:after="0"/>
              <w:rPr>
                <w:sz w:val="22"/>
                <w:szCs w:val="22"/>
                <w:color w:val="auto"/>
              </w:rPr>
            </w:pPr>
          </w:p>
        </w:tc>
        <w:tc>
          <w:tcPr>
            <w:tcW w:w="266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2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166,777,441</w:t>
            </w:r>
          </w:p>
        </w:tc>
        <w:tc>
          <w:tcPr>
            <w:tcW w:w="38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2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4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8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164,564,626</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0F3F6"/>
          </w:tcPr>
          <w:p>
            <w:pPr>
              <w:ind w:left="460"/>
              <w:spacing w:after="0"/>
              <w:rPr>
                <w:sz w:val="20"/>
                <w:szCs w:val="20"/>
                <w:color w:val="auto"/>
              </w:rPr>
            </w:pPr>
            <w:r>
              <w:rPr>
                <w:rFonts w:ascii="Arial" w:cs="Arial" w:eastAsia="Arial" w:hAnsi="Arial"/>
                <w:sz w:val="14"/>
                <w:szCs w:val="14"/>
                <w:color w:val="auto"/>
              </w:rPr>
              <w:t>Less: Treasury Stock</w:t>
            </w:r>
          </w:p>
        </w:tc>
        <w:tc>
          <w:tcPr>
            <w:tcW w:w="260" w:type="dxa"/>
            <w:vAlign w:val="bottom"/>
            <w:shd w:val="clear" w:color="auto" w:fill="C0F3F6"/>
          </w:tcPr>
          <w:p>
            <w:pPr>
              <w:spacing w:after="0"/>
              <w:rPr>
                <w:sz w:val="21"/>
                <w:szCs w:val="21"/>
                <w:color w:val="auto"/>
              </w:rPr>
            </w:pPr>
          </w:p>
        </w:tc>
        <w:tc>
          <w:tcPr>
            <w:tcW w:w="124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(344,761)</w:t>
            </w: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2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8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(344,761)</w:t>
            </w:r>
          </w:p>
        </w:tc>
        <w:tc>
          <w:tcPr>
            <w:tcW w:w="2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266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C0F3F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26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0F3F6"/>
          </w:tcPr>
          <w:p>
            <w:pPr>
              <w:spacing w:after="0"/>
              <w:rPr>
                <w:sz w:val="20"/>
                <w:szCs w:val="20"/>
                <w:color w:val="auto"/>
              </w:rPr>
            </w:pPr>
          </w:p>
        </w:tc>
        <w:tc>
          <w:tcPr>
            <w:tcW w:w="12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166,432,680</w:t>
            </w:r>
          </w:p>
        </w:tc>
        <w:tc>
          <w:tcPr>
            <w:tcW w:w="38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2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(2,212,815)</w:t>
            </w:r>
          </w:p>
        </w:tc>
        <w:tc>
          <w:tcPr>
            <w:tcW w:w="440" w:type="dxa"/>
            <w:vAlign w:val="bottom"/>
            <w:shd w:val="clear" w:color="auto" w:fill="C0F3F6"/>
          </w:tcPr>
          <w:p>
            <w:pPr>
              <w:spacing w:after="0"/>
              <w:rPr>
                <w:sz w:val="20"/>
                <w:szCs w:val="20"/>
                <w:color w:val="auto"/>
              </w:rPr>
            </w:pPr>
          </w:p>
        </w:tc>
        <w:tc>
          <w:tcPr>
            <w:tcW w:w="260" w:type="dxa"/>
            <w:vAlign w:val="bottom"/>
            <w:tcBorders>
              <w:bottom w:val="single" w:sz="8" w:color="auto"/>
            </w:tcBorders>
            <w:shd w:val="clear" w:color="auto" w:fill="C0F3F6"/>
          </w:tcPr>
          <w:p>
            <w:pPr>
              <w:spacing w:after="0"/>
              <w:rPr>
                <w:sz w:val="20"/>
                <w:szCs w:val="20"/>
                <w:color w:val="auto"/>
              </w:rPr>
            </w:pPr>
          </w:p>
        </w:tc>
        <w:tc>
          <w:tcPr>
            <w:tcW w:w="118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164,219,865</w:t>
            </w:r>
          </w:p>
        </w:tc>
        <w:tc>
          <w:tcPr>
            <w:tcW w:w="2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7"/>
        </w:trPr>
        <w:tc>
          <w:tcPr>
            <w:tcW w:w="80" w:type="dxa"/>
            <w:vAlign w:val="bottom"/>
          </w:tcPr>
          <w:p>
            <w:pPr>
              <w:spacing w:after="0"/>
              <w:rPr>
                <w:sz w:val="22"/>
                <w:szCs w:val="22"/>
                <w:color w:val="auto"/>
              </w:rPr>
            </w:pPr>
          </w:p>
        </w:tc>
        <w:tc>
          <w:tcPr>
            <w:tcW w:w="2660" w:type="dxa"/>
            <w:vAlign w:val="bottom"/>
            <w:tcBorders>
              <w:bottom w:val="single" w:sz="8" w:color="C0F3F6"/>
            </w:tcBorders>
            <w:shd w:val="clear" w:color="auto" w:fill="C0F3F6"/>
          </w:tcPr>
          <w:p>
            <w:pPr>
              <w:ind w:left="260"/>
              <w:spacing w:after="0"/>
              <w:rPr>
                <w:sz w:val="20"/>
                <w:szCs w:val="20"/>
                <w:color w:val="auto"/>
              </w:rPr>
            </w:pPr>
            <w:r>
              <w:rPr>
                <w:rFonts w:ascii="Arial" w:cs="Arial" w:eastAsia="Arial" w:hAnsi="Arial"/>
                <w:sz w:val="14"/>
                <w:szCs w:val="14"/>
                <w:color w:val="auto"/>
                <w:w w:val="98"/>
              </w:rPr>
              <w:t>Total liabilities and stockholders’ equity</w:t>
            </w:r>
          </w:p>
        </w:tc>
        <w:tc>
          <w:tcPr>
            <w:tcW w:w="2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0F3F6"/>
          </w:tcPr>
          <w:p>
            <w:pPr>
              <w:jc w:val="right"/>
              <w:ind w:right="72"/>
              <w:spacing w:after="0"/>
              <w:rPr>
                <w:sz w:val="20"/>
                <w:szCs w:val="20"/>
                <w:color w:val="auto"/>
              </w:rPr>
            </w:pPr>
            <w:r>
              <w:rPr>
                <w:rFonts w:ascii="Arial" w:cs="Arial" w:eastAsia="Arial" w:hAnsi="Arial"/>
                <w:sz w:val="14"/>
                <w:szCs w:val="14"/>
                <w:color w:val="auto"/>
              </w:rPr>
              <w:t>211,676,222</w:t>
            </w:r>
          </w:p>
        </w:tc>
        <w:tc>
          <w:tcPr>
            <w:tcW w:w="380" w:type="dxa"/>
            <w:vAlign w:val="bottom"/>
            <w:tcBorders>
              <w:bottom w:val="single" w:sz="8" w:color="C0F3F6"/>
            </w:tcBorders>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0F3F6"/>
          </w:tcPr>
          <w:p>
            <w:pPr>
              <w:jc w:val="right"/>
              <w:ind w:right="12"/>
              <w:spacing w:after="0"/>
              <w:rPr>
                <w:sz w:val="20"/>
                <w:szCs w:val="20"/>
                <w:color w:val="auto"/>
              </w:rPr>
            </w:pPr>
            <w:r>
              <w:rPr>
                <w:rFonts w:ascii="Arial" w:cs="Arial" w:eastAsia="Arial" w:hAnsi="Arial"/>
                <w:sz w:val="14"/>
                <w:szCs w:val="14"/>
                <w:color w:val="auto"/>
              </w:rPr>
              <w:t>(2,010,837)</w:t>
            </w:r>
          </w:p>
        </w:tc>
        <w:tc>
          <w:tcPr>
            <w:tcW w:w="440" w:type="dxa"/>
            <w:vAlign w:val="bottom"/>
            <w:tcBorders>
              <w:bottom w:val="single" w:sz="8" w:color="C0F3F6"/>
            </w:tcBorders>
            <w:shd w:val="clear" w:color="auto" w:fill="C0F3F6"/>
          </w:tcPr>
          <w:p>
            <w:pPr>
              <w:spacing w:after="0"/>
              <w:rPr>
                <w:sz w:val="22"/>
                <w:szCs w:val="22"/>
                <w:color w:val="auto"/>
              </w:rPr>
            </w:pPr>
          </w:p>
        </w:tc>
        <w:tc>
          <w:tcPr>
            <w:tcW w:w="260" w:type="dxa"/>
            <w:vAlign w:val="bottom"/>
            <w:tcBorders>
              <w:bottom w:val="single" w:sz="8" w:color="auto"/>
            </w:tcBorders>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0F3F6"/>
          </w:tcPr>
          <w:p>
            <w:pPr>
              <w:jc w:val="right"/>
              <w:ind w:right="52"/>
              <w:spacing w:after="0"/>
              <w:rPr>
                <w:sz w:val="20"/>
                <w:szCs w:val="20"/>
                <w:color w:val="auto"/>
              </w:rPr>
            </w:pPr>
            <w:r>
              <w:rPr>
                <w:rFonts w:ascii="Arial" w:cs="Arial" w:eastAsia="Arial" w:hAnsi="Arial"/>
                <w:sz w:val="14"/>
                <w:szCs w:val="14"/>
                <w:color w:val="auto"/>
              </w:rPr>
              <w:t>209,665,385</w:t>
            </w:r>
          </w:p>
        </w:tc>
        <w:tc>
          <w:tcPr>
            <w:tcW w:w="2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3"/>
        </w:trPr>
        <w:tc>
          <w:tcPr>
            <w:tcW w:w="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54" w:gutter="0" w:footer="0" w:header="0"/>
        </w:sectPr>
      </w:pPr>
    </w:p>
    <w:bookmarkStart w:id="5" w:name="page6"/>
    <w:bookmarkEnd w:id="5"/>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Unaudited Pro Forma Statement of Operations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Year Ended December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ExlService</w:t>
            </w:r>
          </w:p>
        </w:tc>
        <w:tc>
          <w:tcPr>
            <w:tcW w:w="260" w:type="dxa"/>
            <w:vAlign w:val="bottom"/>
          </w:tcPr>
          <w:p>
            <w:pPr>
              <w:spacing w:after="0"/>
              <w:rPr>
                <w:sz w:val="14"/>
                <w:szCs w:val="14"/>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Pro Forma</w:t>
            </w:r>
          </w:p>
        </w:tc>
        <w:tc>
          <w:tcPr>
            <w:tcW w:w="260" w:type="dxa"/>
            <w:vAlign w:val="bottom"/>
          </w:tcPr>
          <w:p>
            <w:pPr>
              <w:spacing w:after="0"/>
              <w:rPr>
                <w:sz w:val="14"/>
                <w:szCs w:val="14"/>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8"/>
              </w:rPr>
              <w:t>Pro Forma</w:t>
            </w:r>
          </w:p>
        </w:tc>
      </w:tr>
      <w:tr>
        <w:trPr>
          <w:trHeight w:val="161"/>
        </w:trPr>
        <w:tc>
          <w:tcPr>
            <w:tcW w:w="80" w:type="dxa"/>
            <w:vAlign w:val="bottom"/>
          </w:tcPr>
          <w:p>
            <w:pPr>
              <w:spacing w:after="0"/>
              <w:rPr>
                <w:sz w:val="14"/>
                <w:szCs w:val="14"/>
                <w:color w:val="auto"/>
              </w:rPr>
            </w:pPr>
          </w:p>
        </w:tc>
        <w:tc>
          <w:tcPr>
            <w:tcW w:w="3360" w:type="dxa"/>
            <w:vAlign w:val="bottom"/>
            <w:tcBorders>
              <w:bottom w:val="single" w:sz="8" w:color="C0F3F6"/>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8"/>
              </w:rPr>
              <w:t>Holdings Inc.</w:t>
            </w:r>
          </w:p>
        </w:tc>
        <w:tc>
          <w:tcPr>
            <w:tcW w:w="380" w:type="dxa"/>
            <w:vAlign w:val="bottom"/>
            <w:tcBorders>
              <w:bottom w:val="single" w:sz="8" w:color="C0F3F6"/>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7"/>
              </w:rPr>
              <w:t>Adjustments</w:t>
            </w:r>
          </w:p>
        </w:tc>
        <w:tc>
          <w:tcPr>
            <w:tcW w:w="380" w:type="dxa"/>
            <w:vAlign w:val="bottom"/>
            <w:tcBorders>
              <w:bottom w:val="single" w:sz="8" w:color="C0F3F6"/>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3"/>
              </w:rPr>
              <w:t>Consolidated</w:t>
            </w:r>
          </w:p>
        </w:tc>
        <w:tc>
          <w:tcPr>
            <w:tcW w:w="380" w:type="dxa"/>
            <w:vAlign w:val="bottom"/>
            <w:tcBorders>
              <w:bottom w:val="single" w:sz="8" w:color="C0F3F6"/>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336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Revenues (a)</w:t>
            </w:r>
          </w:p>
        </w:tc>
        <w:tc>
          <w:tcPr>
            <w:tcW w:w="2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73,953,792</w:t>
            </w:r>
          </w:p>
        </w:tc>
        <w:tc>
          <w:tcPr>
            <w:tcW w:w="260" w:type="dxa"/>
            <w:vAlign w:val="bottom"/>
            <w:shd w:val="clear" w:color="auto" w:fill="C0F3F6"/>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(19,773,388)</w:t>
            </w:r>
          </w:p>
        </w:tc>
        <w:tc>
          <w:tcPr>
            <w:tcW w:w="26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54,180,404</w:t>
            </w:r>
          </w:p>
        </w:tc>
      </w:tr>
      <w:tr>
        <w:trPr>
          <w:trHeight w:val="138"/>
        </w:trPr>
        <w:tc>
          <w:tcPr>
            <w:tcW w:w="80" w:type="dxa"/>
            <w:vAlign w:val="bottom"/>
          </w:tcPr>
          <w:p>
            <w:pPr>
              <w:spacing w:after="0"/>
              <w:rPr>
                <w:sz w:val="11"/>
                <w:szCs w:val="11"/>
                <w:color w:val="auto"/>
              </w:rPr>
            </w:pPr>
          </w:p>
        </w:tc>
        <w:tc>
          <w:tcPr>
            <w:tcW w:w="3360" w:type="dxa"/>
            <w:vAlign w:val="bottom"/>
          </w:tcPr>
          <w:p>
            <w:pPr>
              <w:ind w:left="220"/>
              <w:spacing w:after="0" w:line="138" w:lineRule="exact"/>
              <w:rPr>
                <w:sz w:val="20"/>
                <w:szCs w:val="20"/>
                <w:color w:val="auto"/>
              </w:rPr>
            </w:pPr>
            <w:r>
              <w:rPr>
                <w:rFonts w:ascii="Arial" w:cs="Arial" w:eastAsia="Arial" w:hAnsi="Arial"/>
                <w:sz w:val="14"/>
                <w:szCs w:val="14"/>
                <w:color w:val="auto"/>
              </w:rPr>
              <w:t>Cost of revenues (exclusive of depreciation and</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360" w:type="dxa"/>
            <w:vAlign w:val="bottom"/>
          </w:tcPr>
          <w:p>
            <w:pPr>
              <w:ind w:left="320"/>
              <w:spacing w:after="0" w:line="159" w:lineRule="exact"/>
              <w:rPr>
                <w:sz w:val="20"/>
                <w:szCs w:val="20"/>
                <w:color w:val="auto"/>
              </w:rPr>
            </w:pPr>
            <w:r>
              <w:rPr>
                <w:rFonts w:ascii="Arial" w:cs="Arial" w:eastAsia="Arial" w:hAnsi="Arial"/>
                <w:sz w:val="14"/>
                <w:szCs w:val="14"/>
                <w:color w:val="auto"/>
              </w:rPr>
              <w:t>amortization) (b)</w:t>
            </w:r>
          </w:p>
        </w:tc>
        <w:tc>
          <w:tcPr>
            <w:tcW w:w="260" w:type="dxa"/>
            <w:vAlign w:val="bottom"/>
          </w:tcPr>
          <w:p>
            <w:pPr>
              <w:spacing w:after="0"/>
              <w:rPr>
                <w:sz w:val="13"/>
                <w:szCs w:val="13"/>
                <w:color w:val="auto"/>
              </w:rPr>
            </w:pPr>
          </w:p>
        </w:tc>
        <w:tc>
          <w:tcPr>
            <w:tcW w:w="16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47,597,523</w:t>
            </w:r>
          </w:p>
        </w:tc>
        <w:tc>
          <w:tcPr>
            <w:tcW w:w="260" w:type="dxa"/>
            <w:vAlign w:val="bottom"/>
          </w:tcPr>
          <w:p>
            <w:pPr>
              <w:spacing w:after="0"/>
              <w:rPr>
                <w:sz w:val="13"/>
                <w:szCs w:val="13"/>
                <w:color w:val="auto"/>
              </w:rPr>
            </w:pPr>
          </w:p>
        </w:tc>
        <w:tc>
          <w:tcPr>
            <w:tcW w:w="15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(9,499,236)</w:t>
            </w:r>
          </w:p>
        </w:tc>
        <w:tc>
          <w:tcPr>
            <w:tcW w:w="260" w:type="dxa"/>
            <w:vAlign w:val="bottom"/>
          </w:tcPr>
          <w:p>
            <w:pPr>
              <w:spacing w:after="0"/>
              <w:rPr>
                <w:sz w:val="13"/>
                <w:szCs w:val="13"/>
                <w:color w:val="auto"/>
              </w:rPr>
            </w:pPr>
          </w:p>
        </w:tc>
        <w:tc>
          <w:tcPr>
            <w:tcW w:w="15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38,098,287</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26,356,269</w:t>
            </w:r>
          </w:p>
        </w:tc>
        <w:tc>
          <w:tcPr>
            <w:tcW w:w="26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(10,274,152)</w:t>
            </w:r>
          </w:p>
        </w:tc>
        <w:tc>
          <w:tcPr>
            <w:tcW w:w="260" w:type="dxa"/>
            <w:vAlign w:val="bottom"/>
          </w:tcPr>
          <w:p>
            <w:pPr>
              <w:spacing w:after="0"/>
              <w:rPr>
                <w:sz w:val="21"/>
                <w:szCs w:val="21"/>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16,082,117</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540"/>
              <w:spacing w:after="0"/>
              <w:rPr>
                <w:sz w:val="20"/>
                <w:szCs w:val="20"/>
                <w:color w:val="auto"/>
              </w:rPr>
            </w:pPr>
            <w:r>
              <w:rPr>
                <w:rFonts w:ascii="Arial" w:cs="Arial" w:eastAsia="Arial" w:hAnsi="Arial"/>
                <w:sz w:val="14"/>
                <w:szCs w:val="14"/>
                <w:color w:val="auto"/>
              </w:rPr>
              <w:t>General and administrative expenses (c)</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13,200,239</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(1,511,438)</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11,688,801</w:t>
            </w:r>
          </w:p>
        </w:tc>
      </w:tr>
      <w:tr>
        <w:trPr>
          <w:trHeight w:val="243"/>
        </w:trPr>
        <w:tc>
          <w:tcPr>
            <w:tcW w:w="80" w:type="dxa"/>
            <w:vAlign w:val="bottom"/>
          </w:tcPr>
          <w:p>
            <w:pPr>
              <w:spacing w:after="0"/>
              <w:rPr>
                <w:sz w:val="21"/>
                <w:szCs w:val="21"/>
                <w:color w:val="auto"/>
              </w:rPr>
            </w:pPr>
          </w:p>
        </w:tc>
        <w:tc>
          <w:tcPr>
            <w:tcW w:w="3360" w:type="dxa"/>
            <w:vAlign w:val="bottom"/>
          </w:tcPr>
          <w:p>
            <w:pPr>
              <w:ind w:left="540"/>
              <w:spacing w:after="0"/>
              <w:rPr>
                <w:sz w:val="20"/>
                <w:szCs w:val="20"/>
                <w:color w:val="auto"/>
              </w:rPr>
            </w:pPr>
            <w:r>
              <w:rPr>
                <w:rFonts w:ascii="Arial" w:cs="Arial" w:eastAsia="Arial" w:hAnsi="Arial"/>
                <w:sz w:val="14"/>
                <w:szCs w:val="14"/>
                <w:color w:val="auto"/>
              </w:rPr>
              <w:t>Selling and marketing expenses</w:t>
            </w:r>
          </w:p>
        </w:tc>
        <w:tc>
          <w:tcPr>
            <w:tcW w:w="26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1,685,020</w:t>
            </w:r>
          </w:p>
        </w:tc>
        <w:tc>
          <w:tcPr>
            <w:tcW w:w="260" w:type="dxa"/>
            <w:vAlign w:val="bottom"/>
          </w:tcPr>
          <w:p>
            <w:pPr>
              <w:spacing w:after="0"/>
              <w:rPr>
                <w:sz w:val="21"/>
                <w:szCs w:val="21"/>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1,685,020</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5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5,888,975</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(1,942,829)</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3,946,146</w:t>
            </w:r>
          </w:p>
        </w:tc>
      </w:tr>
      <w:tr>
        <w:trPr>
          <w:trHeight w:val="243"/>
        </w:trPr>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2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20,774,234</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(3,454,267)</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17,319,967</w:t>
            </w:r>
          </w:p>
        </w:tc>
      </w:tr>
      <w:tr>
        <w:trPr>
          <w:trHeight w:val="243"/>
        </w:trPr>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5,582,035</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(6,819,885)</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20"/>
              <w:spacing w:after="0"/>
              <w:rPr>
                <w:sz w:val="20"/>
                <w:szCs w:val="20"/>
                <w:color w:val="auto"/>
              </w:rPr>
            </w:pPr>
            <w:r>
              <w:rPr>
                <w:rFonts w:ascii="Arial" w:cs="Arial" w:eastAsia="Arial" w:hAnsi="Arial"/>
                <w:sz w:val="14"/>
                <w:szCs w:val="14"/>
                <w:color w:val="auto"/>
              </w:rPr>
              <w:t>(1,237,850)</w:t>
            </w: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Other income/(expense):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540"/>
              <w:spacing w:after="0"/>
              <w:rPr>
                <w:sz w:val="20"/>
                <w:szCs w:val="20"/>
                <w:color w:val="auto"/>
              </w:rPr>
            </w:pPr>
            <w:r>
              <w:rPr>
                <w:rFonts w:ascii="Arial" w:cs="Arial" w:eastAsia="Arial" w:hAnsi="Arial"/>
                <w:sz w:val="14"/>
                <w:szCs w:val="14"/>
                <w:color w:val="auto"/>
              </w:rPr>
              <w:t>Foreign exchange gain/(loss)</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942,486</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(403,857)</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538,629</w:t>
            </w:r>
          </w:p>
        </w:tc>
      </w:tr>
      <w:tr>
        <w:trPr>
          <w:trHeight w:val="297"/>
        </w:trPr>
        <w:tc>
          <w:tcPr>
            <w:tcW w:w="80" w:type="dxa"/>
            <w:vAlign w:val="bottom"/>
          </w:tcPr>
          <w:p>
            <w:pPr>
              <w:spacing w:after="0"/>
              <w:rPr>
                <w:sz w:val="24"/>
                <w:szCs w:val="24"/>
                <w:color w:val="auto"/>
              </w:rPr>
            </w:pPr>
          </w:p>
        </w:tc>
        <w:tc>
          <w:tcPr>
            <w:tcW w:w="3360" w:type="dxa"/>
            <w:vAlign w:val="bottom"/>
          </w:tcPr>
          <w:p>
            <w:pPr>
              <w:ind w:left="540"/>
              <w:spacing w:after="0"/>
              <w:rPr>
                <w:sz w:val="20"/>
                <w:szCs w:val="20"/>
                <w:color w:val="auto"/>
              </w:rPr>
            </w:pPr>
            <w:r>
              <w:rPr>
                <w:rFonts w:ascii="Arial" w:cs="Arial" w:eastAsia="Arial" w:hAnsi="Arial"/>
                <w:sz w:val="14"/>
                <w:szCs w:val="14"/>
                <w:color w:val="auto"/>
              </w:rPr>
              <w:t>Interest and other income</w:t>
            </w:r>
          </w:p>
        </w:tc>
        <w:tc>
          <w:tcPr>
            <w:tcW w:w="260" w:type="dxa"/>
            <w:vAlign w:val="bottom"/>
          </w:tcPr>
          <w:p>
            <w:pPr>
              <w:spacing w:after="0"/>
              <w:rPr>
                <w:sz w:val="24"/>
                <w:szCs w:val="2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693,538</w:t>
            </w:r>
          </w:p>
        </w:tc>
        <w:tc>
          <w:tcPr>
            <w:tcW w:w="26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(4,636)</w:t>
            </w:r>
          </w:p>
        </w:tc>
        <w:tc>
          <w:tcPr>
            <w:tcW w:w="26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688,902</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540"/>
              <w:spacing w:after="0"/>
              <w:rPr>
                <w:sz w:val="20"/>
                <w:szCs w:val="20"/>
                <w:color w:val="auto"/>
              </w:rPr>
            </w:pPr>
            <w:r>
              <w:rPr>
                <w:rFonts w:ascii="Arial" w:cs="Arial" w:eastAsia="Arial" w:hAnsi="Arial"/>
                <w:sz w:val="14"/>
                <w:szCs w:val="14"/>
                <w:color w:val="auto"/>
              </w:rPr>
              <w:t>Interest expense-redeemable preferred stock</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(396,787)</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20"/>
              <w:spacing w:after="0"/>
              <w:rPr>
                <w:sz w:val="20"/>
                <w:szCs w:val="20"/>
                <w:color w:val="auto"/>
              </w:rPr>
            </w:pPr>
            <w:r>
              <w:rPr>
                <w:rFonts w:ascii="Arial" w:cs="Arial" w:eastAsia="Arial" w:hAnsi="Arial"/>
                <w:sz w:val="14"/>
                <w:szCs w:val="14"/>
                <w:color w:val="auto"/>
              </w:rPr>
              <w:t>(396,787)</w:t>
            </w:r>
          </w:p>
        </w:tc>
      </w:tr>
      <w:tr>
        <w:trPr>
          <w:trHeight w:val="243"/>
        </w:trPr>
        <w:tc>
          <w:tcPr>
            <w:tcW w:w="80" w:type="dxa"/>
            <w:vAlign w:val="bottom"/>
          </w:tcPr>
          <w:p>
            <w:pPr>
              <w:spacing w:after="0"/>
              <w:rPr>
                <w:sz w:val="21"/>
                <w:szCs w:val="21"/>
                <w:color w:val="auto"/>
              </w:rPr>
            </w:pPr>
          </w:p>
        </w:tc>
        <w:tc>
          <w:tcPr>
            <w:tcW w:w="3360" w:type="dxa"/>
            <w:vAlign w:val="bottom"/>
          </w:tcPr>
          <w:p>
            <w:pPr>
              <w:ind w:left="5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4"/>
                <w:szCs w:val="14"/>
                <w:color w:val="auto"/>
              </w:rPr>
              <w:t>(408,732)</w:t>
            </w:r>
          </w:p>
        </w:tc>
        <w:tc>
          <w:tcPr>
            <w:tcW w:w="260" w:type="dxa"/>
            <w:vAlign w:val="bottom"/>
          </w:tcPr>
          <w:p>
            <w:pPr>
              <w:spacing w:after="0"/>
              <w:rPr>
                <w:sz w:val="21"/>
                <w:szCs w:val="21"/>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1,057</w:t>
            </w:r>
          </w:p>
        </w:tc>
        <w:tc>
          <w:tcPr>
            <w:tcW w:w="26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rPr>
              <w:t>(407,675)</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6,412,540</w:t>
            </w:r>
          </w:p>
        </w:tc>
        <w:tc>
          <w:tcPr>
            <w:tcW w:w="26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(7,227,321)</w:t>
            </w:r>
          </w:p>
        </w:tc>
        <w:tc>
          <w:tcPr>
            <w:tcW w:w="26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rPr>
              <w:t>(814,781)</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tax provision (d)</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(647,008)</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(2,317,713)</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20"/>
              <w:spacing w:after="0"/>
              <w:rPr>
                <w:sz w:val="20"/>
                <w:szCs w:val="20"/>
                <w:color w:val="auto"/>
              </w:rPr>
            </w:pPr>
            <w:r>
              <w:rPr>
                <w:rFonts w:ascii="Arial" w:cs="Arial" w:eastAsia="Arial" w:hAnsi="Arial"/>
                <w:sz w:val="14"/>
                <w:szCs w:val="14"/>
                <w:color w:val="auto"/>
              </w:rPr>
              <w:t>(2,964,721)</w:t>
            </w:r>
          </w:p>
        </w:tc>
      </w:tr>
      <w:tr>
        <w:trPr>
          <w:trHeight w:val="243"/>
        </w:trPr>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26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7,059,548</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20"/>
              <w:spacing w:after="0"/>
              <w:rPr>
                <w:sz w:val="20"/>
                <w:szCs w:val="20"/>
                <w:color w:val="auto"/>
              </w:rPr>
            </w:pPr>
            <w:r>
              <w:rPr>
                <w:rFonts w:ascii="Arial" w:cs="Arial" w:eastAsia="Arial" w:hAnsi="Arial"/>
                <w:sz w:val="14"/>
                <w:szCs w:val="14"/>
                <w:color w:val="auto"/>
              </w:rPr>
              <w:t>(4,909,608)</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2,149,940</w:t>
            </w: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Dividends and accretion on preferred stock</w:t>
            </w:r>
          </w:p>
        </w:tc>
        <w:tc>
          <w:tcPr>
            <w:tcW w:w="26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4"/>
                <w:szCs w:val="14"/>
                <w:color w:val="auto"/>
              </w:rPr>
              <w:t>(249,438)</w:t>
            </w:r>
          </w:p>
        </w:tc>
        <w:tc>
          <w:tcPr>
            <w:tcW w:w="260" w:type="dxa"/>
            <w:vAlign w:val="bottom"/>
          </w:tcPr>
          <w:p>
            <w:pPr>
              <w:spacing w:after="0"/>
              <w:rPr>
                <w:sz w:val="21"/>
                <w:szCs w:val="21"/>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rPr>
              <w:t>(249,438)</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rPr>
              <w:t>Net income to common stockholders</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6,810,110</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(4,909,608)</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1,900,502</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22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c>
          <w:tcPr>
            <w:tcW w:w="26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40" w:type="dxa"/>
            <w:vAlign w:val="bottom"/>
            <w:shd w:val="clear" w:color="auto" w:fill="C0F3F6"/>
          </w:tcPr>
          <w:p>
            <w:pPr>
              <w:spacing w:after="0"/>
              <w:rPr>
                <w:sz w:val="21"/>
                <w:szCs w:val="21"/>
                <w:color w:val="auto"/>
              </w:rPr>
            </w:pPr>
          </w:p>
        </w:tc>
        <w:tc>
          <w:tcPr>
            <w:tcW w:w="3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4"/>
                <w:szCs w:val="14"/>
                <w:color w:val="auto"/>
                <w:w w:val="99"/>
              </w:rPr>
              <w:t>Basic earnings per share to common stockholders</w:t>
            </w:r>
          </w:p>
        </w:tc>
        <w:tc>
          <w:tcPr>
            <w:tcW w:w="26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0.32</w:t>
            </w:r>
          </w:p>
        </w:tc>
        <w:tc>
          <w:tcPr>
            <w:tcW w:w="260" w:type="dxa"/>
            <w:vAlign w:val="bottom"/>
          </w:tcPr>
          <w:p>
            <w:pPr>
              <w:spacing w:after="0"/>
              <w:rPr>
                <w:sz w:val="21"/>
                <w:szCs w:val="21"/>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(0.23)</w:t>
            </w:r>
          </w:p>
        </w:tc>
        <w:tc>
          <w:tcPr>
            <w:tcW w:w="260" w:type="dxa"/>
            <w:vAlign w:val="bottom"/>
          </w:tcPr>
          <w:p>
            <w:pPr>
              <w:spacing w:after="0"/>
              <w:rPr>
                <w:sz w:val="21"/>
                <w:szCs w:val="21"/>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0.09</w:t>
            </w: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260"/>
              <w:spacing w:after="0"/>
              <w:rPr>
                <w:sz w:val="20"/>
                <w:szCs w:val="20"/>
                <w:color w:val="auto"/>
              </w:rPr>
            </w:pPr>
            <w:r>
              <w:rPr>
                <w:rFonts w:ascii="Arial" w:cs="Arial" w:eastAsia="Arial" w:hAnsi="Arial"/>
                <w:sz w:val="14"/>
                <w:szCs w:val="14"/>
                <w:color w:val="auto"/>
                <w:w w:val="96"/>
              </w:rPr>
              <w:t>Diluted earnings per share to common stockholders</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0.32</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(0.23)</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0.09</w:t>
            </w:r>
          </w:p>
        </w:tc>
      </w:tr>
      <w:tr>
        <w:trPr>
          <w:trHeight w:val="138"/>
        </w:trPr>
        <w:tc>
          <w:tcPr>
            <w:tcW w:w="80" w:type="dxa"/>
            <w:vAlign w:val="bottom"/>
          </w:tcPr>
          <w:p>
            <w:pPr>
              <w:spacing w:after="0"/>
              <w:rPr>
                <w:sz w:val="11"/>
                <w:szCs w:val="11"/>
                <w:color w:val="auto"/>
              </w:rPr>
            </w:pPr>
          </w:p>
        </w:tc>
        <w:tc>
          <w:tcPr>
            <w:tcW w:w="3360" w:type="dxa"/>
            <w:vAlign w:val="bottom"/>
          </w:tcPr>
          <w:p>
            <w:pPr>
              <w:ind w:left="260"/>
              <w:spacing w:after="0" w:line="138" w:lineRule="exact"/>
              <w:rPr>
                <w:sz w:val="20"/>
                <w:szCs w:val="20"/>
                <w:color w:val="auto"/>
              </w:rPr>
            </w:pPr>
            <w:r>
              <w:rPr>
                <w:rFonts w:ascii="Arial" w:cs="Arial" w:eastAsia="Arial" w:hAnsi="Arial"/>
                <w:sz w:val="14"/>
                <w:szCs w:val="14"/>
                <w:color w:val="auto"/>
              </w:rPr>
              <w:t>Weighted-average number of shares used in</w:t>
            </w: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360" w:type="dxa"/>
            <w:vAlign w:val="bottom"/>
          </w:tcPr>
          <w:p>
            <w:pPr>
              <w:ind w:left="280"/>
              <w:spacing w:after="0" w:line="159" w:lineRule="exact"/>
              <w:rPr>
                <w:sz w:val="20"/>
                <w:szCs w:val="20"/>
                <w:color w:val="auto"/>
              </w:rPr>
            </w:pPr>
            <w:r>
              <w:rPr>
                <w:rFonts w:ascii="Arial" w:cs="Arial" w:eastAsia="Arial" w:hAnsi="Arial"/>
                <w:sz w:val="14"/>
                <w:szCs w:val="14"/>
                <w:color w:val="auto"/>
              </w:rPr>
              <w:t>computing earnings per share:</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3360" w:type="dxa"/>
            <w:vAlign w:val="bottom"/>
            <w:shd w:val="clear" w:color="auto" w:fill="C0F3F6"/>
          </w:tcPr>
          <w:p>
            <w:pPr>
              <w:ind w:left="5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0F3F6"/>
          </w:tcPr>
          <w:p>
            <w:pPr>
              <w:spacing w:after="0"/>
              <w:rPr>
                <w:sz w:val="21"/>
                <w:szCs w:val="21"/>
                <w:color w:val="auto"/>
              </w:rPr>
            </w:pPr>
          </w:p>
        </w:tc>
        <w:tc>
          <w:tcPr>
            <w:tcW w:w="160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21,174,548</w:t>
            </w:r>
          </w:p>
        </w:tc>
        <w:tc>
          <w:tcPr>
            <w:tcW w:w="260" w:type="dxa"/>
            <w:vAlign w:val="bottom"/>
            <w:shd w:val="clear" w:color="auto" w:fill="C0F3F6"/>
          </w:tcPr>
          <w:p>
            <w:pPr>
              <w:spacing w:after="0"/>
              <w:rPr>
                <w:sz w:val="21"/>
                <w:szCs w:val="21"/>
                <w:color w:val="auto"/>
              </w:rPr>
            </w:pPr>
          </w:p>
        </w:tc>
        <w:tc>
          <w:tcPr>
            <w:tcW w:w="1520" w:type="dxa"/>
            <w:vAlign w:val="bottom"/>
            <w:gridSpan w:val="2"/>
            <w:shd w:val="clear" w:color="auto" w:fill="C0F3F6"/>
          </w:tcPr>
          <w:p>
            <w:pPr>
              <w:jc w:val="right"/>
              <w:ind w:right="380"/>
              <w:spacing w:after="0"/>
              <w:rPr>
                <w:sz w:val="20"/>
                <w:szCs w:val="20"/>
                <w:color w:val="auto"/>
              </w:rPr>
            </w:pPr>
            <w:r>
              <w:rPr>
                <w:rFonts w:ascii="Arial" w:cs="Arial" w:eastAsia="Arial" w:hAnsi="Arial"/>
                <w:sz w:val="14"/>
                <w:szCs w:val="14"/>
                <w:color w:val="auto"/>
              </w:rPr>
              <w:t>21,174,548</w:t>
            </w:r>
          </w:p>
        </w:tc>
        <w:tc>
          <w:tcPr>
            <w:tcW w:w="260" w:type="dxa"/>
            <w:vAlign w:val="bottom"/>
            <w:shd w:val="clear" w:color="auto" w:fill="C0F3F6"/>
          </w:tcPr>
          <w:p>
            <w:pPr>
              <w:spacing w:after="0"/>
              <w:rPr>
                <w:sz w:val="21"/>
                <w:szCs w:val="21"/>
                <w:color w:val="auto"/>
              </w:rPr>
            </w:pPr>
          </w:p>
        </w:tc>
        <w:tc>
          <w:tcPr>
            <w:tcW w:w="1520" w:type="dxa"/>
            <w:vAlign w:val="bottom"/>
            <w:gridSpan w:val="3"/>
            <w:shd w:val="clear" w:color="auto" w:fill="C0F3F6"/>
          </w:tcPr>
          <w:p>
            <w:pPr>
              <w:jc w:val="right"/>
              <w:ind w:right="360"/>
              <w:spacing w:after="0"/>
              <w:rPr>
                <w:sz w:val="20"/>
                <w:szCs w:val="20"/>
                <w:color w:val="auto"/>
              </w:rPr>
            </w:pPr>
            <w:r>
              <w:rPr>
                <w:rFonts w:ascii="Arial" w:cs="Arial" w:eastAsia="Arial" w:hAnsi="Arial"/>
                <w:sz w:val="14"/>
                <w:szCs w:val="14"/>
                <w:color w:val="auto"/>
              </w:rPr>
              <w:t>21,174,548</w:t>
            </w:r>
          </w:p>
        </w:tc>
      </w:tr>
      <w:tr>
        <w:trPr>
          <w:trHeight w:val="256"/>
        </w:trPr>
        <w:tc>
          <w:tcPr>
            <w:tcW w:w="80" w:type="dxa"/>
            <w:vAlign w:val="bottom"/>
          </w:tcPr>
          <w:p>
            <w:pPr>
              <w:spacing w:after="0"/>
              <w:rPr>
                <w:sz w:val="22"/>
                <w:szCs w:val="22"/>
                <w:color w:val="auto"/>
              </w:rPr>
            </w:pPr>
          </w:p>
        </w:tc>
        <w:tc>
          <w:tcPr>
            <w:tcW w:w="3360" w:type="dxa"/>
            <w:vAlign w:val="bottom"/>
          </w:tcPr>
          <w:p>
            <w:pPr>
              <w:ind w:left="5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2"/>
                <w:szCs w:val="22"/>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rPr>
              <w:t>21,591,028</w:t>
            </w:r>
          </w:p>
        </w:tc>
        <w:tc>
          <w:tcPr>
            <w:tcW w:w="26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21,591,028</w:t>
            </w:r>
          </w:p>
        </w:tc>
        <w:tc>
          <w:tcPr>
            <w:tcW w:w="260" w:type="dxa"/>
            <w:vAlign w:val="bottom"/>
          </w:tcPr>
          <w:p>
            <w:pPr>
              <w:spacing w:after="0"/>
              <w:rPr>
                <w:sz w:val="22"/>
                <w:szCs w:val="22"/>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21,591,028</w:t>
            </w:r>
          </w:p>
        </w:tc>
      </w:tr>
      <w:tr>
        <w:trPr>
          <w:trHeight w:val="497"/>
        </w:trPr>
        <w:tc>
          <w:tcPr>
            <w:tcW w:w="8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6" w:name="page7"/>
    <w:bookmarkEnd w:id="6"/>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Unaudited Pro Forma Statement of Operations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Year Ended December 31, 2006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ExlService</w:t>
            </w:r>
          </w:p>
        </w:tc>
        <w:tc>
          <w:tcPr>
            <w:tcW w:w="240" w:type="dxa"/>
            <w:vAlign w:val="bottom"/>
          </w:tcPr>
          <w:p>
            <w:pPr>
              <w:spacing w:after="0"/>
              <w:rPr>
                <w:sz w:val="14"/>
                <w:szCs w:val="14"/>
                <w:color w:val="auto"/>
              </w:rPr>
            </w:pPr>
          </w:p>
        </w:tc>
        <w:tc>
          <w:tcPr>
            <w:tcW w:w="1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Pro Forma</w:t>
            </w:r>
          </w:p>
        </w:tc>
        <w:tc>
          <w:tcPr>
            <w:tcW w:w="24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80" w:type="dxa"/>
            <w:vAlign w:val="bottom"/>
          </w:tcPr>
          <w:p>
            <w:pPr>
              <w:spacing w:after="0"/>
              <w:rPr>
                <w:sz w:val="14"/>
                <w:szCs w:val="14"/>
                <w:color w:val="auto"/>
              </w:rPr>
            </w:pPr>
          </w:p>
        </w:tc>
        <w:tc>
          <w:tcPr>
            <w:tcW w:w="312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5"/>
              </w:rPr>
              <w:t>Holdings Inc.</w:t>
            </w:r>
          </w:p>
        </w:tc>
        <w:tc>
          <w:tcPr>
            <w:tcW w:w="62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7"/>
              </w:rPr>
              <w:t>Adjustments</w:t>
            </w:r>
          </w:p>
        </w:tc>
        <w:tc>
          <w:tcPr>
            <w:tcW w:w="68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Consolidated</w:t>
            </w:r>
          </w:p>
        </w:tc>
        <w:tc>
          <w:tcPr>
            <w:tcW w:w="240" w:type="dxa"/>
            <w:vAlign w:val="bottom"/>
            <w:tcBorders>
              <w:bottom w:val="single" w:sz="8" w:color="C0F3F6"/>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312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Revenues (a)</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121,768,530</w:t>
            </w:r>
          </w:p>
        </w:tc>
        <w:tc>
          <w:tcPr>
            <w:tcW w:w="240" w:type="dxa"/>
            <w:vAlign w:val="bottom"/>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(23,089,194)</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98,679,336</w:t>
            </w:r>
          </w:p>
        </w:tc>
      </w:tr>
      <w:tr>
        <w:trPr>
          <w:trHeight w:val="138"/>
        </w:trPr>
        <w:tc>
          <w:tcPr>
            <w:tcW w:w="80" w:type="dxa"/>
            <w:vAlign w:val="bottom"/>
          </w:tcPr>
          <w:p>
            <w:pPr>
              <w:spacing w:after="0"/>
              <w:rPr>
                <w:sz w:val="11"/>
                <w:szCs w:val="11"/>
                <w:color w:val="auto"/>
              </w:rPr>
            </w:pPr>
          </w:p>
        </w:tc>
        <w:tc>
          <w:tcPr>
            <w:tcW w:w="3120" w:type="dxa"/>
            <w:vAlign w:val="bottom"/>
          </w:tcPr>
          <w:p>
            <w:pPr>
              <w:ind w:left="220"/>
              <w:spacing w:after="0" w:line="138" w:lineRule="exact"/>
              <w:rPr>
                <w:sz w:val="20"/>
                <w:szCs w:val="20"/>
                <w:color w:val="auto"/>
              </w:rPr>
            </w:pPr>
            <w:r>
              <w:rPr>
                <w:rFonts w:ascii="Arial" w:cs="Arial" w:eastAsia="Arial" w:hAnsi="Arial"/>
                <w:sz w:val="14"/>
                <w:szCs w:val="14"/>
                <w:color w:val="auto"/>
                <w:w w:val="97"/>
              </w:rPr>
              <w:t>Cost of revenues (exclusive of depreciation and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120" w:type="dxa"/>
            <w:vAlign w:val="bottom"/>
          </w:tcPr>
          <w:p>
            <w:pPr>
              <w:ind w:left="340"/>
              <w:spacing w:after="0" w:line="159" w:lineRule="exact"/>
              <w:rPr>
                <w:sz w:val="20"/>
                <w:szCs w:val="20"/>
                <w:color w:val="auto"/>
              </w:rPr>
            </w:pPr>
            <w:r>
              <w:rPr>
                <w:rFonts w:ascii="Arial" w:cs="Arial" w:eastAsia="Arial" w:hAnsi="Arial"/>
                <w:sz w:val="14"/>
                <w:szCs w:val="14"/>
                <w:color w:val="auto"/>
              </w:rPr>
              <w:t>amortization) (b)</w:t>
            </w:r>
          </w:p>
        </w:tc>
        <w:tc>
          <w:tcPr>
            <w:tcW w:w="240" w:type="dxa"/>
            <w:vAlign w:val="bottom"/>
          </w:tcPr>
          <w:p>
            <w:pPr>
              <w:spacing w:after="0"/>
              <w:rPr>
                <w:sz w:val="13"/>
                <w:szCs w:val="13"/>
                <w:color w:val="auto"/>
              </w:rPr>
            </w:pPr>
          </w:p>
        </w:tc>
        <w:tc>
          <w:tcPr>
            <w:tcW w:w="18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73,837,337</w:t>
            </w:r>
          </w:p>
        </w:tc>
        <w:tc>
          <w:tcPr>
            <w:tcW w:w="240" w:type="dxa"/>
            <w:vAlign w:val="bottom"/>
          </w:tcPr>
          <w:p>
            <w:pPr>
              <w:spacing w:after="0"/>
              <w:rPr>
                <w:sz w:val="13"/>
                <w:szCs w:val="13"/>
                <w:color w:val="auto"/>
              </w:rPr>
            </w:pPr>
          </w:p>
        </w:tc>
        <w:tc>
          <w:tcPr>
            <w:tcW w:w="178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(11,218,561)</w:t>
            </w:r>
          </w:p>
        </w:tc>
        <w:tc>
          <w:tcPr>
            <w:tcW w:w="240" w:type="dxa"/>
            <w:vAlign w:val="bottom"/>
          </w:tcPr>
          <w:p>
            <w:pPr>
              <w:spacing w:after="0"/>
              <w:rPr>
                <w:sz w:val="13"/>
                <w:szCs w:val="13"/>
                <w:color w:val="auto"/>
              </w:rPr>
            </w:pPr>
          </w:p>
        </w:tc>
        <w:tc>
          <w:tcPr>
            <w:tcW w:w="136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62,618,776</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64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47,931,193</w:t>
            </w:r>
          </w:p>
        </w:tc>
        <w:tc>
          <w:tcPr>
            <w:tcW w:w="240" w:type="dxa"/>
            <w:vAlign w:val="bottom"/>
          </w:tcPr>
          <w:p>
            <w:pPr>
              <w:spacing w:after="0"/>
              <w:rPr>
                <w:sz w:val="21"/>
                <w:szCs w:val="21"/>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(11,870,633)</w:t>
            </w: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36,060,560</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64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540"/>
              <w:spacing w:after="0"/>
              <w:rPr>
                <w:sz w:val="20"/>
                <w:szCs w:val="20"/>
                <w:color w:val="auto"/>
              </w:rPr>
            </w:pPr>
            <w:r>
              <w:rPr>
                <w:rFonts w:ascii="Arial" w:cs="Arial" w:eastAsia="Arial" w:hAnsi="Arial"/>
                <w:sz w:val="14"/>
                <w:szCs w:val="14"/>
                <w:color w:val="auto"/>
              </w:rPr>
              <w:t>General and administrative expenses (c)</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19,180,092</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(2,055,101)</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17,124,991</w:t>
            </w:r>
          </w:p>
        </w:tc>
      </w:tr>
      <w:tr>
        <w:trPr>
          <w:trHeight w:val="243"/>
        </w:trPr>
        <w:tc>
          <w:tcPr>
            <w:tcW w:w="80" w:type="dxa"/>
            <w:vAlign w:val="bottom"/>
          </w:tcPr>
          <w:p>
            <w:pPr>
              <w:spacing w:after="0"/>
              <w:rPr>
                <w:sz w:val="21"/>
                <w:szCs w:val="21"/>
                <w:color w:val="auto"/>
              </w:rPr>
            </w:pPr>
          </w:p>
        </w:tc>
        <w:tc>
          <w:tcPr>
            <w:tcW w:w="3120" w:type="dxa"/>
            <w:vAlign w:val="bottom"/>
          </w:tcPr>
          <w:p>
            <w:pPr>
              <w:ind w:left="540"/>
              <w:spacing w:after="0"/>
              <w:rPr>
                <w:sz w:val="20"/>
                <w:szCs w:val="20"/>
                <w:color w:val="auto"/>
              </w:rPr>
            </w:pPr>
            <w:r>
              <w:rPr>
                <w:rFonts w:ascii="Arial" w:cs="Arial" w:eastAsia="Arial" w:hAnsi="Arial"/>
                <w:sz w:val="14"/>
                <w:szCs w:val="14"/>
                <w:color w:val="auto"/>
              </w:rPr>
              <w:t>Selling and marketing expenses</w:t>
            </w:r>
          </w:p>
        </w:tc>
        <w:tc>
          <w:tcPr>
            <w:tcW w:w="240" w:type="dxa"/>
            <w:vAlign w:val="bottom"/>
          </w:tcPr>
          <w:p>
            <w:pPr>
              <w:spacing w:after="0"/>
              <w:rPr>
                <w:sz w:val="21"/>
                <w:szCs w:val="21"/>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4,739,892</w:t>
            </w:r>
          </w:p>
        </w:tc>
        <w:tc>
          <w:tcPr>
            <w:tcW w:w="240" w:type="dxa"/>
            <w:vAlign w:val="bottom"/>
          </w:tcPr>
          <w:p>
            <w:pPr>
              <w:spacing w:after="0"/>
              <w:rPr>
                <w:sz w:val="21"/>
                <w:szCs w:val="21"/>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(502)</w:t>
            </w: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4,739,390</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5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8,939,689</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(1,841,005)</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7,098,684</w:t>
            </w:r>
          </w:p>
        </w:tc>
      </w:tr>
      <w:tr>
        <w:trPr>
          <w:trHeight w:val="243"/>
        </w:trPr>
        <w:tc>
          <w:tcPr>
            <w:tcW w:w="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32,859,673</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(3,896,608)</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28,963,065</w:t>
            </w:r>
          </w:p>
        </w:tc>
      </w:tr>
      <w:tr>
        <w:trPr>
          <w:trHeight w:val="243"/>
        </w:trPr>
        <w:tc>
          <w:tcPr>
            <w:tcW w:w="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15,071,520</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(7,974,026)</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7,097,494</w:t>
            </w:r>
          </w:p>
        </w:tc>
      </w:tr>
      <w:tr>
        <w:trPr>
          <w:trHeight w:val="243"/>
        </w:trPr>
        <w:tc>
          <w:tcPr>
            <w:tcW w:w="80" w:type="dxa"/>
            <w:vAlign w:val="bottom"/>
          </w:tcPr>
          <w:p>
            <w:pPr>
              <w:spacing w:after="0"/>
              <w:rPr>
                <w:sz w:val="21"/>
                <w:szCs w:val="21"/>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Other income/(expense):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540"/>
              <w:spacing w:after="0"/>
              <w:rPr>
                <w:sz w:val="20"/>
                <w:szCs w:val="20"/>
                <w:color w:val="auto"/>
              </w:rPr>
            </w:pPr>
            <w:r>
              <w:rPr>
                <w:rFonts w:ascii="Arial" w:cs="Arial" w:eastAsia="Arial" w:hAnsi="Arial"/>
                <w:sz w:val="14"/>
                <w:szCs w:val="14"/>
                <w:color w:val="auto"/>
              </w:rPr>
              <w:t>Foreign exchange gain/(loss)</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(288,119)</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(189,871)</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00"/>
              <w:spacing w:after="0"/>
              <w:rPr>
                <w:sz w:val="20"/>
                <w:szCs w:val="20"/>
                <w:color w:val="auto"/>
              </w:rPr>
            </w:pPr>
            <w:r>
              <w:rPr>
                <w:rFonts w:ascii="Arial" w:cs="Arial" w:eastAsia="Arial" w:hAnsi="Arial"/>
                <w:sz w:val="14"/>
                <w:szCs w:val="14"/>
                <w:color w:val="auto"/>
              </w:rPr>
              <w:t>(477,990)</w:t>
            </w:r>
          </w:p>
        </w:tc>
      </w:tr>
      <w:tr>
        <w:trPr>
          <w:trHeight w:val="297"/>
        </w:trPr>
        <w:tc>
          <w:tcPr>
            <w:tcW w:w="80" w:type="dxa"/>
            <w:vAlign w:val="bottom"/>
          </w:tcPr>
          <w:p>
            <w:pPr>
              <w:spacing w:after="0"/>
              <w:rPr>
                <w:sz w:val="24"/>
                <w:szCs w:val="24"/>
                <w:color w:val="auto"/>
              </w:rPr>
            </w:pPr>
          </w:p>
        </w:tc>
        <w:tc>
          <w:tcPr>
            <w:tcW w:w="3120" w:type="dxa"/>
            <w:vAlign w:val="bottom"/>
          </w:tcPr>
          <w:p>
            <w:pPr>
              <w:ind w:left="54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1,909,173</w:t>
            </w:r>
          </w:p>
        </w:tc>
        <w:tc>
          <w:tcPr>
            <w:tcW w:w="240" w:type="dxa"/>
            <w:vAlign w:val="bottom"/>
          </w:tcPr>
          <w:p>
            <w:pPr>
              <w:spacing w:after="0"/>
              <w:rPr>
                <w:sz w:val="24"/>
                <w:szCs w:val="24"/>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(19,837)</w:t>
            </w:r>
          </w:p>
        </w:tc>
        <w:tc>
          <w:tcPr>
            <w:tcW w:w="24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1,889,336</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5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(579,704)</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(263)</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00"/>
              <w:spacing w:after="0"/>
              <w:rPr>
                <w:sz w:val="20"/>
                <w:szCs w:val="20"/>
                <w:color w:val="auto"/>
              </w:rPr>
            </w:pPr>
            <w:r>
              <w:rPr>
                <w:rFonts w:ascii="Arial" w:cs="Arial" w:eastAsia="Arial" w:hAnsi="Arial"/>
                <w:sz w:val="14"/>
                <w:szCs w:val="14"/>
                <w:color w:val="auto"/>
              </w:rPr>
              <w:t>(579,441)</w:t>
            </w:r>
          </w:p>
        </w:tc>
      </w:tr>
      <w:tr>
        <w:trPr>
          <w:trHeight w:val="243"/>
        </w:trPr>
        <w:tc>
          <w:tcPr>
            <w:tcW w:w="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16,112,870</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(8,183,471)</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7,929,399</w:t>
            </w:r>
          </w:p>
        </w:tc>
      </w:tr>
      <w:tr>
        <w:trPr>
          <w:trHeight w:val="243"/>
        </w:trPr>
        <w:tc>
          <w:tcPr>
            <w:tcW w:w="80" w:type="dxa"/>
            <w:vAlign w:val="bottom"/>
          </w:tcPr>
          <w:p>
            <w:pPr>
              <w:spacing w:after="0"/>
              <w:rPr>
                <w:sz w:val="21"/>
                <w:szCs w:val="21"/>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Income tax provision (d)</w:t>
            </w:r>
          </w:p>
        </w:tc>
        <w:tc>
          <w:tcPr>
            <w:tcW w:w="240" w:type="dxa"/>
            <w:vAlign w:val="bottom"/>
          </w:tcPr>
          <w:p>
            <w:pPr>
              <w:spacing w:after="0"/>
              <w:rPr>
                <w:sz w:val="21"/>
                <w:szCs w:val="21"/>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2,055,074</w:t>
            </w:r>
          </w:p>
        </w:tc>
        <w:tc>
          <w:tcPr>
            <w:tcW w:w="240" w:type="dxa"/>
            <w:vAlign w:val="bottom"/>
          </w:tcPr>
          <w:p>
            <w:pPr>
              <w:spacing w:after="0"/>
              <w:rPr>
                <w:sz w:val="21"/>
                <w:szCs w:val="21"/>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(2,415,822)</w:t>
            </w: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color w:val="auto"/>
              </w:rPr>
              <w:t>(360,748)</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8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640" w:type="dxa"/>
            <w:vAlign w:val="bottom"/>
            <w:shd w:val="clear" w:color="auto" w:fill="C0F3F6"/>
          </w:tcPr>
          <w:p>
            <w:pPr>
              <w:spacing w:after="0"/>
              <w:rPr>
                <w:sz w:val="21"/>
                <w:szCs w:val="21"/>
                <w:color w:val="auto"/>
              </w:rPr>
            </w:pPr>
          </w:p>
        </w:tc>
        <w:tc>
          <w:tcPr>
            <w:tcW w:w="4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21"/>
                <w:szCs w:val="21"/>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14,057,796</w:t>
            </w:r>
          </w:p>
        </w:tc>
        <w:tc>
          <w:tcPr>
            <w:tcW w:w="240" w:type="dxa"/>
            <w:vAlign w:val="bottom"/>
          </w:tcPr>
          <w:p>
            <w:pPr>
              <w:spacing w:after="0"/>
              <w:rPr>
                <w:sz w:val="21"/>
                <w:szCs w:val="21"/>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(5,767,649)</w:t>
            </w: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8,290,147</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rPr>
              <w:t>Dividends and accretion on preferred stock</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(617,329)</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00"/>
              <w:spacing w:after="0"/>
              <w:rPr>
                <w:sz w:val="20"/>
                <w:szCs w:val="20"/>
                <w:color w:val="auto"/>
              </w:rPr>
            </w:pPr>
            <w:r>
              <w:rPr>
                <w:rFonts w:ascii="Arial" w:cs="Arial" w:eastAsia="Arial" w:hAnsi="Arial"/>
                <w:sz w:val="14"/>
                <w:szCs w:val="14"/>
                <w:color w:val="auto"/>
              </w:rPr>
              <w:t>(617,329)</w:t>
            </w:r>
          </w:p>
        </w:tc>
      </w:tr>
      <w:tr>
        <w:trPr>
          <w:trHeight w:val="243"/>
        </w:trPr>
        <w:tc>
          <w:tcPr>
            <w:tcW w:w="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rPr>
              <w:t>Net income to common stockholders</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13,440,467</w:t>
            </w:r>
          </w:p>
        </w:tc>
        <w:tc>
          <w:tcPr>
            <w:tcW w:w="240" w:type="dxa"/>
            <w:vAlign w:val="bottom"/>
            <w:shd w:val="clear" w:color="auto" w:fill="C0F3F6"/>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(5,767,649)</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7,672,818</w:t>
            </w:r>
          </w:p>
        </w:tc>
      </w:tr>
      <w:tr>
        <w:trPr>
          <w:trHeight w:val="243"/>
        </w:trPr>
        <w:tc>
          <w:tcPr>
            <w:tcW w:w="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260"/>
              <w:spacing w:after="0"/>
              <w:rPr>
                <w:sz w:val="20"/>
                <w:szCs w:val="20"/>
                <w:color w:val="auto"/>
              </w:rPr>
            </w:pPr>
            <w:r>
              <w:rPr>
                <w:rFonts w:ascii="Arial" w:cs="Arial" w:eastAsia="Arial" w:hAnsi="Arial"/>
                <w:sz w:val="14"/>
                <w:szCs w:val="14"/>
                <w:color w:val="auto"/>
                <w:w w:val="91"/>
              </w:rPr>
              <w:t>Basic earnings per share to common stockholders</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0.59</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80"/>
              <w:spacing w:after="0"/>
              <w:rPr>
                <w:sz w:val="20"/>
                <w:szCs w:val="20"/>
                <w:color w:val="auto"/>
              </w:rPr>
            </w:pPr>
            <w:r>
              <w:rPr>
                <w:rFonts w:ascii="Arial" w:cs="Arial" w:eastAsia="Arial" w:hAnsi="Arial"/>
                <w:sz w:val="14"/>
                <w:szCs w:val="14"/>
                <w:color w:val="auto"/>
              </w:rPr>
              <w:t>(0.25)</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0.34</w:t>
            </w:r>
          </w:p>
        </w:tc>
      </w:tr>
      <w:tr>
        <w:trPr>
          <w:trHeight w:val="138"/>
        </w:trPr>
        <w:tc>
          <w:tcPr>
            <w:tcW w:w="80" w:type="dxa"/>
            <w:vAlign w:val="bottom"/>
          </w:tcPr>
          <w:p>
            <w:pPr>
              <w:spacing w:after="0"/>
              <w:rPr>
                <w:sz w:val="11"/>
                <w:szCs w:val="11"/>
                <w:color w:val="auto"/>
              </w:rPr>
            </w:pPr>
          </w:p>
        </w:tc>
        <w:tc>
          <w:tcPr>
            <w:tcW w:w="3120" w:type="dxa"/>
            <w:vAlign w:val="bottom"/>
          </w:tcPr>
          <w:p>
            <w:pPr>
              <w:ind w:left="260"/>
              <w:spacing w:after="0" w:line="138" w:lineRule="exact"/>
              <w:rPr>
                <w:sz w:val="20"/>
                <w:szCs w:val="20"/>
                <w:color w:val="auto"/>
              </w:rPr>
            </w:pPr>
            <w:r>
              <w:rPr>
                <w:rFonts w:ascii="Arial" w:cs="Arial" w:eastAsia="Arial" w:hAnsi="Arial"/>
                <w:sz w:val="14"/>
                <w:szCs w:val="14"/>
                <w:color w:val="auto"/>
              </w:rPr>
              <w:t>Diluted earnings per share to common</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120" w:type="dxa"/>
            <w:vAlign w:val="bottom"/>
          </w:tcPr>
          <w:p>
            <w:pPr>
              <w:ind w:left="340"/>
              <w:spacing w:after="0" w:line="159" w:lineRule="exact"/>
              <w:rPr>
                <w:sz w:val="20"/>
                <w:szCs w:val="20"/>
                <w:color w:val="auto"/>
              </w:rPr>
            </w:pPr>
            <w:r>
              <w:rPr>
                <w:rFonts w:ascii="Arial" w:cs="Arial" w:eastAsia="Arial" w:hAnsi="Arial"/>
                <w:sz w:val="14"/>
                <w:szCs w:val="14"/>
                <w:color w:val="auto"/>
              </w:rPr>
              <w:t>stockholders</w:t>
            </w:r>
          </w:p>
        </w:tc>
        <w:tc>
          <w:tcPr>
            <w:tcW w:w="240" w:type="dxa"/>
            <w:vAlign w:val="bottom"/>
          </w:tcPr>
          <w:p>
            <w:pPr>
              <w:spacing w:after="0"/>
              <w:rPr>
                <w:sz w:val="13"/>
                <w:szCs w:val="13"/>
                <w:color w:val="auto"/>
              </w:rPr>
            </w:pPr>
          </w:p>
        </w:tc>
        <w:tc>
          <w:tcPr>
            <w:tcW w:w="18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0.58</w:t>
            </w:r>
          </w:p>
        </w:tc>
        <w:tc>
          <w:tcPr>
            <w:tcW w:w="240" w:type="dxa"/>
            <w:vAlign w:val="bottom"/>
          </w:tcPr>
          <w:p>
            <w:pPr>
              <w:spacing w:after="0"/>
              <w:rPr>
                <w:sz w:val="13"/>
                <w:szCs w:val="13"/>
                <w:color w:val="auto"/>
              </w:rPr>
            </w:pPr>
          </w:p>
        </w:tc>
        <w:tc>
          <w:tcPr>
            <w:tcW w:w="178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(0.25)</w:t>
            </w:r>
          </w:p>
        </w:tc>
        <w:tc>
          <w:tcPr>
            <w:tcW w:w="240" w:type="dxa"/>
            <w:vAlign w:val="bottom"/>
          </w:tcPr>
          <w:p>
            <w:pPr>
              <w:spacing w:after="0"/>
              <w:rPr>
                <w:sz w:val="13"/>
                <w:szCs w:val="13"/>
                <w:color w:val="auto"/>
              </w:rPr>
            </w:pPr>
          </w:p>
        </w:tc>
        <w:tc>
          <w:tcPr>
            <w:tcW w:w="136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0.33</w:t>
            </w:r>
          </w:p>
        </w:tc>
      </w:tr>
      <w:tr>
        <w:trPr>
          <w:trHeight w:val="138"/>
        </w:trPr>
        <w:tc>
          <w:tcPr>
            <w:tcW w:w="80" w:type="dxa"/>
            <w:vAlign w:val="bottom"/>
          </w:tcPr>
          <w:p>
            <w:pPr>
              <w:spacing w:after="0"/>
              <w:rPr>
                <w:sz w:val="11"/>
                <w:szCs w:val="11"/>
                <w:color w:val="auto"/>
              </w:rPr>
            </w:pPr>
          </w:p>
        </w:tc>
        <w:tc>
          <w:tcPr>
            <w:tcW w:w="3120" w:type="dxa"/>
            <w:vAlign w:val="bottom"/>
            <w:shd w:val="clear" w:color="auto" w:fill="C0F3F6"/>
          </w:tcPr>
          <w:p>
            <w:pPr>
              <w:ind w:left="260"/>
              <w:spacing w:after="0" w:line="138" w:lineRule="exact"/>
              <w:rPr>
                <w:sz w:val="20"/>
                <w:szCs w:val="20"/>
                <w:color w:val="auto"/>
              </w:rPr>
            </w:pPr>
            <w:r>
              <w:rPr>
                <w:rFonts w:ascii="Arial" w:cs="Arial" w:eastAsia="Arial" w:hAnsi="Arial"/>
                <w:sz w:val="14"/>
                <w:szCs w:val="14"/>
                <w:color w:val="auto"/>
              </w:rPr>
              <w:t>Weighted-average number of shares used in</w:t>
            </w:r>
          </w:p>
        </w:tc>
        <w:tc>
          <w:tcPr>
            <w:tcW w:w="240" w:type="dxa"/>
            <w:vAlign w:val="bottom"/>
            <w:shd w:val="clear" w:color="auto" w:fill="C0F3F6"/>
          </w:tcPr>
          <w:p>
            <w:pPr>
              <w:spacing w:after="0"/>
              <w:rPr>
                <w:sz w:val="11"/>
                <w:szCs w:val="11"/>
                <w:color w:val="auto"/>
              </w:rPr>
            </w:pPr>
          </w:p>
        </w:tc>
        <w:tc>
          <w:tcPr>
            <w:tcW w:w="1180" w:type="dxa"/>
            <w:vAlign w:val="bottom"/>
            <w:shd w:val="clear" w:color="auto" w:fill="C0F3F6"/>
          </w:tcPr>
          <w:p>
            <w:pPr>
              <w:spacing w:after="0"/>
              <w:rPr>
                <w:sz w:val="11"/>
                <w:szCs w:val="11"/>
                <w:color w:val="auto"/>
              </w:rPr>
            </w:pPr>
          </w:p>
        </w:tc>
        <w:tc>
          <w:tcPr>
            <w:tcW w:w="62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100" w:type="dxa"/>
            <w:vAlign w:val="bottom"/>
            <w:shd w:val="clear" w:color="auto" w:fill="C0F3F6"/>
          </w:tcPr>
          <w:p>
            <w:pPr>
              <w:spacing w:after="0"/>
              <w:rPr>
                <w:sz w:val="11"/>
                <w:szCs w:val="11"/>
                <w:color w:val="auto"/>
              </w:rPr>
            </w:pPr>
          </w:p>
        </w:tc>
        <w:tc>
          <w:tcPr>
            <w:tcW w:w="68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640" w:type="dxa"/>
            <w:vAlign w:val="bottom"/>
            <w:shd w:val="clear" w:color="auto" w:fill="C0F3F6"/>
          </w:tcPr>
          <w:p>
            <w:pPr>
              <w:spacing w:after="0"/>
              <w:rPr>
                <w:sz w:val="11"/>
                <w:szCs w:val="11"/>
                <w:color w:val="auto"/>
              </w:rPr>
            </w:pPr>
          </w:p>
        </w:tc>
        <w:tc>
          <w:tcPr>
            <w:tcW w:w="48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120" w:type="dxa"/>
            <w:vAlign w:val="bottom"/>
            <w:shd w:val="clear" w:color="auto" w:fill="C0F3F6"/>
          </w:tcPr>
          <w:p>
            <w:pPr>
              <w:ind w:left="340"/>
              <w:spacing w:after="0" w:line="159" w:lineRule="exact"/>
              <w:rPr>
                <w:sz w:val="20"/>
                <w:szCs w:val="20"/>
                <w:color w:val="auto"/>
              </w:rPr>
            </w:pPr>
            <w:r>
              <w:rPr>
                <w:rFonts w:ascii="Arial" w:cs="Arial" w:eastAsia="Arial" w:hAnsi="Arial"/>
                <w:sz w:val="14"/>
                <w:szCs w:val="14"/>
                <w:color w:val="auto"/>
              </w:rPr>
              <w:t>computing earnings per share:</w:t>
            </w:r>
          </w:p>
        </w:tc>
        <w:tc>
          <w:tcPr>
            <w:tcW w:w="240" w:type="dxa"/>
            <w:vAlign w:val="bottom"/>
            <w:shd w:val="clear" w:color="auto" w:fill="C0F3F6"/>
          </w:tcPr>
          <w:p>
            <w:pPr>
              <w:spacing w:after="0"/>
              <w:rPr>
                <w:sz w:val="13"/>
                <w:szCs w:val="13"/>
                <w:color w:val="auto"/>
              </w:rPr>
            </w:pPr>
          </w:p>
        </w:tc>
        <w:tc>
          <w:tcPr>
            <w:tcW w:w="1180" w:type="dxa"/>
            <w:vAlign w:val="bottom"/>
            <w:shd w:val="clear" w:color="auto" w:fill="C0F3F6"/>
          </w:tcPr>
          <w:p>
            <w:pPr>
              <w:spacing w:after="0"/>
              <w:rPr>
                <w:sz w:val="13"/>
                <w:szCs w:val="13"/>
                <w:color w:val="auto"/>
              </w:rPr>
            </w:pPr>
          </w:p>
        </w:tc>
        <w:tc>
          <w:tcPr>
            <w:tcW w:w="62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1100" w:type="dxa"/>
            <w:vAlign w:val="bottom"/>
            <w:shd w:val="clear" w:color="auto" w:fill="C0F3F6"/>
          </w:tcPr>
          <w:p>
            <w:pPr>
              <w:spacing w:after="0"/>
              <w:rPr>
                <w:sz w:val="13"/>
                <w:szCs w:val="13"/>
                <w:color w:val="auto"/>
              </w:rPr>
            </w:pPr>
          </w:p>
        </w:tc>
        <w:tc>
          <w:tcPr>
            <w:tcW w:w="68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c>
          <w:tcPr>
            <w:tcW w:w="640" w:type="dxa"/>
            <w:vAlign w:val="bottom"/>
            <w:shd w:val="clear" w:color="auto" w:fill="C0F3F6"/>
          </w:tcPr>
          <w:p>
            <w:pPr>
              <w:spacing w:after="0"/>
              <w:rPr>
                <w:sz w:val="13"/>
                <w:szCs w:val="13"/>
                <w:color w:val="auto"/>
              </w:rPr>
            </w:pPr>
          </w:p>
        </w:tc>
        <w:tc>
          <w:tcPr>
            <w:tcW w:w="480" w:type="dxa"/>
            <w:vAlign w:val="bottom"/>
            <w:shd w:val="clear" w:color="auto" w:fill="C0F3F6"/>
          </w:tcPr>
          <w:p>
            <w:pPr>
              <w:spacing w:after="0"/>
              <w:rPr>
                <w:sz w:val="13"/>
                <w:szCs w:val="13"/>
                <w:color w:val="auto"/>
              </w:rPr>
            </w:pPr>
          </w:p>
        </w:tc>
        <w:tc>
          <w:tcPr>
            <w:tcW w:w="240" w:type="dxa"/>
            <w:vAlign w:val="bottom"/>
            <w:shd w:val="clear" w:color="auto" w:fill="C0F3F6"/>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3120" w:type="dxa"/>
            <w:vAlign w:val="bottom"/>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1"/>
                <w:szCs w:val="21"/>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color w:val="auto"/>
              </w:rPr>
              <w:t>22,863,539</w:t>
            </w:r>
          </w:p>
        </w:tc>
        <w:tc>
          <w:tcPr>
            <w:tcW w:w="240" w:type="dxa"/>
            <w:vAlign w:val="bottom"/>
          </w:tcPr>
          <w:p>
            <w:pPr>
              <w:spacing w:after="0"/>
              <w:rPr>
                <w:sz w:val="21"/>
                <w:szCs w:val="21"/>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color w:val="auto"/>
              </w:rPr>
              <w:t>22,863,539</w:t>
            </w: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22,863,539</w:t>
            </w:r>
          </w:p>
        </w:tc>
      </w:tr>
      <w:tr>
        <w:trPr>
          <w:trHeight w:val="243"/>
        </w:trPr>
        <w:tc>
          <w:tcPr>
            <w:tcW w:w="80" w:type="dxa"/>
            <w:vAlign w:val="bottom"/>
          </w:tcPr>
          <w:p>
            <w:pPr>
              <w:spacing w:after="0"/>
              <w:rPr>
                <w:sz w:val="21"/>
                <w:szCs w:val="21"/>
                <w:color w:val="auto"/>
              </w:rPr>
            </w:pPr>
          </w:p>
        </w:tc>
        <w:tc>
          <w:tcPr>
            <w:tcW w:w="3120" w:type="dxa"/>
            <w:vAlign w:val="bottom"/>
            <w:shd w:val="clear" w:color="auto" w:fill="C0F3F6"/>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0F3F6"/>
          </w:tcPr>
          <w:p>
            <w:pPr>
              <w:spacing w:after="0"/>
              <w:rPr>
                <w:sz w:val="21"/>
                <w:szCs w:val="21"/>
                <w:color w:val="auto"/>
              </w:rPr>
            </w:pPr>
          </w:p>
        </w:tc>
        <w:tc>
          <w:tcPr>
            <w:tcW w:w="180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23,033,266</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80"/>
              <w:spacing w:after="0"/>
              <w:rPr>
                <w:sz w:val="20"/>
                <w:szCs w:val="20"/>
                <w:color w:val="auto"/>
              </w:rPr>
            </w:pPr>
            <w:r>
              <w:rPr>
                <w:rFonts w:ascii="Arial" w:cs="Arial" w:eastAsia="Arial" w:hAnsi="Arial"/>
                <w:sz w:val="14"/>
                <w:szCs w:val="14"/>
                <w:color w:val="auto"/>
              </w:rPr>
              <w:t>23,033,266</w:t>
            </w:r>
          </w:p>
        </w:tc>
        <w:tc>
          <w:tcPr>
            <w:tcW w:w="240" w:type="dxa"/>
            <w:vAlign w:val="bottom"/>
            <w:shd w:val="clear" w:color="auto" w:fill="C0F3F6"/>
          </w:tcPr>
          <w:p>
            <w:pPr>
              <w:spacing w:after="0"/>
              <w:rPr>
                <w:sz w:val="21"/>
                <w:szCs w:val="21"/>
                <w:color w:val="auto"/>
              </w:rPr>
            </w:pPr>
          </w:p>
        </w:tc>
        <w:tc>
          <w:tcPr>
            <w:tcW w:w="1360" w:type="dxa"/>
            <w:vAlign w:val="bottom"/>
            <w:gridSpan w:val="3"/>
            <w:shd w:val="clear" w:color="auto" w:fill="C0F3F6"/>
          </w:tcPr>
          <w:p>
            <w:pPr>
              <w:jc w:val="right"/>
              <w:ind w:right="240"/>
              <w:spacing w:after="0"/>
              <w:rPr>
                <w:sz w:val="20"/>
                <w:szCs w:val="20"/>
                <w:color w:val="auto"/>
              </w:rPr>
            </w:pPr>
            <w:r>
              <w:rPr>
                <w:rFonts w:ascii="Arial" w:cs="Arial" w:eastAsia="Arial" w:hAnsi="Arial"/>
                <w:sz w:val="14"/>
                <w:szCs w:val="14"/>
                <w:color w:val="auto"/>
              </w:rPr>
              <w:t>23,033,266</w:t>
            </w:r>
          </w:p>
        </w:tc>
      </w:tr>
      <w:tr>
        <w:trPr>
          <w:trHeight w:val="510"/>
        </w:trPr>
        <w:tc>
          <w:tcPr>
            <w:tcW w:w="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7" w:name="page8"/>
    <w:bookmarkEnd w:id="7"/>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Unaudited Pro Forma Statement of Operations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Year Ended December 31, 2007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ExlService</w:t>
            </w:r>
          </w:p>
        </w:tc>
        <w:tc>
          <w:tcPr>
            <w:tcW w:w="240" w:type="dxa"/>
            <w:vAlign w:val="bottom"/>
          </w:tcPr>
          <w:p>
            <w:pPr>
              <w:spacing w:after="0"/>
              <w:rPr>
                <w:sz w:val="14"/>
                <w:szCs w:val="14"/>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4"/>
                <w:szCs w:val="14"/>
                <w:color w:val="auto"/>
              </w:rPr>
            </w:pPr>
          </w:p>
        </w:tc>
        <w:tc>
          <w:tcPr>
            <w:tcW w:w="17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80" w:type="dxa"/>
            <w:vAlign w:val="bottom"/>
          </w:tcPr>
          <w:p>
            <w:pPr>
              <w:spacing w:after="0"/>
              <w:rPr>
                <w:sz w:val="14"/>
                <w:szCs w:val="14"/>
                <w:color w:val="auto"/>
              </w:rPr>
            </w:pPr>
          </w:p>
        </w:tc>
        <w:tc>
          <w:tcPr>
            <w:tcW w:w="280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6"/>
              </w:rPr>
              <w:t>Holdings Inc.</w:t>
            </w:r>
          </w:p>
        </w:tc>
        <w:tc>
          <w:tcPr>
            <w:tcW w:w="68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4"/>
              </w:rPr>
              <w:t>Adjustments</w:t>
            </w:r>
          </w:p>
        </w:tc>
        <w:tc>
          <w:tcPr>
            <w:tcW w:w="620" w:type="dxa"/>
            <w:vAlign w:val="bottom"/>
            <w:tcBorders>
              <w:bottom w:val="single" w:sz="8" w:color="C0F3F6"/>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6"/>
              </w:rPr>
              <w:t>Consolidated</w:t>
            </w:r>
          </w:p>
        </w:tc>
        <w:tc>
          <w:tcPr>
            <w:tcW w:w="420" w:type="dxa"/>
            <w:vAlign w:val="bottom"/>
            <w:tcBorders>
              <w:bottom w:val="single" w:sz="8" w:color="C0F3F6"/>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280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Revenues (a)</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179,889,856</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(27,857,323)</w:t>
            </w:r>
          </w:p>
        </w:tc>
        <w:tc>
          <w:tcPr>
            <w:tcW w:w="280" w:type="dxa"/>
            <w:vAlign w:val="bottom"/>
            <w:shd w:val="clear" w:color="auto" w:fill="C0F3F6"/>
          </w:tcPr>
          <w:p>
            <w:pPr>
              <w:jc w:val="right"/>
              <w:ind w:right="52"/>
              <w:spacing w:after="0"/>
              <w:rPr>
                <w:sz w:val="20"/>
                <w:szCs w:val="20"/>
                <w:color w:val="auto"/>
              </w:rPr>
            </w:pPr>
            <w:r>
              <w:rPr>
                <w:rFonts w:ascii="Arial" w:cs="Arial" w:eastAsia="Arial" w:hAnsi="Arial"/>
                <w:sz w:val="14"/>
                <w:szCs w:val="14"/>
                <w:color w:val="auto"/>
              </w:rPr>
              <w:t>$</w:t>
            </w: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152,032,533</w:t>
            </w:r>
          </w:p>
        </w:tc>
      </w:tr>
      <w:tr>
        <w:trPr>
          <w:trHeight w:val="138"/>
        </w:trPr>
        <w:tc>
          <w:tcPr>
            <w:tcW w:w="80" w:type="dxa"/>
            <w:vAlign w:val="bottom"/>
          </w:tcPr>
          <w:p>
            <w:pPr>
              <w:spacing w:after="0"/>
              <w:rPr>
                <w:sz w:val="11"/>
                <w:szCs w:val="11"/>
                <w:color w:val="auto"/>
              </w:rPr>
            </w:pPr>
          </w:p>
        </w:tc>
        <w:tc>
          <w:tcPr>
            <w:tcW w:w="2800" w:type="dxa"/>
            <w:vAlign w:val="bottom"/>
          </w:tcPr>
          <w:p>
            <w:pPr>
              <w:ind w:left="220"/>
              <w:spacing w:after="0" w:line="138" w:lineRule="exact"/>
              <w:rPr>
                <w:sz w:val="20"/>
                <w:szCs w:val="20"/>
                <w:color w:val="auto"/>
              </w:rPr>
            </w:pPr>
            <w:r>
              <w:rPr>
                <w:rFonts w:ascii="Arial" w:cs="Arial" w:eastAsia="Arial" w:hAnsi="Arial"/>
                <w:sz w:val="14"/>
                <w:szCs w:val="14"/>
                <w:color w:val="auto"/>
              </w:rPr>
              <w:t>Cost of revenues (exclusive of</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800" w:type="dxa"/>
            <w:vAlign w:val="bottom"/>
          </w:tcPr>
          <w:p>
            <w:pPr>
              <w:ind w:left="320"/>
              <w:spacing w:after="0" w:line="159" w:lineRule="exact"/>
              <w:rPr>
                <w:sz w:val="20"/>
                <w:szCs w:val="20"/>
                <w:color w:val="auto"/>
              </w:rPr>
            </w:pPr>
            <w:r>
              <w:rPr>
                <w:rFonts w:ascii="Arial" w:cs="Arial" w:eastAsia="Arial" w:hAnsi="Arial"/>
                <w:sz w:val="14"/>
                <w:szCs w:val="14"/>
                <w:color w:val="auto"/>
              </w:rPr>
              <w:t>depreciation and amortization) (b)</w:t>
            </w:r>
          </w:p>
        </w:tc>
        <w:tc>
          <w:tcPr>
            <w:tcW w:w="240" w:type="dxa"/>
            <w:vAlign w:val="bottom"/>
          </w:tcPr>
          <w:p>
            <w:pPr>
              <w:spacing w:after="0"/>
              <w:rPr>
                <w:sz w:val="13"/>
                <w:szCs w:val="13"/>
                <w:color w:val="auto"/>
              </w:rPr>
            </w:pPr>
          </w:p>
        </w:tc>
        <w:tc>
          <w:tcPr>
            <w:tcW w:w="188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113,720,195</w:t>
            </w:r>
          </w:p>
        </w:tc>
        <w:tc>
          <w:tcPr>
            <w:tcW w:w="240" w:type="dxa"/>
            <w:vAlign w:val="bottom"/>
          </w:tcPr>
          <w:p>
            <w:pPr>
              <w:spacing w:after="0"/>
              <w:rPr>
                <w:sz w:val="13"/>
                <w:szCs w:val="13"/>
                <w:color w:val="auto"/>
              </w:rPr>
            </w:pPr>
          </w:p>
        </w:tc>
        <w:tc>
          <w:tcPr>
            <w:tcW w:w="17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(13,608,208)</w:t>
            </w:r>
          </w:p>
        </w:tc>
        <w:tc>
          <w:tcPr>
            <w:tcW w:w="280" w:type="dxa"/>
            <w:vAlign w:val="bottom"/>
          </w:tcPr>
          <w:p>
            <w:pPr>
              <w:spacing w:after="0"/>
              <w:rPr>
                <w:sz w:val="13"/>
                <w:szCs w:val="13"/>
                <w:color w:val="auto"/>
              </w:rPr>
            </w:pPr>
          </w:p>
        </w:tc>
        <w:tc>
          <w:tcPr>
            <w:tcW w:w="170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rPr>
              <w:t>100,111,987</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84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42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66,169,661</w:t>
            </w:r>
          </w:p>
        </w:tc>
        <w:tc>
          <w:tcPr>
            <w:tcW w:w="240" w:type="dxa"/>
            <w:vAlign w:val="bottom"/>
          </w:tcPr>
          <w:p>
            <w:pPr>
              <w:spacing w:after="0"/>
              <w:rPr>
                <w:sz w:val="21"/>
                <w:szCs w:val="21"/>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4"/>
                <w:szCs w:val="14"/>
                <w:color w:val="auto"/>
              </w:rPr>
              <w:t>(14,249,115)</w:t>
            </w:r>
          </w:p>
        </w:tc>
        <w:tc>
          <w:tcPr>
            <w:tcW w:w="280" w:type="dxa"/>
            <w:vAlign w:val="bottom"/>
          </w:tcPr>
          <w:p>
            <w:pPr>
              <w:spacing w:after="0"/>
              <w:rPr>
                <w:sz w:val="21"/>
                <w:szCs w:val="21"/>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color w:val="auto"/>
              </w:rPr>
              <w:t>51,920,546</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84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42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800" w:type="dxa"/>
            <w:vAlign w:val="bottom"/>
            <w:shd w:val="clear" w:color="auto" w:fill="C0F3F6"/>
          </w:tcPr>
          <w:p>
            <w:pPr>
              <w:ind w:left="540"/>
              <w:spacing w:after="0" w:line="138" w:lineRule="exact"/>
              <w:rPr>
                <w:sz w:val="20"/>
                <w:szCs w:val="20"/>
                <w:color w:val="auto"/>
              </w:rPr>
            </w:pPr>
            <w:r>
              <w:rPr>
                <w:rFonts w:ascii="Arial" w:cs="Arial" w:eastAsia="Arial" w:hAnsi="Arial"/>
                <w:sz w:val="14"/>
                <w:szCs w:val="14"/>
                <w:color w:val="auto"/>
                <w:w w:val="96"/>
              </w:rPr>
              <w:t>General and administrative expenses</w:t>
            </w:r>
          </w:p>
        </w:tc>
        <w:tc>
          <w:tcPr>
            <w:tcW w:w="240" w:type="dxa"/>
            <w:vAlign w:val="bottom"/>
            <w:shd w:val="clear" w:color="auto" w:fill="C0F3F6"/>
          </w:tcPr>
          <w:p>
            <w:pPr>
              <w:spacing w:after="0"/>
              <w:rPr>
                <w:sz w:val="11"/>
                <w:szCs w:val="11"/>
                <w:color w:val="auto"/>
              </w:rPr>
            </w:pPr>
          </w:p>
        </w:tc>
        <w:tc>
          <w:tcPr>
            <w:tcW w:w="1200" w:type="dxa"/>
            <w:vAlign w:val="bottom"/>
            <w:shd w:val="clear" w:color="auto" w:fill="C0F3F6"/>
          </w:tcPr>
          <w:p>
            <w:pPr>
              <w:spacing w:after="0"/>
              <w:rPr>
                <w:sz w:val="11"/>
                <w:szCs w:val="11"/>
                <w:color w:val="auto"/>
              </w:rPr>
            </w:pPr>
          </w:p>
        </w:tc>
        <w:tc>
          <w:tcPr>
            <w:tcW w:w="68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620" w:type="dxa"/>
            <w:vAlign w:val="bottom"/>
            <w:shd w:val="clear" w:color="auto" w:fill="C0F3F6"/>
          </w:tcPr>
          <w:p>
            <w:pPr>
              <w:spacing w:after="0"/>
              <w:rPr>
                <w:sz w:val="11"/>
                <w:szCs w:val="11"/>
                <w:color w:val="auto"/>
              </w:rPr>
            </w:pPr>
          </w:p>
        </w:tc>
        <w:tc>
          <w:tcPr>
            <w:tcW w:w="280" w:type="dxa"/>
            <w:vAlign w:val="bottom"/>
            <w:shd w:val="clear" w:color="auto" w:fill="C0F3F6"/>
          </w:tcPr>
          <w:p>
            <w:pPr>
              <w:spacing w:after="0"/>
              <w:rPr>
                <w:sz w:val="11"/>
                <w:szCs w:val="11"/>
                <w:color w:val="auto"/>
              </w:rPr>
            </w:pPr>
          </w:p>
        </w:tc>
        <w:tc>
          <w:tcPr>
            <w:tcW w:w="84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420" w:type="dxa"/>
            <w:vAlign w:val="bottom"/>
            <w:shd w:val="clear" w:color="auto" w:fill="C0F3F6"/>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800" w:type="dxa"/>
            <w:vAlign w:val="bottom"/>
            <w:shd w:val="clear" w:color="auto" w:fill="C0F3F6"/>
          </w:tcPr>
          <w:p>
            <w:pPr>
              <w:ind w:left="100"/>
              <w:spacing w:after="0" w:line="159" w:lineRule="exact"/>
              <w:rPr>
                <w:sz w:val="20"/>
                <w:szCs w:val="20"/>
                <w:color w:val="auto"/>
              </w:rPr>
            </w:pPr>
            <w:r>
              <w:rPr>
                <w:rFonts w:ascii="Arial" w:cs="Arial" w:eastAsia="Arial" w:hAnsi="Arial"/>
                <w:sz w:val="14"/>
                <w:szCs w:val="14"/>
                <w:color w:val="auto"/>
              </w:rPr>
              <w:t>(c)</w:t>
            </w:r>
          </w:p>
        </w:tc>
        <w:tc>
          <w:tcPr>
            <w:tcW w:w="240" w:type="dxa"/>
            <w:vAlign w:val="bottom"/>
            <w:shd w:val="clear" w:color="auto" w:fill="C0F3F6"/>
          </w:tcPr>
          <w:p>
            <w:pPr>
              <w:spacing w:after="0"/>
              <w:rPr>
                <w:sz w:val="13"/>
                <w:szCs w:val="13"/>
                <w:color w:val="auto"/>
              </w:rPr>
            </w:pPr>
          </w:p>
        </w:tc>
        <w:tc>
          <w:tcPr>
            <w:tcW w:w="1880" w:type="dxa"/>
            <w:vAlign w:val="bottom"/>
            <w:gridSpan w:val="2"/>
            <w:shd w:val="clear" w:color="auto" w:fill="C0F3F6"/>
          </w:tcPr>
          <w:p>
            <w:pPr>
              <w:jc w:val="right"/>
              <w:ind w:right="660"/>
              <w:spacing w:after="0" w:line="159" w:lineRule="exact"/>
              <w:rPr>
                <w:sz w:val="20"/>
                <w:szCs w:val="20"/>
                <w:color w:val="auto"/>
              </w:rPr>
            </w:pPr>
            <w:r>
              <w:rPr>
                <w:rFonts w:ascii="Arial" w:cs="Arial" w:eastAsia="Arial" w:hAnsi="Arial"/>
                <w:sz w:val="14"/>
                <w:szCs w:val="14"/>
                <w:color w:val="auto"/>
              </w:rPr>
              <w:t>29,278,513</w:t>
            </w:r>
          </w:p>
        </w:tc>
        <w:tc>
          <w:tcPr>
            <w:tcW w:w="240" w:type="dxa"/>
            <w:vAlign w:val="bottom"/>
            <w:shd w:val="clear" w:color="auto" w:fill="C0F3F6"/>
          </w:tcPr>
          <w:p>
            <w:pPr>
              <w:spacing w:after="0"/>
              <w:rPr>
                <w:sz w:val="13"/>
                <w:szCs w:val="13"/>
                <w:color w:val="auto"/>
              </w:rPr>
            </w:pPr>
          </w:p>
        </w:tc>
        <w:tc>
          <w:tcPr>
            <w:tcW w:w="1780" w:type="dxa"/>
            <w:vAlign w:val="bottom"/>
            <w:gridSpan w:val="2"/>
            <w:shd w:val="clear" w:color="auto" w:fill="C0F3F6"/>
          </w:tcPr>
          <w:p>
            <w:pPr>
              <w:jc w:val="right"/>
              <w:ind w:right="580"/>
              <w:spacing w:after="0" w:line="159" w:lineRule="exact"/>
              <w:rPr>
                <w:sz w:val="20"/>
                <w:szCs w:val="20"/>
                <w:color w:val="auto"/>
              </w:rPr>
            </w:pPr>
            <w:r>
              <w:rPr>
                <w:rFonts w:ascii="Arial" w:cs="Arial" w:eastAsia="Arial" w:hAnsi="Arial"/>
                <w:sz w:val="14"/>
                <w:szCs w:val="14"/>
                <w:color w:val="auto"/>
              </w:rPr>
              <w:t>(2,207,607)</w:t>
            </w:r>
          </w:p>
        </w:tc>
        <w:tc>
          <w:tcPr>
            <w:tcW w:w="280" w:type="dxa"/>
            <w:vAlign w:val="bottom"/>
            <w:shd w:val="clear" w:color="auto" w:fill="C0F3F6"/>
          </w:tcPr>
          <w:p>
            <w:pPr>
              <w:spacing w:after="0"/>
              <w:rPr>
                <w:sz w:val="13"/>
                <w:szCs w:val="13"/>
                <w:color w:val="auto"/>
              </w:rPr>
            </w:pPr>
          </w:p>
        </w:tc>
        <w:tc>
          <w:tcPr>
            <w:tcW w:w="1700" w:type="dxa"/>
            <w:vAlign w:val="bottom"/>
            <w:gridSpan w:val="3"/>
            <w:shd w:val="clear" w:color="auto" w:fill="C0F3F6"/>
          </w:tcPr>
          <w:p>
            <w:pPr>
              <w:jc w:val="right"/>
              <w:ind w:right="420"/>
              <w:spacing w:after="0" w:line="159" w:lineRule="exact"/>
              <w:rPr>
                <w:sz w:val="20"/>
                <w:szCs w:val="20"/>
                <w:color w:val="auto"/>
              </w:rPr>
            </w:pPr>
            <w:r>
              <w:rPr>
                <w:rFonts w:ascii="Arial" w:cs="Arial" w:eastAsia="Arial" w:hAnsi="Arial"/>
                <w:sz w:val="14"/>
                <w:szCs w:val="14"/>
                <w:color w:val="auto"/>
              </w:rPr>
              <w:t>27,070,906</w:t>
            </w:r>
          </w:p>
        </w:tc>
      </w:tr>
      <w:tr>
        <w:trPr>
          <w:trHeight w:val="243"/>
        </w:trPr>
        <w:tc>
          <w:tcPr>
            <w:tcW w:w="80" w:type="dxa"/>
            <w:vAlign w:val="bottom"/>
          </w:tcPr>
          <w:p>
            <w:pPr>
              <w:spacing w:after="0"/>
              <w:rPr>
                <w:sz w:val="21"/>
                <w:szCs w:val="21"/>
                <w:color w:val="auto"/>
              </w:rPr>
            </w:pPr>
          </w:p>
        </w:tc>
        <w:tc>
          <w:tcPr>
            <w:tcW w:w="2800" w:type="dxa"/>
            <w:vAlign w:val="bottom"/>
          </w:tcPr>
          <w:p>
            <w:pPr>
              <w:ind w:left="540"/>
              <w:spacing w:after="0"/>
              <w:rPr>
                <w:sz w:val="20"/>
                <w:szCs w:val="20"/>
                <w:color w:val="auto"/>
              </w:rPr>
            </w:pPr>
            <w:r>
              <w:rPr>
                <w:rFonts w:ascii="Arial" w:cs="Arial" w:eastAsia="Arial" w:hAnsi="Arial"/>
                <w:sz w:val="14"/>
                <w:szCs w:val="14"/>
                <w:color w:val="auto"/>
              </w:rPr>
              <w:t>Selling and marketing expenses</w:t>
            </w:r>
          </w:p>
        </w:tc>
        <w:tc>
          <w:tcPr>
            <w:tcW w:w="240" w:type="dxa"/>
            <w:vAlign w:val="bottom"/>
          </w:tcPr>
          <w:p>
            <w:pPr>
              <w:spacing w:after="0"/>
              <w:rPr>
                <w:sz w:val="21"/>
                <w:szCs w:val="21"/>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9,171,240</w:t>
            </w:r>
          </w:p>
        </w:tc>
        <w:tc>
          <w:tcPr>
            <w:tcW w:w="240" w:type="dxa"/>
            <w:vAlign w:val="bottom"/>
          </w:tcPr>
          <w:p>
            <w:pPr>
              <w:spacing w:after="0"/>
              <w:rPr>
                <w:sz w:val="21"/>
                <w:szCs w:val="21"/>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color w:val="auto"/>
              </w:rPr>
              <w:t>9,171,240</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5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10,491,763</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(1,279,912)</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9,211,851</w:t>
            </w:r>
          </w:p>
        </w:tc>
      </w:tr>
      <w:tr>
        <w:trPr>
          <w:trHeight w:val="243"/>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26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48,941,516</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(3,487,519)</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45,453,997</w:t>
            </w:r>
          </w:p>
        </w:tc>
      </w:tr>
      <w:tr>
        <w:trPr>
          <w:trHeight w:val="243"/>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17,228,145</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(10,761,596)</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6,466,549</w:t>
            </w:r>
          </w:p>
        </w:tc>
      </w:tr>
      <w:tr>
        <w:trPr>
          <w:trHeight w:val="243"/>
        </w:trPr>
        <w:tc>
          <w:tcPr>
            <w:tcW w:w="80" w:type="dxa"/>
            <w:vAlign w:val="bottom"/>
          </w:tcPr>
          <w:p>
            <w:pPr>
              <w:spacing w:after="0"/>
              <w:rPr>
                <w:sz w:val="21"/>
                <w:szCs w:val="21"/>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Other income/(expense):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540"/>
              <w:spacing w:after="0"/>
              <w:rPr>
                <w:sz w:val="20"/>
                <w:szCs w:val="20"/>
                <w:color w:val="auto"/>
              </w:rPr>
            </w:pPr>
            <w:r>
              <w:rPr>
                <w:rFonts w:ascii="Arial" w:cs="Arial" w:eastAsia="Arial" w:hAnsi="Arial"/>
                <w:sz w:val="14"/>
                <w:szCs w:val="14"/>
                <w:color w:val="auto"/>
              </w:rPr>
              <w:t>Foreign exchange gain/(loss)</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7,674,108</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(90,011)</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7,584,097</w:t>
            </w:r>
          </w:p>
        </w:tc>
      </w:tr>
      <w:tr>
        <w:trPr>
          <w:trHeight w:val="297"/>
        </w:trPr>
        <w:tc>
          <w:tcPr>
            <w:tcW w:w="8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24"/>
                <w:szCs w:val="24"/>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4,306,068</w:t>
            </w:r>
          </w:p>
        </w:tc>
        <w:tc>
          <w:tcPr>
            <w:tcW w:w="240" w:type="dxa"/>
            <w:vAlign w:val="bottom"/>
          </w:tcPr>
          <w:p>
            <w:pPr>
              <w:spacing w:after="0"/>
              <w:rPr>
                <w:sz w:val="24"/>
                <w:szCs w:val="2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4"/>
                <w:szCs w:val="14"/>
                <w:color w:val="auto"/>
              </w:rPr>
              <w:t>(47,905)</w:t>
            </w:r>
          </w:p>
        </w:tc>
        <w:tc>
          <w:tcPr>
            <w:tcW w:w="280" w:type="dxa"/>
            <w:vAlign w:val="bottom"/>
          </w:tcPr>
          <w:p>
            <w:pPr>
              <w:spacing w:after="0"/>
              <w:rPr>
                <w:sz w:val="24"/>
                <w:szCs w:val="24"/>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color w:val="auto"/>
              </w:rPr>
              <w:t>4,258,163</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5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(55,570)</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214</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380"/>
              <w:spacing w:after="0"/>
              <w:rPr>
                <w:sz w:val="20"/>
                <w:szCs w:val="20"/>
                <w:color w:val="auto"/>
              </w:rPr>
            </w:pPr>
            <w:r>
              <w:rPr>
                <w:rFonts w:ascii="Arial" w:cs="Arial" w:eastAsia="Arial" w:hAnsi="Arial"/>
                <w:sz w:val="14"/>
                <w:szCs w:val="14"/>
                <w:color w:val="auto"/>
              </w:rPr>
              <w:t>(55,356)</w:t>
            </w:r>
          </w:p>
        </w:tc>
      </w:tr>
      <w:tr>
        <w:trPr>
          <w:trHeight w:val="243"/>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29,152,751</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580"/>
              <w:spacing w:after="0"/>
              <w:rPr>
                <w:sz w:val="20"/>
                <w:szCs w:val="20"/>
                <w:color w:val="auto"/>
              </w:rPr>
            </w:pPr>
            <w:r>
              <w:rPr>
                <w:rFonts w:ascii="Arial" w:cs="Arial" w:eastAsia="Arial" w:hAnsi="Arial"/>
                <w:sz w:val="14"/>
                <w:szCs w:val="14"/>
                <w:color w:val="auto"/>
              </w:rPr>
              <w:t>(10,899,298)</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18,253,453</w:t>
            </w:r>
          </w:p>
        </w:tc>
      </w:tr>
      <w:tr>
        <w:trPr>
          <w:trHeight w:val="243"/>
        </w:trPr>
        <w:tc>
          <w:tcPr>
            <w:tcW w:w="80" w:type="dxa"/>
            <w:vAlign w:val="bottom"/>
          </w:tcPr>
          <w:p>
            <w:pPr>
              <w:spacing w:after="0"/>
              <w:rPr>
                <w:sz w:val="21"/>
                <w:szCs w:val="21"/>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Income tax provision (d)</w:t>
            </w:r>
          </w:p>
        </w:tc>
        <w:tc>
          <w:tcPr>
            <w:tcW w:w="240" w:type="dxa"/>
            <w:vAlign w:val="bottom"/>
          </w:tcPr>
          <w:p>
            <w:pPr>
              <w:spacing w:after="0"/>
              <w:rPr>
                <w:sz w:val="21"/>
                <w:szCs w:val="21"/>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2,109,165</w:t>
            </w:r>
          </w:p>
        </w:tc>
        <w:tc>
          <w:tcPr>
            <w:tcW w:w="240" w:type="dxa"/>
            <w:vAlign w:val="bottom"/>
          </w:tcPr>
          <w:p>
            <w:pPr>
              <w:spacing w:after="0"/>
              <w:rPr>
                <w:sz w:val="21"/>
                <w:szCs w:val="21"/>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4"/>
                <w:szCs w:val="14"/>
                <w:color w:val="auto"/>
              </w:rPr>
              <w:t>(3,542,982)</w:t>
            </w:r>
          </w:p>
        </w:tc>
        <w:tc>
          <w:tcPr>
            <w:tcW w:w="280" w:type="dxa"/>
            <w:vAlign w:val="bottom"/>
          </w:tcPr>
          <w:p>
            <w:pPr>
              <w:spacing w:after="0"/>
              <w:rPr>
                <w:sz w:val="21"/>
                <w:szCs w:val="21"/>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4"/>
                <w:szCs w:val="14"/>
                <w:color w:val="auto"/>
              </w:rPr>
              <w:t>(1,433,817)</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84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42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Net income to common stockholders</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27,043,586</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color w:val="auto"/>
              </w:rPr>
              <w:t>(7,356,316)</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420"/>
              <w:spacing w:after="0"/>
              <w:rPr>
                <w:sz w:val="20"/>
                <w:szCs w:val="20"/>
                <w:color w:val="auto"/>
              </w:rPr>
            </w:pPr>
            <w:r>
              <w:rPr>
                <w:rFonts w:ascii="Arial" w:cs="Arial" w:eastAsia="Arial" w:hAnsi="Arial"/>
                <w:sz w:val="14"/>
                <w:szCs w:val="14"/>
                <w:color w:val="auto"/>
              </w:rPr>
              <w:t>19,687,270</w:t>
            </w: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68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60" w:type="dxa"/>
            <w:vAlign w:val="bottom"/>
            <w:shd w:val="clear" w:color="auto" w:fill="C0F3F6"/>
          </w:tcPr>
          <w:p>
            <w:pPr>
              <w:spacing w:after="0"/>
              <w:rPr>
                <w:sz w:val="21"/>
                <w:szCs w:val="21"/>
                <w:color w:val="auto"/>
              </w:rPr>
            </w:pPr>
          </w:p>
        </w:tc>
        <w:tc>
          <w:tcPr>
            <w:tcW w:w="62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c>
          <w:tcPr>
            <w:tcW w:w="840" w:type="dxa"/>
            <w:vAlign w:val="bottom"/>
            <w:shd w:val="clear" w:color="auto" w:fill="C0F3F6"/>
          </w:tcPr>
          <w:p>
            <w:pPr>
              <w:spacing w:after="0"/>
              <w:rPr>
                <w:sz w:val="21"/>
                <w:szCs w:val="21"/>
                <w:color w:val="auto"/>
              </w:rPr>
            </w:pPr>
          </w:p>
        </w:tc>
        <w:tc>
          <w:tcPr>
            <w:tcW w:w="440" w:type="dxa"/>
            <w:vAlign w:val="bottom"/>
            <w:shd w:val="clear" w:color="auto" w:fill="C0F3F6"/>
          </w:tcPr>
          <w:p>
            <w:pPr>
              <w:spacing w:after="0"/>
              <w:rPr>
                <w:sz w:val="21"/>
                <w:szCs w:val="21"/>
                <w:color w:val="auto"/>
              </w:rPr>
            </w:pPr>
          </w:p>
        </w:tc>
        <w:tc>
          <w:tcPr>
            <w:tcW w:w="420" w:type="dxa"/>
            <w:vAlign w:val="bottom"/>
            <w:shd w:val="clear" w:color="auto" w:fill="C0F3F6"/>
          </w:tcPr>
          <w:p>
            <w:pPr>
              <w:spacing w:after="0"/>
              <w:rPr>
                <w:sz w:val="21"/>
                <w:szCs w:val="21"/>
                <w:color w:val="auto"/>
              </w:rPr>
            </w:pPr>
          </w:p>
        </w:tc>
      </w:tr>
      <w:tr>
        <w:trPr>
          <w:trHeight w:val="138"/>
        </w:trPr>
        <w:tc>
          <w:tcPr>
            <w:tcW w:w="80" w:type="dxa"/>
            <w:vAlign w:val="bottom"/>
          </w:tcPr>
          <w:p>
            <w:pPr>
              <w:spacing w:after="0"/>
              <w:rPr>
                <w:sz w:val="11"/>
                <w:szCs w:val="11"/>
                <w:color w:val="auto"/>
              </w:rPr>
            </w:pPr>
          </w:p>
        </w:tc>
        <w:tc>
          <w:tcPr>
            <w:tcW w:w="2800" w:type="dxa"/>
            <w:vAlign w:val="bottom"/>
          </w:tcPr>
          <w:p>
            <w:pPr>
              <w:ind w:left="260"/>
              <w:spacing w:after="0" w:line="138" w:lineRule="exact"/>
              <w:rPr>
                <w:sz w:val="20"/>
                <w:szCs w:val="20"/>
                <w:color w:val="auto"/>
              </w:rPr>
            </w:pPr>
            <w:r>
              <w:rPr>
                <w:rFonts w:ascii="Arial" w:cs="Arial" w:eastAsia="Arial" w:hAnsi="Arial"/>
                <w:sz w:val="14"/>
                <w:szCs w:val="14"/>
                <w:color w:val="auto"/>
              </w:rPr>
              <w:t>Basic earnings per share to common</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800" w:type="dxa"/>
            <w:vAlign w:val="bottom"/>
          </w:tcPr>
          <w:p>
            <w:pPr>
              <w:ind w:left="320"/>
              <w:spacing w:after="0" w:line="159" w:lineRule="exact"/>
              <w:rPr>
                <w:sz w:val="20"/>
                <w:szCs w:val="20"/>
                <w:color w:val="auto"/>
              </w:rPr>
            </w:pPr>
            <w:r>
              <w:rPr>
                <w:rFonts w:ascii="Arial" w:cs="Arial" w:eastAsia="Arial" w:hAnsi="Arial"/>
                <w:sz w:val="14"/>
                <w:szCs w:val="14"/>
                <w:color w:val="auto"/>
              </w:rPr>
              <w:t>stockholders</w:t>
            </w:r>
          </w:p>
        </w:tc>
        <w:tc>
          <w:tcPr>
            <w:tcW w:w="240" w:type="dxa"/>
            <w:vAlign w:val="bottom"/>
          </w:tcPr>
          <w:p>
            <w:pPr>
              <w:spacing w:after="0"/>
              <w:rPr>
                <w:sz w:val="13"/>
                <w:szCs w:val="13"/>
                <w:color w:val="auto"/>
              </w:rPr>
            </w:pPr>
          </w:p>
        </w:tc>
        <w:tc>
          <w:tcPr>
            <w:tcW w:w="188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0.95</w:t>
            </w:r>
          </w:p>
        </w:tc>
        <w:tc>
          <w:tcPr>
            <w:tcW w:w="240" w:type="dxa"/>
            <w:vAlign w:val="bottom"/>
          </w:tcPr>
          <w:p>
            <w:pPr>
              <w:spacing w:after="0"/>
              <w:rPr>
                <w:sz w:val="13"/>
                <w:szCs w:val="13"/>
                <w:color w:val="auto"/>
              </w:rPr>
            </w:pPr>
          </w:p>
        </w:tc>
        <w:tc>
          <w:tcPr>
            <w:tcW w:w="178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(0.26)</w:t>
            </w:r>
          </w:p>
        </w:tc>
        <w:tc>
          <w:tcPr>
            <w:tcW w:w="280" w:type="dxa"/>
            <w:vAlign w:val="bottom"/>
          </w:tcPr>
          <w:p>
            <w:pPr>
              <w:spacing w:after="0"/>
              <w:rPr>
                <w:sz w:val="13"/>
                <w:szCs w:val="13"/>
                <w:color w:val="auto"/>
              </w:rPr>
            </w:pPr>
          </w:p>
        </w:tc>
        <w:tc>
          <w:tcPr>
            <w:tcW w:w="170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rPr>
              <w:t>0.69</w:t>
            </w:r>
          </w:p>
        </w:tc>
      </w:tr>
      <w:tr>
        <w:trPr>
          <w:trHeight w:val="138"/>
        </w:trPr>
        <w:tc>
          <w:tcPr>
            <w:tcW w:w="80" w:type="dxa"/>
            <w:vAlign w:val="bottom"/>
          </w:tcPr>
          <w:p>
            <w:pPr>
              <w:spacing w:after="0"/>
              <w:rPr>
                <w:sz w:val="11"/>
                <w:szCs w:val="11"/>
                <w:color w:val="auto"/>
              </w:rPr>
            </w:pPr>
          </w:p>
        </w:tc>
        <w:tc>
          <w:tcPr>
            <w:tcW w:w="2800" w:type="dxa"/>
            <w:vAlign w:val="bottom"/>
            <w:shd w:val="clear" w:color="auto" w:fill="C0F3F6"/>
          </w:tcPr>
          <w:p>
            <w:pPr>
              <w:ind w:left="260"/>
              <w:spacing w:after="0" w:line="138" w:lineRule="exact"/>
              <w:rPr>
                <w:sz w:val="20"/>
                <w:szCs w:val="20"/>
                <w:color w:val="auto"/>
              </w:rPr>
            </w:pPr>
            <w:r>
              <w:rPr>
                <w:rFonts w:ascii="Arial" w:cs="Arial" w:eastAsia="Arial" w:hAnsi="Arial"/>
                <w:sz w:val="14"/>
                <w:szCs w:val="14"/>
                <w:color w:val="auto"/>
              </w:rPr>
              <w:t>Diluted earnings per share to common</w:t>
            </w:r>
          </w:p>
        </w:tc>
        <w:tc>
          <w:tcPr>
            <w:tcW w:w="240" w:type="dxa"/>
            <w:vAlign w:val="bottom"/>
            <w:shd w:val="clear" w:color="auto" w:fill="C0F3F6"/>
          </w:tcPr>
          <w:p>
            <w:pPr>
              <w:spacing w:after="0"/>
              <w:rPr>
                <w:sz w:val="11"/>
                <w:szCs w:val="11"/>
                <w:color w:val="auto"/>
              </w:rPr>
            </w:pPr>
          </w:p>
        </w:tc>
        <w:tc>
          <w:tcPr>
            <w:tcW w:w="1200" w:type="dxa"/>
            <w:vAlign w:val="bottom"/>
            <w:shd w:val="clear" w:color="auto" w:fill="C0F3F6"/>
          </w:tcPr>
          <w:p>
            <w:pPr>
              <w:spacing w:after="0"/>
              <w:rPr>
                <w:sz w:val="11"/>
                <w:szCs w:val="11"/>
                <w:color w:val="auto"/>
              </w:rPr>
            </w:pPr>
          </w:p>
        </w:tc>
        <w:tc>
          <w:tcPr>
            <w:tcW w:w="680" w:type="dxa"/>
            <w:vAlign w:val="bottom"/>
            <w:shd w:val="clear" w:color="auto" w:fill="C0F3F6"/>
          </w:tcPr>
          <w:p>
            <w:pPr>
              <w:spacing w:after="0"/>
              <w:rPr>
                <w:sz w:val="11"/>
                <w:szCs w:val="11"/>
                <w:color w:val="auto"/>
              </w:rPr>
            </w:pPr>
          </w:p>
        </w:tc>
        <w:tc>
          <w:tcPr>
            <w:tcW w:w="240" w:type="dxa"/>
            <w:vAlign w:val="bottom"/>
            <w:shd w:val="clear" w:color="auto" w:fill="C0F3F6"/>
          </w:tcPr>
          <w:p>
            <w:pPr>
              <w:spacing w:after="0"/>
              <w:rPr>
                <w:sz w:val="11"/>
                <w:szCs w:val="11"/>
                <w:color w:val="auto"/>
              </w:rPr>
            </w:pPr>
          </w:p>
        </w:tc>
        <w:tc>
          <w:tcPr>
            <w:tcW w:w="1160" w:type="dxa"/>
            <w:vAlign w:val="bottom"/>
            <w:shd w:val="clear" w:color="auto" w:fill="C0F3F6"/>
          </w:tcPr>
          <w:p>
            <w:pPr>
              <w:spacing w:after="0"/>
              <w:rPr>
                <w:sz w:val="11"/>
                <w:szCs w:val="11"/>
                <w:color w:val="auto"/>
              </w:rPr>
            </w:pPr>
          </w:p>
        </w:tc>
        <w:tc>
          <w:tcPr>
            <w:tcW w:w="620" w:type="dxa"/>
            <w:vAlign w:val="bottom"/>
            <w:shd w:val="clear" w:color="auto" w:fill="C0F3F6"/>
          </w:tcPr>
          <w:p>
            <w:pPr>
              <w:spacing w:after="0"/>
              <w:rPr>
                <w:sz w:val="11"/>
                <w:szCs w:val="11"/>
                <w:color w:val="auto"/>
              </w:rPr>
            </w:pPr>
          </w:p>
        </w:tc>
        <w:tc>
          <w:tcPr>
            <w:tcW w:w="280" w:type="dxa"/>
            <w:vAlign w:val="bottom"/>
            <w:shd w:val="clear" w:color="auto" w:fill="C0F3F6"/>
          </w:tcPr>
          <w:p>
            <w:pPr>
              <w:spacing w:after="0"/>
              <w:rPr>
                <w:sz w:val="11"/>
                <w:szCs w:val="11"/>
                <w:color w:val="auto"/>
              </w:rPr>
            </w:pPr>
          </w:p>
        </w:tc>
        <w:tc>
          <w:tcPr>
            <w:tcW w:w="840" w:type="dxa"/>
            <w:vAlign w:val="bottom"/>
            <w:shd w:val="clear" w:color="auto" w:fill="C0F3F6"/>
          </w:tcPr>
          <w:p>
            <w:pPr>
              <w:spacing w:after="0"/>
              <w:rPr>
                <w:sz w:val="11"/>
                <w:szCs w:val="11"/>
                <w:color w:val="auto"/>
              </w:rPr>
            </w:pPr>
          </w:p>
        </w:tc>
        <w:tc>
          <w:tcPr>
            <w:tcW w:w="440" w:type="dxa"/>
            <w:vAlign w:val="bottom"/>
            <w:shd w:val="clear" w:color="auto" w:fill="C0F3F6"/>
          </w:tcPr>
          <w:p>
            <w:pPr>
              <w:spacing w:after="0"/>
              <w:rPr>
                <w:sz w:val="11"/>
                <w:szCs w:val="11"/>
                <w:color w:val="auto"/>
              </w:rPr>
            </w:pPr>
          </w:p>
        </w:tc>
        <w:tc>
          <w:tcPr>
            <w:tcW w:w="420" w:type="dxa"/>
            <w:vAlign w:val="bottom"/>
            <w:shd w:val="clear" w:color="auto" w:fill="C0F3F6"/>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800" w:type="dxa"/>
            <w:vAlign w:val="bottom"/>
            <w:shd w:val="clear" w:color="auto" w:fill="C0F3F6"/>
          </w:tcPr>
          <w:p>
            <w:pPr>
              <w:ind w:left="320"/>
              <w:spacing w:after="0" w:line="159" w:lineRule="exact"/>
              <w:rPr>
                <w:sz w:val="20"/>
                <w:szCs w:val="20"/>
                <w:color w:val="auto"/>
              </w:rPr>
            </w:pPr>
            <w:r>
              <w:rPr>
                <w:rFonts w:ascii="Arial" w:cs="Arial" w:eastAsia="Arial" w:hAnsi="Arial"/>
                <w:sz w:val="14"/>
                <w:szCs w:val="14"/>
                <w:color w:val="auto"/>
              </w:rPr>
              <w:t>stockholders</w:t>
            </w:r>
          </w:p>
        </w:tc>
        <w:tc>
          <w:tcPr>
            <w:tcW w:w="240" w:type="dxa"/>
            <w:vAlign w:val="bottom"/>
            <w:shd w:val="clear" w:color="auto" w:fill="C0F3F6"/>
          </w:tcPr>
          <w:p>
            <w:pPr>
              <w:spacing w:after="0"/>
              <w:rPr>
                <w:sz w:val="13"/>
                <w:szCs w:val="13"/>
                <w:color w:val="auto"/>
              </w:rPr>
            </w:pPr>
          </w:p>
        </w:tc>
        <w:tc>
          <w:tcPr>
            <w:tcW w:w="1880" w:type="dxa"/>
            <w:vAlign w:val="bottom"/>
            <w:gridSpan w:val="2"/>
            <w:shd w:val="clear" w:color="auto" w:fill="C0F3F6"/>
          </w:tcPr>
          <w:p>
            <w:pPr>
              <w:jc w:val="right"/>
              <w:ind w:right="660"/>
              <w:spacing w:after="0" w:line="159" w:lineRule="exact"/>
              <w:rPr>
                <w:sz w:val="20"/>
                <w:szCs w:val="20"/>
                <w:color w:val="auto"/>
              </w:rPr>
            </w:pPr>
            <w:r>
              <w:rPr>
                <w:rFonts w:ascii="Arial" w:cs="Arial" w:eastAsia="Arial" w:hAnsi="Arial"/>
                <w:sz w:val="14"/>
                <w:szCs w:val="14"/>
                <w:color w:val="auto"/>
              </w:rPr>
              <w:t>0.93</w:t>
            </w:r>
          </w:p>
        </w:tc>
        <w:tc>
          <w:tcPr>
            <w:tcW w:w="240" w:type="dxa"/>
            <w:vAlign w:val="bottom"/>
            <w:shd w:val="clear" w:color="auto" w:fill="C0F3F6"/>
          </w:tcPr>
          <w:p>
            <w:pPr>
              <w:spacing w:after="0"/>
              <w:rPr>
                <w:sz w:val="13"/>
                <w:szCs w:val="13"/>
                <w:color w:val="auto"/>
              </w:rPr>
            </w:pPr>
          </w:p>
        </w:tc>
        <w:tc>
          <w:tcPr>
            <w:tcW w:w="1780" w:type="dxa"/>
            <w:vAlign w:val="bottom"/>
            <w:gridSpan w:val="2"/>
            <w:shd w:val="clear" w:color="auto" w:fill="C0F3F6"/>
          </w:tcPr>
          <w:p>
            <w:pPr>
              <w:jc w:val="right"/>
              <w:ind w:right="620"/>
              <w:spacing w:after="0" w:line="159" w:lineRule="exact"/>
              <w:rPr>
                <w:sz w:val="20"/>
                <w:szCs w:val="20"/>
                <w:color w:val="auto"/>
              </w:rPr>
            </w:pPr>
            <w:r>
              <w:rPr>
                <w:rFonts w:ascii="Arial" w:cs="Arial" w:eastAsia="Arial" w:hAnsi="Arial"/>
                <w:sz w:val="14"/>
                <w:szCs w:val="14"/>
                <w:color w:val="auto"/>
              </w:rPr>
              <w:t>(0.25)</w:t>
            </w:r>
          </w:p>
        </w:tc>
        <w:tc>
          <w:tcPr>
            <w:tcW w:w="280" w:type="dxa"/>
            <w:vAlign w:val="bottom"/>
            <w:shd w:val="clear" w:color="auto" w:fill="C0F3F6"/>
          </w:tcPr>
          <w:p>
            <w:pPr>
              <w:spacing w:after="0"/>
              <w:rPr>
                <w:sz w:val="13"/>
                <w:szCs w:val="13"/>
                <w:color w:val="auto"/>
              </w:rPr>
            </w:pPr>
          </w:p>
        </w:tc>
        <w:tc>
          <w:tcPr>
            <w:tcW w:w="1700" w:type="dxa"/>
            <w:vAlign w:val="bottom"/>
            <w:gridSpan w:val="3"/>
            <w:shd w:val="clear" w:color="auto" w:fill="C0F3F6"/>
          </w:tcPr>
          <w:p>
            <w:pPr>
              <w:jc w:val="right"/>
              <w:ind w:right="420"/>
              <w:spacing w:after="0" w:line="159" w:lineRule="exact"/>
              <w:rPr>
                <w:sz w:val="20"/>
                <w:szCs w:val="20"/>
                <w:color w:val="auto"/>
              </w:rPr>
            </w:pPr>
            <w:r>
              <w:rPr>
                <w:rFonts w:ascii="Arial" w:cs="Arial" w:eastAsia="Arial" w:hAnsi="Arial"/>
                <w:sz w:val="14"/>
                <w:szCs w:val="14"/>
                <w:color w:val="auto"/>
              </w:rPr>
              <w:t>0.67</w:t>
            </w:r>
          </w:p>
        </w:tc>
      </w:tr>
      <w:tr>
        <w:trPr>
          <w:trHeight w:val="138"/>
        </w:trPr>
        <w:tc>
          <w:tcPr>
            <w:tcW w:w="80" w:type="dxa"/>
            <w:vAlign w:val="bottom"/>
          </w:tcPr>
          <w:p>
            <w:pPr>
              <w:spacing w:after="0"/>
              <w:rPr>
                <w:sz w:val="11"/>
                <w:szCs w:val="11"/>
                <w:color w:val="auto"/>
              </w:rPr>
            </w:pPr>
          </w:p>
        </w:tc>
        <w:tc>
          <w:tcPr>
            <w:tcW w:w="2800" w:type="dxa"/>
            <w:vAlign w:val="bottom"/>
          </w:tcPr>
          <w:p>
            <w:pPr>
              <w:ind w:left="260"/>
              <w:spacing w:after="0" w:line="138" w:lineRule="exact"/>
              <w:rPr>
                <w:sz w:val="20"/>
                <w:szCs w:val="20"/>
                <w:color w:val="auto"/>
              </w:rPr>
            </w:pPr>
            <w:r>
              <w:rPr>
                <w:rFonts w:ascii="Arial" w:cs="Arial" w:eastAsia="Arial" w:hAnsi="Arial"/>
                <w:sz w:val="14"/>
                <w:szCs w:val="14"/>
                <w:color w:val="auto"/>
                <w:w w:val="91"/>
              </w:rPr>
              <w:t>Weighted-average number of shares used in</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2800" w:type="dxa"/>
            <w:vAlign w:val="bottom"/>
          </w:tcPr>
          <w:p>
            <w:pPr>
              <w:ind w:left="320"/>
              <w:spacing w:after="0" w:line="159" w:lineRule="exact"/>
              <w:rPr>
                <w:sz w:val="20"/>
                <w:szCs w:val="20"/>
                <w:color w:val="auto"/>
              </w:rPr>
            </w:pPr>
            <w:r>
              <w:rPr>
                <w:rFonts w:ascii="Arial" w:cs="Arial" w:eastAsia="Arial" w:hAnsi="Arial"/>
                <w:sz w:val="14"/>
                <w:szCs w:val="14"/>
                <w:color w:val="auto"/>
              </w:rPr>
              <w:t>computing earnings per share:</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2800" w:type="dxa"/>
            <w:vAlign w:val="bottom"/>
            <w:shd w:val="clear" w:color="auto" w:fill="C0F3F6"/>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0F3F6"/>
          </w:tcPr>
          <w:p>
            <w:pPr>
              <w:spacing w:after="0"/>
              <w:rPr>
                <w:sz w:val="21"/>
                <w:szCs w:val="21"/>
                <w:color w:val="auto"/>
              </w:rPr>
            </w:pPr>
          </w:p>
        </w:tc>
        <w:tc>
          <w:tcPr>
            <w:tcW w:w="1880" w:type="dxa"/>
            <w:vAlign w:val="bottom"/>
            <w:gridSpan w:val="2"/>
            <w:shd w:val="clear" w:color="auto" w:fill="C0F3F6"/>
          </w:tcPr>
          <w:p>
            <w:pPr>
              <w:jc w:val="right"/>
              <w:ind w:right="660"/>
              <w:spacing w:after="0"/>
              <w:rPr>
                <w:sz w:val="20"/>
                <w:szCs w:val="20"/>
                <w:color w:val="auto"/>
              </w:rPr>
            </w:pPr>
            <w:r>
              <w:rPr>
                <w:rFonts w:ascii="Arial" w:cs="Arial" w:eastAsia="Arial" w:hAnsi="Arial"/>
                <w:sz w:val="14"/>
                <w:szCs w:val="14"/>
                <w:color w:val="auto"/>
              </w:rPr>
              <w:t>28,480,033</w:t>
            </w:r>
          </w:p>
        </w:tc>
        <w:tc>
          <w:tcPr>
            <w:tcW w:w="240" w:type="dxa"/>
            <w:vAlign w:val="bottom"/>
            <w:shd w:val="clear" w:color="auto" w:fill="C0F3F6"/>
          </w:tcPr>
          <w:p>
            <w:pPr>
              <w:spacing w:after="0"/>
              <w:rPr>
                <w:sz w:val="21"/>
                <w:szCs w:val="21"/>
                <w:color w:val="auto"/>
              </w:rPr>
            </w:pPr>
          </w:p>
        </w:tc>
        <w:tc>
          <w:tcPr>
            <w:tcW w:w="1780" w:type="dxa"/>
            <w:vAlign w:val="bottom"/>
            <w:gridSpan w:val="2"/>
            <w:shd w:val="clear" w:color="auto" w:fill="C0F3F6"/>
          </w:tcPr>
          <w:p>
            <w:pPr>
              <w:jc w:val="right"/>
              <w:ind w:right="620"/>
              <w:spacing w:after="0"/>
              <w:rPr>
                <w:sz w:val="20"/>
                <w:szCs w:val="20"/>
                <w:color w:val="auto"/>
              </w:rPr>
            </w:pPr>
            <w:r>
              <w:rPr>
                <w:rFonts w:ascii="Arial" w:cs="Arial" w:eastAsia="Arial" w:hAnsi="Arial"/>
                <w:sz w:val="14"/>
                <w:szCs w:val="14"/>
                <w:color w:val="auto"/>
              </w:rPr>
              <w:t>28,480,033</w:t>
            </w:r>
          </w:p>
        </w:tc>
        <w:tc>
          <w:tcPr>
            <w:tcW w:w="280" w:type="dxa"/>
            <w:vAlign w:val="bottom"/>
            <w:shd w:val="clear" w:color="auto" w:fill="C0F3F6"/>
          </w:tcPr>
          <w:p>
            <w:pPr>
              <w:spacing w:after="0"/>
              <w:rPr>
                <w:sz w:val="21"/>
                <w:szCs w:val="21"/>
                <w:color w:val="auto"/>
              </w:rPr>
            </w:pPr>
          </w:p>
        </w:tc>
        <w:tc>
          <w:tcPr>
            <w:tcW w:w="1700" w:type="dxa"/>
            <w:vAlign w:val="bottom"/>
            <w:gridSpan w:val="3"/>
            <w:shd w:val="clear" w:color="auto" w:fill="C0F3F6"/>
          </w:tcPr>
          <w:p>
            <w:pPr>
              <w:jc w:val="right"/>
              <w:ind w:right="420"/>
              <w:spacing w:after="0"/>
              <w:rPr>
                <w:sz w:val="20"/>
                <w:szCs w:val="20"/>
                <w:color w:val="auto"/>
              </w:rPr>
            </w:pPr>
            <w:r>
              <w:rPr>
                <w:rFonts w:ascii="Arial" w:cs="Arial" w:eastAsia="Arial" w:hAnsi="Arial"/>
                <w:sz w:val="14"/>
                <w:szCs w:val="14"/>
                <w:color w:val="auto"/>
              </w:rPr>
              <w:t>28,480,033</w:t>
            </w:r>
          </w:p>
        </w:tc>
      </w:tr>
      <w:tr>
        <w:trPr>
          <w:trHeight w:val="256"/>
        </w:trPr>
        <w:tc>
          <w:tcPr>
            <w:tcW w:w="8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29,191,199</w:t>
            </w:r>
          </w:p>
        </w:tc>
        <w:tc>
          <w:tcPr>
            <w:tcW w:w="240" w:type="dxa"/>
            <w:vAlign w:val="bottom"/>
          </w:tcPr>
          <w:p>
            <w:pPr>
              <w:spacing w:after="0"/>
              <w:rPr>
                <w:sz w:val="22"/>
                <w:szCs w:val="22"/>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color w:val="auto"/>
              </w:rPr>
              <w:t>29,191,199</w:t>
            </w:r>
          </w:p>
        </w:tc>
        <w:tc>
          <w:tcPr>
            <w:tcW w:w="280" w:type="dxa"/>
            <w:vAlign w:val="bottom"/>
          </w:tcPr>
          <w:p>
            <w:pPr>
              <w:spacing w:after="0"/>
              <w:rPr>
                <w:sz w:val="22"/>
                <w:szCs w:val="22"/>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4"/>
                <w:szCs w:val="14"/>
                <w:color w:val="auto"/>
              </w:rPr>
              <w:t>29,191,199</w:t>
            </w:r>
          </w:p>
        </w:tc>
      </w:tr>
      <w:tr>
        <w:trPr>
          <w:trHeight w:val="497"/>
        </w:trPr>
        <w:tc>
          <w:tcPr>
            <w:tcW w:w="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8" w:name="page9"/>
    <w:bookmarkEnd w:id="8"/>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Unaudited Pro Forma Statement of Operations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Year Ended June 30,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ExlService</w:t>
            </w:r>
          </w:p>
        </w:tc>
        <w:tc>
          <w:tcPr>
            <w:tcW w:w="240" w:type="dxa"/>
            <w:vAlign w:val="bottom"/>
          </w:tcPr>
          <w:p>
            <w:pPr>
              <w:spacing w:after="0"/>
              <w:rPr>
                <w:sz w:val="14"/>
                <w:szCs w:val="14"/>
                <w:color w:val="auto"/>
              </w:rPr>
            </w:pPr>
          </w:p>
        </w:tc>
        <w:tc>
          <w:tcPr>
            <w:tcW w:w="19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Pro Forma</w:t>
            </w:r>
          </w:p>
        </w:tc>
      </w:tr>
      <w:tr>
        <w:trPr>
          <w:trHeight w:val="161"/>
        </w:trPr>
        <w:tc>
          <w:tcPr>
            <w:tcW w:w="80" w:type="dxa"/>
            <w:vAlign w:val="bottom"/>
          </w:tcPr>
          <w:p>
            <w:pPr>
              <w:spacing w:after="0"/>
              <w:rPr>
                <w:sz w:val="14"/>
                <w:szCs w:val="14"/>
                <w:color w:val="auto"/>
              </w:rPr>
            </w:pPr>
          </w:p>
        </w:tc>
        <w:tc>
          <w:tcPr>
            <w:tcW w:w="334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6"/>
              </w:rPr>
              <w:t>Holdings Inc.</w:t>
            </w:r>
          </w:p>
        </w:tc>
        <w:tc>
          <w:tcPr>
            <w:tcW w:w="800" w:type="dxa"/>
            <w:vAlign w:val="bottom"/>
            <w:tcBorders>
              <w:bottom w:val="single" w:sz="8" w:color="C0F3F6"/>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4"/>
              </w:rPr>
              <w:t>Adjustments</w:t>
            </w:r>
          </w:p>
        </w:tc>
        <w:tc>
          <w:tcPr>
            <w:tcW w:w="800" w:type="dxa"/>
            <w:vAlign w:val="bottom"/>
            <w:tcBorders>
              <w:bottom w:val="single" w:sz="8" w:color="C0F3F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Consolidated</w:t>
            </w:r>
          </w:p>
        </w:tc>
        <w:tc>
          <w:tcPr>
            <w:tcW w:w="280" w:type="dxa"/>
            <w:vAlign w:val="bottom"/>
            <w:tcBorders>
              <w:bottom w:val="single" w:sz="8" w:color="C0F3F6"/>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3340" w:type="dxa"/>
            <w:vAlign w:val="bottom"/>
            <w:shd w:val="clear" w:color="auto" w:fill="C0F3F6"/>
          </w:tcPr>
          <w:p>
            <w:pPr>
              <w:ind w:left="220"/>
              <w:spacing w:after="0"/>
              <w:rPr>
                <w:sz w:val="20"/>
                <w:szCs w:val="20"/>
                <w:color w:val="auto"/>
              </w:rPr>
            </w:pPr>
            <w:r>
              <w:rPr>
                <w:rFonts w:ascii="Arial" w:cs="Arial" w:eastAsia="Arial" w:hAnsi="Arial"/>
                <w:sz w:val="14"/>
                <w:szCs w:val="14"/>
                <w:color w:val="auto"/>
              </w:rPr>
              <w:t>Revenues (a)</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104,764,425</w:t>
            </w:r>
          </w:p>
        </w:tc>
        <w:tc>
          <w:tcPr>
            <w:tcW w:w="240" w:type="dxa"/>
            <w:vAlign w:val="bottom"/>
            <w:shd w:val="clear" w:color="auto" w:fill="C0F3F6"/>
          </w:tcPr>
          <w:p>
            <w:pPr>
              <w:jc w:val="right"/>
              <w:ind w:right="12"/>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(13,317,932)</w:t>
            </w:r>
          </w:p>
        </w:tc>
        <w:tc>
          <w:tcPr>
            <w:tcW w:w="300" w:type="dxa"/>
            <w:vAlign w:val="bottom"/>
            <w:shd w:val="clear" w:color="auto" w:fill="C0F3F6"/>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91,446,493</w:t>
            </w:r>
          </w:p>
        </w:tc>
      </w:tr>
      <w:tr>
        <w:trPr>
          <w:trHeight w:val="138"/>
        </w:trPr>
        <w:tc>
          <w:tcPr>
            <w:tcW w:w="80" w:type="dxa"/>
            <w:vAlign w:val="bottom"/>
          </w:tcPr>
          <w:p>
            <w:pPr>
              <w:spacing w:after="0"/>
              <w:rPr>
                <w:sz w:val="11"/>
                <w:szCs w:val="11"/>
                <w:color w:val="auto"/>
              </w:rPr>
            </w:pPr>
          </w:p>
        </w:tc>
        <w:tc>
          <w:tcPr>
            <w:tcW w:w="3340" w:type="dxa"/>
            <w:vAlign w:val="bottom"/>
          </w:tcPr>
          <w:p>
            <w:pPr>
              <w:ind w:left="220"/>
              <w:spacing w:after="0" w:line="138" w:lineRule="exact"/>
              <w:rPr>
                <w:sz w:val="20"/>
                <w:szCs w:val="20"/>
                <w:color w:val="auto"/>
              </w:rPr>
            </w:pPr>
            <w:r>
              <w:rPr>
                <w:rFonts w:ascii="Arial" w:cs="Arial" w:eastAsia="Arial" w:hAnsi="Arial"/>
                <w:sz w:val="14"/>
                <w:szCs w:val="14"/>
                <w:color w:val="auto"/>
              </w:rPr>
              <w:t>Cost of revenues (exclusive of depreciation and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340" w:type="dxa"/>
            <w:vAlign w:val="bottom"/>
          </w:tcPr>
          <w:p>
            <w:pPr>
              <w:ind w:left="320"/>
              <w:spacing w:after="0" w:line="159" w:lineRule="exact"/>
              <w:rPr>
                <w:sz w:val="20"/>
                <w:szCs w:val="20"/>
                <w:color w:val="auto"/>
              </w:rPr>
            </w:pPr>
            <w:r>
              <w:rPr>
                <w:rFonts w:ascii="Arial" w:cs="Arial" w:eastAsia="Arial" w:hAnsi="Arial"/>
                <w:sz w:val="14"/>
                <w:szCs w:val="14"/>
                <w:color w:val="auto"/>
              </w:rPr>
              <w:t>amortization) (b)</w:t>
            </w:r>
          </w:p>
        </w:tc>
        <w:tc>
          <w:tcPr>
            <w:tcW w:w="240" w:type="dxa"/>
            <w:vAlign w:val="bottom"/>
          </w:tcPr>
          <w:p>
            <w:pPr>
              <w:spacing w:after="0"/>
              <w:rPr>
                <w:sz w:val="13"/>
                <w:szCs w:val="13"/>
                <w:color w:val="auto"/>
              </w:rPr>
            </w:pPr>
          </w:p>
        </w:tc>
        <w:tc>
          <w:tcPr>
            <w:tcW w:w="2000" w:type="dxa"/>
            <w:vAlign w:val="bottom"/>
            <w:gridSpan w:val="2"/>
          </w:tcPr>
          <w:p>
            <w:pPr>
              <w:jc w:val="right"/>
              <w:ind w:right="780"/>
              <w:spacing w:after="0" w:line="159" w:lineRule="exact"/>
              <w:rPr>
                <w:sz w:val="20"/>
                <w:szCs w:val="20"/>
                <w:color w:val="auto"/>
              </w:rPr>
            </w:pPr>
            <w:r>
              <w:rPr>
                <w:rFonts w:ascii="Arial" w:cs="Arial" w:eastAsia="Arial" w:hAnsi="Arial"/>
                <w:sz w:val="14"/>
                <w:szCs w:val="14"/>
                <w:color w:val="auto"/>
              </w:rPr>
              <w:t>66,276,768</w:t>
            </w:r>
          </w:p>
        </w:tc>
        <w:tc>
          <w:tcPr>
            <w:tcW w:w="240" w:type="dxa"/>
            <w:vAlign w:val="bottom"/>
          </w:tcPr>
          <w:p>
            <w:pPr>
              <w:spacing w:after="0"/>
              <w:rPr>
                <w:sz w:val="13"/>
                <w:szCs w:val="13"/>
                <w:color w:val="auto"/>
              </w:rPr>
            </w:pPr>
          </w:p>
        </w:tc>
        <w:tc>
          <w:tcPr>
            <w:tcW w:w="194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rPr>
              <w:t>(7,420,497)</w:t>
            </w:r>
          </w:p>
        </w:tc>
        <w:tc>
          <w:tcPr>
            <w:tcW w:w="300" w:type="dxa"/>
            <w:vAlign w:val="bottom"/>
          </w:tcPr>
          <w:p>
            <w:pPr>
              <w:spacing w:after="0"/>
              <w:rPr>
                <w:sz w:val="13"/>
                <w:szCs w:val="13"/>
                <w:color w:val="auto"/>
              </w:rPr>
            </w:pPr>
          </w:p>
        </w:tc>
        <w:tc>
          <w:tcPr>
            <w:tcW w:w="13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58,856,271</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00" w:type="dxa"/>
            <w:vAlign w:val="bottom"/>
            <w:shd w:val="clear" w:color="auto" w:fill="C0F3F6"/>
          </w:tcPr>
          <w:p>
            <w:pPr>
              <w:spacing w:after="0"/>
              <w:rPr>
                <w:sz w:val="21"/>
                <w:szCs w:val="21"/>
                <w:color w:val="auto"/>
              </w:rPr>
            </w:pPr>
          </w:p>
        </w:tc>
        <w:tc>
          <w:tcPr>
            <w:tcW w:w="10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38,487,657</w:t>
            </w:r>
          </w:p>
        </w:tc>
        <w:tc>
          <w:tcPr>
            <w:tcW w:w="240" w:type="dxa"/>
            <w:vAlign w:val="bottom"/>
          </w:tcPr>
          <w:p>
            <w:pPr>
              <w:spacing w:after="0"/>
              <w:rPr>
                <w:sz w:val="21"/>
                <w:szCs w:val="21"/>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color w:val="auto"/>
              </w:rPr>
              <w:t>(5,897,435)</w:t>
            </w:r>
          </w:p>
        </w:tc>
        <w:tc>
          <w:tcPr>
            <w:tcW w:w="30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32,590,222</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00" w:type="dxa"/>
            <w:vAlign w:val="bottom"/>
            <w:shd w:val="clear" w:color="auto" w:fill="C0F3F6"/>
          </w:tcPr>
          <w:p>
            <w:pPr>
              <w:spacing w:after="0"/>
              <w:rPr>
                <w:sz w:val="21"/>
                <w:szCs w:val="21"/>
                <w:color w:val="auto"/>
              </w:rPr>
            </w:pPr>
          </w:p>
        </w:tc>
        <w:tc>
          <w:tcPr>
            <w:tcW w:w="10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540"/>
              <w:spacing w:after="0"/>
              <w:rPr>
                <w:sz w:val="20"/>
                <w:szCs w:val="20"/>
                <w:color w:val="auto"/>
              </w:rPr>
            </w:pPr>
            <w:r>
              <w:rPr>
                <w:rFonts w:ascii="Arial" w:cs="Arial" w:eastAsia="Arial" w:hAnsi="Arial"/>
                <w:sz w:val="14"/>
                <w:szCs w:val="14"/>
                <w:color w:val="auto"/>
              </w:rPr>
              <w:t>General and administrative expenses (c)</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17,064,858</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(1,174,373)</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15,890,485</w:t>
            </w:r>
          </w:p>
        </w:tc>
      </w:tr>
      <w:tr>
        <w:trPr>
          <w:trHeight w:val="243"/>
        </w:trPr>
        <w:tc>
          <w:tcPr>
            <w:tcW w:w="80" w:type="dxa"/>
            <w:vAlign w:val="bottom"/>
          </w:tcPr>
          <w:p>
            <w:pPr>
              <w:spacing w:after="0"/>
              <w:rPr>
                <w:sz w:val="21"/>
                <w:szCs w:val="21"/>
                <w:color w:val="auto"/>
              </w:rPr>
            </w:pPr>
          </w:p>
        </w:tc>
        <w:tc>
          <w:tcPr>
            <w:tcW w:w="3340" w:type="dxa"/>
            <w:vAlign w:val="bottom"/>
          </w:tcPr>
          <w:p>
            <w:pPr>
              <w:ind w:left="540"/>
              <w:spacing w:after="0"/>
              <w:rPr>
                <w:sz w:val="20"/>
                <w:szCs w:val="20"/>
                <w:color w:val="auto"/>
              </w:rPr>
            </w:pPr>
            <w:r>
              <w:rPr>
                <w:rFonts w:ascii="Arial" w:cs="Arial" w:eastAsia="Arial" w:hAnsi="Arial"/>
                <w:sz w:val="14"/>
                <w:szCs w:val="14"/>
                <w:color w:val="auto"/>
              </w:rPr>
              <w:t>Selling and marketing expenses</w:t>
            </w:r>
          </w:p>
        </w:tc>
        <w:tc>
          <w:tcPr>
            <w:tcW w:w="240" w:type="dxa"/>
            <w:vAlign w:val="bottom"/>
          </w:tcPr>
          <w:p>
            <w:pPr>
              <w:spacing w:after="0"/>
              <w:rPr>
                <w:sz w:val="21"/>
                <w:szCs w:val="21"/>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5,284,817</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5,284,817</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5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5,836,197</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(367,025)</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5,469,172</w:t>
            </w:r>
          </w:p>
        </w:tc>
      </w:tr>
      <w:tr>
        <w:trPr>
          <w:trHeight w:val="243"/>
        </w:trPr>
        <w:tc>
          <w:tcPr>
            <w:tcW w:w="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26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28,185,872</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(1,541,398)</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26,644,474</w:t>
            </w:r>
          </w:p>
        </w:tc>
      </w:tr>
      <w:tr>
        <w:trPr>
          <w:trHeight w:val="243"/>
        </w:trPr>
        <w:tc>
          <w:tcPr>
            <w:tcW w:w="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10,301,785</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(4,356,037)</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5,945,748</w:t>
            </w: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rPr>
              <w:t>Other income/(expense):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540"/>
              <w:spacing w:after="0"/>
              <w:rPr>
                <w:sz w:val="20"/>
                <w:szCs w:val="20"/>
                <w:color w:val="auto"/>
              </w:rPr>
            </w:pPr>
            <w:r>
              <w:rPr>
                <w:rFonts w:ascii="Arial" w:cs="Arial" w:eastAsia="Arial" w:hAnsi="Arial"/>
                <w:sz w:val="14"/>
                <w:szCs w:val="14"/>
                <w:color w:val="auto"/>
              </w:rPr>
              <w:t>Foreign exchange gain/(loss)</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1,673,227</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(883,721)</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789,506</w:t>
            </w:r>
          </w:p>
        </w:tc>
      </w:tr>
      <w:tr>
        <w:trPr>
          <w:trHeight w:val="297"/>
        </w:trPr>
        <w:tc>
          <w:tcPr>
            <w:tcW w:w="8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24"/>
                <w:szCs w:val="24"/>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1,191,924</w:t>
            </w:r>
          </w:p>
        </w:tc>
        <w:tc>
          <w:tcPr>
            <w:tcW w:w="240" w:type="dxa"/>
            <w:vAlign w:val="bottom"/>
          </w:tcPr>
          <w:p>
            <w:pPr>
              <w:spacing w:after="0"/>
              <w:rPr>
                <w:sz w:val="24"/>
                <w:szCs w:val="24"/>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color w:val="auto"/>
              </w:rPr>
              <w:t>(13,688)</w:t>
            </w:r>
          </w:p>
        </w:tc>
        <w:tc>
          <w:tcPr>
            <w:tcW w:w="30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1,178,236</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5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40"/>
              <w:spacing w:after="0"/>
              <w:rPr>
                <w:sz w:val="20"/>
                <w:szCs w:val="20"/>
                <w:color w:val="auto"/>
              </w:rPr>
            </w:pPr>
            <w:r>
              <w:rPr>
                <w:rFonts w:ascii="Arial" w:cs="Arial" w:eastAsia="Arial" w:hAnsi="Arial"/>
                <w:sz w:val="14"/>
                <w:szCs w:val="14"/>
                <w:color w:val="auto"/>
              </w:rPr>
              <w:t>(41,931)</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800"/>
              <w:spacing w:after="0"/>
              <w:rPr>
                <w:sz w:val="20"/>
                <w:szCs w:val="20"/>
                <w:color w:val="auto"/>
              </w:rPr>
            </w:pPr>
            <w:r>
              <w:rPr>
                <w:rFonts w:ascii="Arial" w:cs="Arial" w:eastAsia="Arial" w:hAnsi="Arial"/>
                <w:sz w:val="14"/>
                <w:szCs w:val="14"/>
                <w:color w:val="auto"/>
              </w:rPr>
              <w:t>113</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40"/>
              <w:spacing w:after="0"/>
              <w:rPr>
                <w:sz w:val="20"/>
                <w:szCs w:val="20"/>
                <w:color w:val="auto"/>
              </w:rPr>
            </w:pPr>
            <w:r>
              <w:rPr>
                <w:rFonts w:ascii="Arial" w:cs="Arial" w:eastAsia="Arial" w:hAnsi="Arial"/>
                <w:sz w:val="14"/>
                <w:szCs w:val="14"/>
                <w:color w:val="auto"/>
              </w:rPr>
              <w:t>(41,818)</w:t>
            </w:r>
          </w:p>
        </w:tc>
      </w:tr>
      <w:tr>
        <w:trPr>
          <w:trHeight w:val="243"/>
        </w:trPr>
        <w:tc>
          <w:tcPr>
            <w:tcW w:w="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26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13,125,005</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760"/>
              <w:spacing w:after="0"/>
              <w:rPr>
                <w:sz w:val="20"/>
                <w:szCs w:val="20"/>
                <w:color w:val="auto"/>
              </w:rPr>
            </w:pPr>
            <w:r>
              <w:rPr>
                <w:rFonts w:ascii="Arial" w:cs="Arial" w:eastAsia="Arial" w:hAnsi="Arial"/>
                <w:sz w:val="14"/>
                <w:szCs w:val="14"/>
                <w:color w:val="auto"/>
              </w:rPr>
              <w:t>(5,253,333)</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7,871,672</w:t>
            </w: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rPr>
              <w:t>Income tax provision (d)</w:t>
            </w:r>
          </w:p>
        </w:tc>
        <w:tc>
          <w:tcPr>
            <w:tcW w:w="240" w:type="dxa"/>
            <w:vAlign w:val="bottom"/>
          </w:tcPr>
          <w:p>
            <w:pPr>
              <w:spacing w:after="0"/>
              <w:rPr>
                <w:sz w:val="21"/>
                <w:szCs w:val="21"/>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1,061,121</w:t>
            </w:r>
          </w:p>
        </w:tc>
        <w:tc>
          <w:tcPr>
            <w:tcW w:w="240" w:type="dxa"/>
            <w:vAlign w:val="bottom"/>
          </w:tcPr>
          <w:p>
            <w:pPr>
              <w:spacing w:after="0"/>
              <w:rPr>
                <w:sz w:val="21"/>
                <w:szCs w:val="21"/>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color w:val="auto"/>
              </w:rPr>
              <w:t>(1,418,376)</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(357,255)</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00" w:type="dxa"/>
            <w:vAlign w:val="bottom"/>
            <w:shd w:val="clear" w:color="auto" w:fill="C0F3F6"/>
          </w:tcPr>
          <w:p>
            <w:pPr>
              <w:spacing w:after="0"/>
              <w:rPr>
                <w:sz w:val="21"/>
                <w:szCs w:val="21"/>
                <w:color w:val="auto"/>
              </w:rPr>
            </w:pPr>
          </w:p>
        </w:tc>
        <w:tc>
          <w:tcPr>
            <w:tcW w:w="10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rPr>
              <w:t>Net income to common stockholders</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12,063,884</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760"/>
              <w:spacing w:after="0"/>
              <w:rPr>
                <w:sz w:val="20"/>
                <w:szCs w:val="20"/>
                <w:color w:val="auto"/>
              </w:rPr>
            </w:pPr>
            <w:r>
              <w:rPr>
                <w:rFonts w:ascii="Arial" w:cs="Arial" w:eastAsia="Arial" w:hAnsi="Arial"/>
                <w:sz w:val="14"/>
                <w:szCs w:val="14"/>
                <w:color w:val="auto"/>
              </w:rPr>
              <w:t>(3,834,957)</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8,228,927</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20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240" w:type="dxa"/>
            <w:vAlign w:val="bottom"/>
            <w:shd w:val="clear" w:color="auto" w:fill="C0F3F6"/>
          </w:tcPr>
          <w:p>
            <w:pPr>
              <w:spacing w:after="0"/>
              <w:rPr>
                <w:sz w:val="21"/>
                <w:szCs w:val="21"/>
                <w:color w:val="auto"/>
              </w:rPr>
            </w:pPr>
          </w:p>
        </w:tc>
        <w:tc>
          <w:tcPr>
            <w:tcW w:w="1140" w:type="dxa"/>
            <w:vAlign w:val="bottom"/>
            <w:shd w:val="clear" w:color="auto" w:fill="C0F3F6"/>
          </w:tcPr>
          <w:p>
            <w:pPr>
              <w:spacing w:after="0"/>
              <w:rPr>
                <w:sz w:val="21"/>
                <w:szCs w:val="21"/>
                <w:color w:val="auto"/>
              </w:rPr>
            </w:pPr>
          </w:p>
        </w:tc>
        <w:tc>
          <w:tcPr>
            <w:tcW w:w="800" w:type="dxa"/>
            <w:vAlign w:val="bottom"/>
            <w:shd w:val="clear" w:color="auto" w:fill="C0F3F6"/>
          </w:tcPr>
          <w:p>
            <w:pPr>
              <w:spacing w:after="0"/>
              <w:rPr>
                <w:sz w:val="21"/>
                <w:szCs w:val="21"/>
                <w:color w:val="auto"/>
              </w:rPr>
            </w:pPr>
          </w:p>
        </w:tc>
        <w:tc>
          <w:tcPr>
            <w:tcW w:w="300" w:type="dxa"/>
            <w:vAlign w:val="bottom"/>
            <w:shd w:val="clear" w:color="auto" w:fill="C0F3F6"/>
          </w:tcPr>
          <w:p>
            <w:pPr>
              <w:spacing w:after="0"/>
              <w:rPr>
                <w:sz w:val="21"/>
                <w:szCs w:val="21"/>
                <w:color w:val="auto"/>
              </w:rPr>
            </w:pPr>
          </w:p>
        </w:tc>
        <w:tc>
          <w:tcPr>
            <w:tcW w:w="1080" w:type="dxa"/>
            <w:vAlign w:val="bottom"/>
            <w:shd w:val="clear" w:color="auto" w:fill="C0F3F6"/>
          </w:tcPr>
          <w:p>
            <w:pPr>
              <w:spacing w:after="0"/>
              <w:rPr>
                <w:sz w:val="21"/>
                <w:szCs w:val="21"/>
                <w:color w:val="auto"/>
              </w:rPr>
            </w:pPr>
          </w:p>
        </w:tc>
        <w:tc>
          <w:tcPr>
            <w:tcW w:w="280" w:type="dxa"/>
            <w:vAlign w:val="bottom"/>
            <w:shd w:val="clear" w:color="auto" w:fill="C0F3F6"/>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4"/>
                <w:szCs w:val="14"/>
                <w:color w:val="auto"/>
                <w:w w:val="98"/>
              </w:rPr>
              <w:t>Basic earnings per share to common stockholders</w:t>
            </w:r>
          </w:p>
        </w:tc>
        <w:tc>
          <w:tcPr>
            <w:tcW w:w="240" w:type="dxa"/>
            <w:vAlign w:val="bottom"/>
          </w:tcPr>
          <w:p>
            <w:pPr>
              <w:spacing w:after="0"/>
              <w:rPr>
                <w:sz w:val="21"/>
                <w:szCs w:val="21"/>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0.42</w:t>
            </w:r>
          </w:p>
        </w:tc>
        <w:tc>
          <w:tcPr>
            <w:tcW w:w="240" w:type="dxa"/>
            <w:vAlign w:val="bottom"/>
          </w:tcPr>
          <w:p>
            <w:pPr>
              <w:spacing w:after="0"/>
              <w:rPr>
                <w:sz w:val="21"/>
                <w:szCs w:val="21"/>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4"/>
                <w:szCs w:val="14"/>
                <w:color w:val="auto"/>
              </w:rPr>
              <w:t>(0.13)</w:t>
            </w:r>
          </w:p>
        </w:tc>
        <w:tc>
          <w:tcPr>
            <w:tcW w:w="30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0.29</w:t>
            </w: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260"/>
              <w:spacing w:after="0"/>
              <w:rPr>
                <w:sz w:val="20"/>
                <w:szCs w:val="20"/>
                <w:color w:val="auto"/>
              </w:rPr>
            </w:pPr>
            <w:r>
              <w:rPr>
                <w:rFonts w:ascii="Arial" w:cs="Arial" w:eastAsia="Arial" w:hAnsi="Arial"/>
                <w:sz w:val="14"/>
                <w:szCs w:val="14"/>
                <w:color w:val="auto"/>
                <w:w w:val="95"/>
              </w:rPr>
              <w:t>Diluted earnings per share to common stockholders</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0.41</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800"/>
              <w:spacing w:after="0"/>
              <w:rPr>
                <w:sz w:val="20"/>
                <w:szCs w:val="20"/>
                <w:color w:val="auto"/>
              </w:rPr>
            </w:pPr>
            <w:r>
              <w:rPr>
                <w:rFonts w:ascii="Arial" w:cs="Arial" w:eastAsia="Arial" w:hAnsi="Arial"/>
                <w:sz w:val="14"/>
                <w:szCs w:val="14"/>
                <w:color w:val="auto"/>
              </w:rPr>
              <w:t>(0.13)</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0.28</w:t>
            </w:r>
          </w:p>
        </w:tc>
      </w:tr>
      <w:tr>
        <w:trPr>
          <w:trHeight w:val="138"/>
        </w:trPr>
        <w:tc>
          <w:tcPr>
            <w:tcW w:w="80" w:type="dxa"/>
            <w:vAlign w:val="bottom"/>
          </w:tcPr>
          <w:p>
            <w:pPr>
              <w:spacing w:after="0"/>
              <w:rPr>
                <w:sz w:val="11"/>
                <w:szCs w:val="11"/>
                <w:color w:val="auto"/>
              </w:rPr>
            </w:pPr>
          </w:p>
        </w:tc>
        <w:tc>
          <w:tcPr>
            <w:tcW w:w="3340" w:type="dxa"/>
            <w:vAlign w:val="bottom"/>
          </w:tcPr>
          <w:p>
            <w:pPr>
              <w:ind w:left="260"/>
              <w:spacing w:after="0" w:line="138" w:lineRule="exact"/>
              <w:rPr>
                <w:sz w:val="20"/>
                <w:szCs w:val="20"/>
                <w:color w:val="auto"/>
              </w:rPr>
            </w:pPr>
            <w:r>
              <w:rPr>
                <w:rFonts w:ascii="Arial" w:cs="Arial" w:eastAsia="Arial" w:hAnsi="Arial"/>
                <w:sz w:val="14"/>
                <w:szCs w:val="14"/>
                <w:color w:val="auto"/>
                <w:w w:val="88"/>
              </w:rPr>
              <w:t>Weighted-average number of shares used in computing</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59"/>
        </w:trPr>
        <w:tc>
          <w:tcPr>
            <w:tcW w:w="80" w:type="dxa"/>
            <w:vAlign w:val="bottom"/>
          </w:tcPr>
          <w:p>
            <w:pPr>
              <w:spacing w:after="0"/>
              <w:rPr>
                <w:sz w:val="13"/>
                <w:szCs w:val="13"/>
                <w:color w:val="auto"/>
              </w:rPr>
            </w:pPr>
          </w:p>
        </w:tc>
        <w:tc>
          <w:tcPr>
            <w:tcW w:w="3340" w:type="dxa"/>
            <w:vAlign w:val="bottom"/>
          </w:tcPr>
          <w:p>
            <w:pPr>
              <w:ind w:left="320"/>
              <w:spacing w:after="0" w:line="159" w:lineRule="exact"/>
              <w:rPr>
                <w:sz w:val="20"/>
                <w:szCs w:val="20"/>
                <w:color w:val="auto"/>
              </w:rPr>
            </w:pPr>
            <w:r>
              <w:rPr>
                <w:rFonts w:ascii="Arial" w:cs="Arial" w:eastAsia="Arial" w:hAnsi="Arial"/>
                <w:sz w:val="14"/>
                <w:szCs w:val="14"/>
                <w:color w:val="auto"/>
              </w:rPr>
              <w:t>earnings per share:</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43"/>
        </w:trPr>
        <w:tc>
          <w:tcPr>
            <w:tcW w:w="80" w:type="dxa"/>
            <w:vAlign w:val="bottom"/>
          </w:tcPr>
          <w:p>
            <w:pPr>
              <w:spacing w:after="0"/>
              <w:rPr>
                <w:sz w:val="21"/>
                <w:szCs w:val="21"/>
                <w:color w:val="auto"/>
              </w:rPr>
            </w:pPr>
          </w:p>
        </w:tc>
        <w:tc>
          <w:tcPr>
            <w:tcW w:w="3340" w:type="dxa"/>
            <w:vAlign w:val="bottom"/>
            <w:shd w:val="clear" w:color="auto" w:fill="C0F3F6"/>
          </w:tcPr>
          <w:p>
            <w:pPr>
              <w:ind w:left="54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0F3F6"/>
          </w:tcPr>
          <w:p>
            <w:pPr>
              <w:spacing w:after="0"/>
              <w:rPr>
                <w:sz w:val="21"/>
                <w:szCs w:val="21"/>
                <w:color w:val="auto"/>
              </w:rPr>
            </w:pPr>
          </w:p>
        </w:tc>
        <w:tc>
          <w:tcPr>
            <w:tcW w:w="2000" w:type="dxa"/>
            <w:vAlign w:val="bottom"/>
            <w:gridSpan w:val="2"/>
            <w:shd w:val="clear" w:color="auto" w:fill="C0F3F6"/>
          </w:tcPr>
          <w:p>
            <w:pPr>
              <w:jc w:val="right"/>
              <w:ind w:right="780"/>
              <w:spacing w:after="0"/>
              <w:rPr>
                <w:sz w:val="20"/>
                <w:szCs w:val="20"/>
                <w:color w:val="auto"/>
              </w:rPr>
            </w:pPr>
            <w:r>
              <w:rPr>
                <w:rFonts w:ascii="Arial" w:cs="Arial" w:eastAsia="Arial" w:hAnsi="Arial"/>
                <w:sz w:val="14"/>
                <w:szCs w:val="14"/>
                <w:color w:val="auto"/>
              </w:rPr>
              <w:t>28,778,337</w:t>
            </w:r>
          </w:p>
        </w:tc>
        <w:tc>
          <w:tcPr>
            <w:tcW w:w="240" w:type="dxa"/>
            <w:vAlign w:val="bottom"/>
            <w:shd w:val="clear" w:color="auto" w:fill="C0F3F6"/>
          </w:tcPr>
          <w:p>
            <w:pPr>
              <w:spacing w:after="0"/>
              <w:rPr>
                <w:sz w:val="21"/>
                <w:szCs w:val="21"/>
                <w:color w:val="auto"/>
              </w:rPr>
            </w:pPr>
          </w:p>
        </w:tc>
        <w:tc>
          <w:tcPr>
            <w:tcW w:w="1940" w:type="dxa"/>
            <w:vAlign w:val="bottom"/>
            <w:gridSpan w:val="2"/>
            <w:shd w:val="clear" w:color="auto" w:fill="C0F3F6"/>
          </w:tcPr>
          <w:p>
            <w:pPr>
              <w:jc w:val="right"/>
              <w:ind w:right="800"/>
              <w:spacing w:after="0"/>
              <w:rPr>
                <w:sz w:val="20"/>
                <w:szCs w:val="20"/>
                <w:color w:val="auto"/>
              </w:rPr>
            </w:pPr>
            <w:r>
              <w:rPr>
                <w:rFonts w:ascii="Arial" w:cs="Arial" w:eastAsia="Arial" w:hAnsi="Arial"/>
                <w:sz w:val="14"/>
                <w:szCs w:val="14"/>
                <w:color w:val="auto"/>
              </w:rPr>
              <w:t>28,778,337</w:t>
            </w:r>
          </w:p>
        </w:tc>
        <w:tc>
          <w:tcPr>
            <w:tcW w:w="300" w:type="dxa"/>
            <w:vAlign w:val="bottom"/>
            <w:shd w:val="clear" w:color="auto" w:fill="C0F3F6"/>
          </w:tcPr>
          <w:p>
            <w:pPr>
              <w:spacing w:after="0"/>
              <w:rPr>
                <w:sz w:val="21"/>
                <w:szCs w:val="21"/>
                <w:color w:val="auto"/>
              </w:rPr>
            </w:pPr>
          </w:p>
        </w:tc>
        <w:tc>
          <w:tcPr>
            <w:tcW w:w="1360" w:type="dxa"/>
            <w:vAlign w:val="bottom"/>
            <w:gridSpan w:val="2"/>
            <w:shd w:val="clear" w:color="auto" w:fill="C0F3F6"/>
          </w:tcPr>
          <w:p>
            <w:pPr>
              <w:jc w:val="right"/>
              <w:ind w:right="280"/>
              <w:spacing w:after="0"/>
              <w:rPr>
                <w:sz w:val="20"/>
                <w:szCs w:val="20"/>
                <w:color w:val="auto"/>
              </w:rPr>
            </w:pPr>
            <w:r>
              <w:rPr>
                <w:rFonts w:ascii="Arial" w:cs="Arial" w:eastAsia="Arial" w:hAnsi="Arial"/>
                <w:sz w:val="14"/>
                <w:szCs w:val="14"/>
                <w:color w:val="auto"/>
              </w:rPr>
              <w:t>28,778,337</w:t>
            </w:r>
          </w:p>
        </w:tc>
      </w:tr>
      <w:tr>
        <w:trPr>
          <w:trHeight w:val="256"/>
        </w:trPr>
        <w:tc>
          <w:tcPr>
            <w:tcW w:w="80" w:type="dxa"/>
            <w:vAlign w:val="bottom"/>
          </w:tcPr>
          <w:p>
            <w:pPr>
              <w:spacing w:after="0"/>
              <w:rPr>
                <w:sz w:val="22"/>
                <w:szCs w:val="22"/>
                <w:color w:val="auto"/>
              </w:rPr>
            </w:pPr>
          </w:p>
        </w:tc>
        <w:tc>
          <w:tcPr>
            <w:tcW w:w="3340" w:type="dxa"/>
            <w:vAlign w:val="bottom"/>
          </w:tcPr>
          <w:p>
            <w:pPr>
              <w:ind w:left="5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color w:val="auto"/>
              </w:rPr>
              <w:t>29,321,982</w:t>
            </w:r>
          </w:p>
        </w:tc>
        <w:tc>
          <w:tcPr>
            <w:tcW w:w="240" w:type="dxa"/>
            <w:vAlign w:val="bottom"/>
          </w:tcPr>
          <w:p>
            <w:pPr>
              <w:spacing w:after="0"/>
              <w:rPr>
                <w:sz w:val="22"/>
                <w:szCs w:val="22"/>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4"/>
                <w:szCs w:val="14"/>
                <w:color w:val="auto"/>
              </w:rPr>
              <w:t>29,321,982</w:t>
            </w:r>
          </w:p>
        </w:tc>
        <w:tc>
          <w:tcPr>
            <w:tcW w:w="30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29,321,982</w:t>
            </w:r>
          </w:p>
        </w:tc>
      </w:tr>
      <w:tr>
        <w:trPr>
          <w:trHeight w:val="497"/>
        </w:trPr>
        <w:tc>
          <w:tcPr>
            <w:tcW w:w="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b w:val="1"/>
          <w:bCs w:val="1"/>
          <w:color w:val="auto"/>
        </w:rPr>
        <w:t>NOTES TO UNAUDITED PRO FORMA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8" w:lineRule="exact"/>
        <w:rPr>
          <w:sz w:val="20"/>
          <w:szCs w:val="20"/>
          <w:color w:val="auto"/>
        </w:rPr>
      </w:pPr>
    </w:p>
    <w:p>
      <w:pPr>
        <w:jc w:val="both"/>
        <w:ind w:right="2119" w:firstLine="441"/>
        <w:spacing w:after="0" w:line="289" w:lineRule="auto"/>
        <w:rPr>
          <w:sz w:val="20"/>
          <w:szCs w:val="20"/>
          <w:color w:val="auto"/>
        </w:rPr>
      </w:pPr>
      <w:r>
        <w:rPr>
          <w:rFonts w:ascii="Arial" w:cs="Arial" w:eastAsia="Arial" w:hAnsi="Arial"/>
          <w:sz w:val="16"/>
          <w:szCs w:val="16"/>
          <w:color w:val="auto"/>
        </w:rPr>
        <w:t>On August 11, 2008, ExlService Holdings, Inc. (the ‘Company”) completed the disposition of all of the capital shares of Noida Customer Operations Private Limited (“NCOP”), a wholly owned subsidiary of the Company, to Aviva Global Services Singapore Pte Ltd. (“AGSS”). NCOP operated one of the Company’s facilities in Pune, India and provided services exclusively to AGSS. As partial consideration for the shares of NCOP, the Company received approximately $2.1 million on August 11, 2008, representing the net asset value of NCOP, after payment of dividends to the Company, as of February 29, 2008. Final consideration for the shares will be determined at a future date; accordingly, the pro forma consolidated financial statements reflect the disposition of NCOP on the basis of the partial consideration received on August 11, 2008.</w:t>
      </w:r>
    </w:p>
    <w:p>
      <w:pPr>
        <w:spacing w:after="0" w:line="199" w:lineRule="exact"/>
        <w:rPr>
          <w:sz w:val="20"/>
          <w:szCs w:val="20"/>
          <w:color w:val="auto"/>
        </w:rPr>
      </w:pPr>
    </w:p>
    <w:p>
      <w:pPr>
        <w:jc w:val="both"/>
        <w:ind w:right="2099" w:firstLine="52"/>
        <w:spacing w:after="0" w:line="254" w:lineRule="auto"/>
        <w:rPr>
          <w:sz w:val="20"/>
          <w:szCs w:val="20"/>
          <w:color w:val="auto"/>
        </w:rPr>
      </w:pPr>
      <w:r>
        <w:rPr>
          <w:rFonts w:ascii="Arial" w:cs="Arial" w:eastAsia="Arial" w:hAnsi="Arial"/>
          <w:sz w:val="18"/>
          <w:szCs w:val="18"/>
          <w:color w:val="auto"/>
        </w:rPr>
        <w:t>The Pro Forma Consolidated Statements of Operations for all periods presented have been adjusted to exclude costs directly incurred by NCOP and certain specific costs, such as travel, insurance and taxes, directly attributable to NCOP. Accordingly, certain allocable general and administrative expenses related primarily to technology, human resources, finance and facilities support for NCOP as well as corporate sales and marketing and depreciation expenses are not included in the pro forma adjustments included in the Pro Forma Consolidated Statements of Operations.</w:t>
      </w:r>
    </w:p>
    <w:p>
      <w:pPr>
        <w:spacing w:after="0" w:line="200" w:lineRule="exact"/>
        <w:rPr>
          <w:sz w:val="20"/>
          <w:szCs w:val="20"/>
          <w:color w:val="auto"/>
        </w:rPr>
      </w:pPr>
    </w:p>
    <w:p>
      <w:pPr>
        <w:spacing w:after="0" w:line="26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258" w:lineRule="exact"/>
        <w:rPr>
          <w:rFonts w:ascii="Arial" w:cs="Arial" w:eastAsia="Arial" w:hAnsi="Arial"/>
          <w:sz w:val="18"/>
          <w:szCs w:val="18"/>
          <w:b w:val="1"/>
          <w:bCs w:val="1"/>
          <w:color w:val="auto"/>
        </w:rPr>
      </w:pPr>
    </w:p>
    <w:p>
      <w:pPr>
        <w:ind w:left="760" w:hanging="401"/>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Reflects revenues earned by the Company on the work performed by NCOP.</w:t>
      </w:r>
    </w:p>
    <w:p>
      <w:pPr>
        <w:spacing w:after="0" w:line="279" w:lineRule="exact"/>
        <w:rPr>
          <w:rFonts w:ascii="Arial" w:cs="Arial" w:eastAsia="Arial" w:hAnsi="Arial"/>
          <w:sz w:val="18"/>
          <w:szCs w:val="18"/>
          <w:color w:val="auto"/>
        </w:rPr>
      </w:pPr>
    </w:p>
    <w:p>
      <w:pPr>
        <w:ind w:left="720" w:right="1279" w:hanging="361"/>
        <w:spacing w:after="0" w:line="268"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Reflects cost of revenues (exclusive of depreciation and amortization) incurred by NCOP adjusted to include travel expenses incurred by the Company directly attributable to NCOP.</w:t>
      </w:r>
    </w:p>
    <w:p>
      <w:pPr>
        <w:spacing w:after="0" w:line="212" w:lineRule="exact"/>
        <w:rPr>
          <w:rFonts w:ascii="Arial" w:cs="Arial" w:eastAsia="Arial" w:hAnsi="Arial"/>
          <w:sz w:val="18"/>
          <w:szCs w:val="18"/>
          <w:color w:val="auto"/>
        </w:rPr>
      </w:pPr>
    </w:p>
    <w:p>
      <w:pPr>
        <w:ind w:left="720" w:right="1279" w:hanging="361"/>
        <w:spacing w:after="0" w:line="268"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Reflects general and administrative expenses incurred by NCOP adjusted to include insurance, stock compensation and non-income tax expenses incurred by the Company directly attributable to NCOP.</w:t>
      </w:r>
    </w:p>
    <w:p>
      <w:pPr>
        <w:spacing w:after="0" w:line="212" w:lineRule="exact"/>
        <w:rPr>
          <w:rFonts w:ascii="Arial" w:cs="Arial" w:eastAsia="Arial" w:hAnsi="Arial"/>
          <w:sz w:val="18"/>
          <w:szCs w:val="18"/>
          <w:color w:val="auto"/>
        </w:rPr>
      </w:pPr>
    </w:p>
    <w:p>
      <w:pPr>
        <w:ind w:left="720" w:hanging="361"/>
        <w:spacing w:after="0"/>
        <w:tabs>
          <w:tab w:leader="none" w:pos="72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Reflects an adjustment to income tax expense based on the Company’s marginal tax rate for the periods presented.</w:t>
      </w:r>
    </w:p>
    <w:p>
      <w:pPr>
        <w:spacing w:after="0" w:line="302" w:lineRule="exact"/>
        <w:rPr>
          <w:rFonts w:ascii="Arial" w:cs="Arial" w:eastAsia="Arial" w:hAnsi="Arial"/>
          <w:sz w:val="16"/>
          <w:szCs w:val="16"/>
          <w:color w:val="auto"/>
        </w:rPr>
      </w:pPr>
    </w:p>
    <w:p>
      <w:pPr>
        <w:ind w:left="720" w:hanging="361"/>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Reflects cash of $2.1 million received as partial consideration for the shares of NCOP.</w:t>
      </w:r>
    </w:p>
    <w:p>
      <w:pPr>
        <w:spacing w:after="0" w:line="279" w:lineRule="exact"/>
        <w:rPr>
          <w:rFonts w:ascii="Arial" w:cs="Arial" w:eastAsia="Arial" w:hAnsi="Arial"/>
          <w:sz w:val="18"/>
          <w:szCs w:val="18"/>
          <w:color w:val="auto"/>
        </w:rPr>
      </w:pPr>
    </w:p>
    <w:p>
      <w:pPr>
        <w:ind w:left="720" w:right="1279" w:hanging="361"/>
        <w:spacing w:after="0" w:line="268"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Reflects an adjustment for the net assets of NCOP as of February 29, 2008 exclusive of the dividend paid by NCOP to the Company. The adjustment is comprised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1400" w:type="dxa"/>
        <w:tblCellMar>
          <w:top w:w="0" w:type="dxa"/>
          <w:left w:w="0" w:type="dxa"/>
          <w:bottom w:w="0" w:type="dxa"/>
          <w:right w:w="0" w:type="dxa"/>
        </w:tblCellMar>
      </w:tblPr>
      <w:tr>
        <w:trPr>
          <w:trHeight w:val="243"/>
        </w:trPr>
        <w:tc>
          <w:tcPr>
            <w:tcW w:w="4540" w:type="dxa"/>
            <w:vAlign w:val="bottom"/>
            <w:shd w:val="clear" w:color="auto" w:fill="C0F3F6"/>
          </w:tcPr>
          <w:p>
            <w:pPr>
              <w:ind w:left="100"/>
              <w:spacing w:after="0"/>
              <w:rPr>
                <w:sz w:val="20"/>
                <w:szCs w:val="20"/>
                <w:color w:val="auto"/>
              </w:rPr>
            </w:pPr>
            <w:r>
              <w:rPr>
                <w:rFonts w:ascii="Arial" w:cs="Arial" w:eastAsia="Arial" w:hAnsi="Arial"/>
                <w:sz w:val="18"/>
                <w:szCs w:val="18"/>
                <w:color w:val="auto"/>
              </w:rPr>
              <w:t>Cash consideration received for net assets of NCOP</w:t>
            </w:r>
          </w:p>
        </w:tc>
        <w:tc>
          <w:tcPr>
            <w:tcW w:w="1020" w:type="dxa"/>
            <w:vAlign w:val="bottom"/>
            <w:shd w:val="clear" w:color="auto" w:fill="C0F3F6"/>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0F3F6"/>
          </w:tcPr>
          <w:p>
            <w:pPr>
              <w:jc w:val="right"/>
              <w:ind w:right="1112"/>
              <w:spacing w:after="0"/>
              <w:rPr>
                <w:sz w:val="20"/>
                <w:szCs w:val="20"/>
                <w:color w:val="auto"/>
              </w:rPr>
            </w:pPr>
            <w:r>
              <w:rPr>
                <w:rFonts w:ascii="Arial" w:cs="Arial" w:eastAsia="Arial" w:hAnsi="Arial"/>
                <w:sz w:val="18"/>
                <w:szCs w:val="18"/>
                <w:color w:val="auto"/>
              </w:rPr>
              <w:t>2.1</w:t>
            </w:r>
          </w:p>
        </w:tc>
      </w:tr>
      <w:tr>
        <w:trPr>
          <w:trHeight w:val="243"/>
        </w:trPr>
        <w:tc>
          <w:tcPr>
            <w:tcW w:w="4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4540" w:type="dxa"/>
            <w:vAlign w:val="bottom"/>
            <w:tcBorders>
              <w:bottom w:val="single" w:sz="8" w:color="C0F3F6"/>
            </w:tcBorders>
            <w:shd w:val="clear" w:color="auto" w:fill="C0F3F6"/>
          </w:tcPr>
          <w:p>
            <w:pPr>
              <w:ind w:left="100"/>
              <w:spacing w:after="0"/>
              <w:rPr>
                <w:sz w:val="20"/>
                <w:szCs w:val="20"/>
                <w:color w:val="auto"/>
              </w:rPr>
            </w:pPr>
            <w:r>
              <w:rPr>
                <w:rFonts w:ascii="Arial" w:cs="Arial" w:eastAsia="Arial" w:hAnsi="Arial"/>
                <w:sz w:val="18"/>
                <w:szCs w:val="18"/>
                <w:color w:val="auto"/>
              </w:rPr>
              <w:t>Net assets of NCOP:</w:t>
            </w:r>
          </w:p>
        </w:tc>
        <w:tc>
          <w:tcPr>
            <w:tcW w:w="1020" w:type="dxa"/>
            <w:vAlign w:val="bottom"/>
            <w:tcBorders>
              <w:bottom w:val="single" w:sz="8" w:color="C0F3F6"/>
            </w:tcBorders>
            <w:shd w:val="clear" w:color="auto" w:fill="C0F3F6"/>
          </w:tcPr>
          <w:p>
            <w:pPr>
              <w:spacing w:after="0"/>
              <w:rPr>
                <w:sz w:val="19"/>
                <w:szCs w:val="19"/>
                <w:color w:val="auto"/>
              </w:rPr>
            </w:pPr>
          </w:p>
        </w:tc>
        <w:tc>
          <w:tcPr>
            <w:tcW w:w="1620" w:type="dxa"/>
            <w:vAlign w:val="bottom"/>
            <w:tcBorders>
              <w:bottom w:val="single" w:sz="8" w:color="C0F3F6"/>
            </w:tcBorders>
            <w:shd w:val="clear" w:color="auto" w:fill="C0F3F6"/>
          </w:tcPr>
          <w:p>
            <w:pPr>
              <w:spacing w:after="0"/>
              <w:rPr>
                <w:sz w:val="19"/>
                <w:szCs w:val="19"/>
                <w:color w:val="auto"/>
              </w:rPr>
            </w:pPr>
          </w:p>
        </w:tc>
      </w:tr>
      <w:tr>
        <w:trPr>
          <w:trHeight w:val="222"/>
        </w:trPr>
        <w:tc>
          <w:tcPr>
            <w:tcW w:w="4540" w:type="dxa"/>
            <w:vAlign w:val="bottom"/>
          </w:tcPr>
          <w:p>
            <w:pPr>
              <w:ind w:left="100"/>
              <w:spacing w:after="0"/>
              <w:rPr>
                <w:sz w:val="20"/>
                <w:szCs w:val="20"/>
                <w:color w:val="auto"/>
              </w:rPr>
            </w:pPr>
            <w:r>
              <w:rPr>
                <w:rFonts w:ascii="Arial" w:cs="Arial" w:eastAsia="Arial" w:hAnsi="Arial"/>
                <w:sz w:val="18"/>
                <w:szCs w:val="18"/>
                <w:color w:val="auto"/>
              </w:rPr>
              <w:t>Cash</w:t>
            </w:r>
          </w:p>
        </w:tc>
        <w:tc>
          <w:tcPr>
            <w:tcW w:w="1020" w:type="dxa"/>
            <w:vAlign w:val="bottom"/>
          </w:tcPr>
          <w:p>
            <w:pPr>
              <w:spacing w:after="0"/>
              <w:rPr>
                <w:sz w:val="19"/>
                <w:szCs w:val="19"/>
                <w:color w:val="auto"/>
              </w:rPr>
            </w:pPr>
          </w:p>
        </w:tc>
        <w:tc>
          <w:tcPr>
            <w:tcW w:w="1620" w:type="dxa"/>
            <w:vAlign w:val="bottom"/>
          </w:tcPr>
          <w:p>
            <w:pPr>
              <w:jc w:val="right"/>
              <w:ind w:right="1112"/>
              <w:spacing w:after="0"/>
              <w:rPr>
                <w:sz w:val="20"/>
                <w:szCs w:val="20"/>
                <w:color w:val="auto"/>
              </w:rPr>
            </w:pPr>
            <w:r>
              <w:rPr>
                <w:rFonts w:ascii="Arial" w:cs="Arial" w:eastAsia="Arial" w:hAnsi="Arial"/>
                <w:sz w:val="18"/>
                <w:szCs w:val="18"/>
                <w:color w:val="auto"/>
              </w:rPr>
              <w:t>1.2</w:t>
            </w:r>
          </w:p>
        </w:tc>
      </w:tr>
      <w:tr>
        <w:trPr>
          <w:trHeight w:val="21"/>
        </w:trPr>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3"/>
        </w:trPr>
        <w:tc>
          <w:tcPr>
            <w:tcW w:w="4540" w:type="dxa"/>
            <w:vAlign w:val="bottom"/>
            <w:tcBorders>
              <w:bottom w:val="single" w:sz="8" w:color="C0F3F6"/>
            </w:tcBorders>
            <w:shd w:val="clear" w:color="auto" w:fill="C0F3F6"/>
          </w:tcPr>
          <w:p>
            <w:pPr>
              <w:ind w:left="10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C0F3F6"/>
            </w:tcBorders>
            <w:shd w:val="clear" w:color="auto" w:fill="C0F3F6"/>
          </w:tcPr>
          <w:p>
            <w:pPr>
              <w:spacing w:after="0"/>
              <w:rPr>
                <w:sz w:val="19"/>
                <w:szCs w:val="19"/>
                <w:color w:val="auto"/>
              </w:rPr>
            </w:pPr>
          </w:p>
        </w:tc>
        <w:tc>
          <w:tcPr>
            <w:tcW w:w="1620" w:type="dxa"/>
            <w:vAlign w:val="bottom"/>
            <w:tcBorders>
              <w:bottom w:val="single" w:sz="8" w:color="C0F3F6"/>
            </w:tcBorders>
            <w:shd w:val="clear" w:color="auto" w:fill="C0F3F6"/>
          </w:tcPr>
          <w:p>
            <w:pPr>
              <w:jc w:val="right"/>
              <w:ind w:right="1112"/>
              <w:spacing w:after="0"/>
              <w:rPr>
                <w:sz w:val="20"/>
                <w:szCs w:val="20"/>
                <w:color w:val="auto"/>
              </w:rPr>
            </w:pPr>
            <w:r>
              <w:rPr>
                <w:rFonts w:ascii="Arial" w:cs="Arial" w:eastAsia="Arial" w:hAnsi="Arial"/>
                <w:sz w:val="18"/>
                <w:szCs w:val="18"/>
                <w:color w:val="auto"/>
              </w:rPr>
              <w:t>1.2</w:t>
            </w:r>
          </w:p>
        </w:tc>
      </w:tr>
      <w:tr>
        <w:trPr>
          <w:trHeight w:val="222"/>
        </w:trPr>
        <w:tc>
          <w:tcPr>
            <w:tcW w:w="454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1020" w:type="dxa"/>
            <w:vAlign w:val="bottom"/>
          </w:tcPr>
          <w:p>
            <w:pPr>
              <w:spacing w:after="0"/>
              <w:rPr>
                <w:sz w:val="19"/>
                <w:szCs w:val="19"/>
                <w:color w:val="auto"/>
              </w:rPr>
            </w:pPr>
          </w:p>
        </w:tc>
        <w:tc>
          <w:tcPr>
            <w:tcW w:w="1620" w:type="dxa"/>
            <w:vAlign w:val="bottom"/>
          </w:tcPr>
          <w:p>
            <w:pPr>
              <w:jc w:val="right"/>
              <w:ind w:right="1112"/>
              <w:spacing w:after="0"/>
              <w:rPr>
                <w:sz w:val="20"/>
                <w:szCs w:val="20"/>
                <w:color w:val="auto"/>
              </w:rPr>
            </w:pPr>
            <w:r>
              <w:rPr>
                <w:rFonts w:ascii="Arial" w:cs="Arial" w:eastAsia="Arial" w:hAnsi="Arial"/>
                <w:sz w:val="18"/>
                <w:szCs w:val="18"/>
                <w:color w:val="auto"/>
              </w:rPr>
              <w:t>.2</w:t>
            </w:r>
          </w:p>
        </w:tc>
      </w:tr>
      <w:tr>
        <w:trPr>
          <w:trHeight w:val="21"/>
        </w:trPr>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3"/>
        </w:trPr>
        <w:tc>
          <w:tcPr>
            <w:tcW w:w="4540" w:type="dxa"/>
            <w:vAlign w:val="bottom"/>
            <w:tcBorders>
              <w:bottom w:val="single" w:sz="8" w:color="C0F3F6"/>
            </w:tcBorders>
            <w:shd w:val="clear" w:color="auto" w:fill="C0F3F6"/>
          </w:tcPr>
          <w:p>
            <w:pPr>
              <w:ind w:left="10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0F3F6"/>
            </w:tcBorders>
            <w:shd w:val="clear" w:color="auto" w:fill="C0F3F6"/>
          </w:tcPr>
          <w:p>
            <w:pPr>
              <w:spacing w:after="0"/>
              <w:rPr>
                <w:sz w:val="19"/>
                <w:szCs w:val="19"/>
                <w:color w:val="auto"/>
              </w:rPr>
            </w:pPr>
          </w:p>
        </w:tc>
        <w:tc>
          <w:tcPr>
            <w:tcW w:w="1620" w:type="dxa"/>
            <w:vAlign w:val="bottom"/>
            <w:tcBorders>
              <w:bottom w:val="single" w:sz="8" w:color="C0F3F6"/>
            </w:tcBorders>
            <w:shd w:val="clear" w:color="auto" w:fill="C0F3F6"/>
          </w:tcPr>
          <w:p>
            <w:pPr>
              <w:jc w:val="right"/>
              <w:ind w:right="1112"/>
              <w:spacing w:after="0"/>
              <w:rPr>
                <w:sz w:val="20"/>
                <w:szCs w:val="20"/>
                <w:color w:val="auto"/>
              </w:rPr>
            </w:pPr>
            <w:r>
              <w:rPr>
                <w:rFonts w:ascii="Arial" w:cs="Arial" w:eastAsia="Arial" w:hAnsi="Arial"/>
                <w:sz w:val="18"/>
                <w:szCs w:val="18"/>
                <w:color w:val="auto"/>
              </w:rPr>
              <w:t>1.5</w:t>
            </w:r>
          </w:p>
        </w:tc>
      </w:tr>
      <w:tr>
        <w:trPr>
          <w:trHeight w:val="222"/>
        </w:trPr>
        <w:tc>
          <w:tcPr>
            <w:tcW w:w="454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9"/>
                <w:szCs w:val="19"/>
                <w:color w:val="auto"/>
              </w:rPr>
            </w:pPr>
          </w:p>
        </w:tc>
        <w:tc>
          <w:tcPr>
            <w:tcW w:w="1620" w:type="dxa"/>
            <w:vAlign w:val="bottom"/>
          </w:tcPr>
          <w:p>
            <w:pPr>
              <w:jc w:val="right"/>
              <w:ind w:right="1052"/>
              <w:spacing w:after="0"/>
              <w:rPr>
                <w:sz w:val="20"/>
                <w:szCs w:val="20"/>
                <w:color w:val="auto"/>
              </w:rPr>
            </w:pPr>
            <w:r>
              <w:rPr>
                <w:rFonts w:ascii="Arial" w:cs="Arial" w:eastAsia="Arial" w:hAnsi="Arial"/>
                <w:sz w:val="18"/>
                <w:szCs w:val="18"/>
                <w:color w:val="auto"/>
              </w:rPr>
              <w:t>(2.0)</w:t>
            </w:r>
          </w:p>
        </w:tc>
      </w:tr>
    </w:tbl>
    <w:p>
      <w:pPr>
        <w:spacing w:after="0" w:line="255"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Reflects an adjustment for dividend and capital gains taxes incurred in August 2008 of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4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421"/>
        </w:trPr>
        <w:tc>
          <w:tcPr>
            <w:tcW w:w="13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440" w:type="dxa"/>
            <w:vAlign w:val="bottom"/>
            <w:gridSpan w:val="3"/>
          </w:tcPr>
          <w:p>
            <w:pPr>
              <w:ind w:left="340"/>
              <w:spacing w:after="0"/>
              <w:rPr>
                <w:sz w:val="20"/>
                <w:szCs w:val="20"/>
                <w:color w:val="auto"/>
              </w:rPr>
            </w:pPr>
            <w:r>
              <w:rPr>
                <w:rFonts w:ascii="Arial" w:cs="Arial" w:eastAsia="Arial" w:hAnsi="Arial"/>
                <w:sz w:val="18"/>
                <w:szCs w:val="18"/>
                <w:color w:val="auto"/>
              </w:rPr>
              <w:t>DESCRIPTION</w:t>
            </w: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71"/>
        </w:trPr>
        <w:tc>
          <w:tcPr>
            <w:tcW w:w="130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w w:val="93"/>
              </w:rPr>
              <w:t>Share Sale and Purchase Agreement, dated July 10, 2008, between</w:t>
            </w:r>
          </w:p>
        </w:tc>
      </w:tr>
      <w:tr>
        <w:trPr>
          <w:trHeight w:val="216"/>
        </w:trPr>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w w:val="95"/>
              </w:rPr>
              <w:t>ExlService Holdings, Inc. and Aviva Global Services Singapore Pte</w:t>
            </w:r>
          </w:p>
        </w:tc>
      </w:tr>
      <w:tr>
        <w:trPr>
          <w:trHeight w:val="222"/>
        </w:trPr>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324"/>
        </w:trPr>
        <w:tc>
          <w:tcPr>
            <w:tcW w:w="130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SSPA Deed of Amendment, dated August 11, 2008</w:t>
            </w:r>
          </w:p>
        </w:tc>
      </w:tr>
      <w:tr>
        <w:trPr>
          <w:trHeight w:val="512"/>
        </w:trPr>
        <w:tc>
          <w:tcPr>
            <w:tcW w:w="1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11" w:name="page12"/>
    <w:bookmarkEnd w:id="11"/>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5120" w:type="dxa"/>
            <w:vAlign w:val="bottom"/>
            <w:gridSpan w:val="2"/>
          </w:tcPr>
          <w:p>
            <w:pPr>
              <w:ind w:left="1340"/>
              <w:spacing w:after="0"/>
              <w:rPr>
                <w:sz w:val="20"/>
                <w:szCs w:val="20"/>
                <w:color w:val="auto"/>
              </w:rPr>
            </w:pPr>
            <w:r>
              <w:rPr>
                <w:rFonts w:ascii="Arial" w:cs="Arial" w:eastAsia="Arial" w:hAnsi="Arial"/>
                <w:sz w:val="18"/>
                <w:szCs w:val="18"/>
                <w:b w:val="1"/>
                <w:bCs w:val="1"/>
                <w:color w:val="auto"/>
              </w:rPr>
              <w:t>EXLSERVICE HOLDINGS, INC.</w:t>
            </w:r>
          </w:p>
        </w:tc>
        <w:tc>
          <w:tcPr>
            <w:tcW w:w="20" w:type="dxa"/>
            <w:vAlign w:val="bottom"/>
          </w:tcPr>
          <w:p>
            <w:pPr>
              <w:spacing w:after="0"/>
              <w:rPr>
                <w:sz w:val="19"/>
                <w:szCs w:val="19"/>
                <w:color w:val="auto"/>
              </w:rPr>
            </w:pPr>
          </w:p>
        </w:tc>
      </w:tr>
      <w:tr>
        <w:trPr>
          <w:trHeight w:val="222"/>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703"/>
        </w:trPr>
        <w:tc>
          <w:tcPr>
            <w:tcW w:w="3000" w:type="dxa"/>
            <w:vAlign w:val="bottom"/>
          </w:tcPr>
          <w:p>
            <w:pPr>
              <w:spacing w:after="0"/>
              <w:rPr>
                <w:sz w:val="20"/>
                <w:szCs w:val="20"/>
                <w:color w:val="auto"/>
              </w:rPr>
            </w:pPr>
            <w:r>
              <w:rPr>
                <w:rFonts w:ascii="Arial" w:cs="Arial" w:eastAsia="Arial" w:hAnsi="Arial"/>
                <w:sz w:val="18"/>
                <w:szCs w:val="18"/>
                <w:color w:val="auto"/>
              </w:rPr>
              <w:t>Date:  August 15, 2008</w:t>
            </w:r>
          </w:p>
        </w:tc>
        <w:tc>
          <w:tcPr>
            <w:tcW w:w="5120" w:type="dxa"/>
            <w:vAlign w:val="bottom"/>
            <w:gridSpan w:val="2"/>
          </w:tcPr>
          <w:p>
            <w:pPr>
              <w:ind w:left="1340"/>
              <w:spacing w:after="0"/>
              <w:rPr>
                <w:sz w:val="20"/>
                <w:szCs w:val="20"/>
                <w:color w:val="auto"/>
              </w:rPr>
            </w:pPr>
            <w:r>
              <w:rPr>
                <w:rFonts w:ascii="Arial" w:cs="Arial" w:eastAsia="Arial" w:hAnsi="Arial"/>
                <w:sz w:val="18"/>
                <w:szCs w:val="18"/>
                <w:color w:val="auto"/>
              </w:rPr>
              <w:t>By: /s/ Matt Appel</w:t>
            </w:r>
          </w:p>
        </w:tc>
        <w:tc>
          <w:tcPr>
            <w:tcW w:w="2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Matt Appel</w:t>
            </w:r>
          </w:p>
        </w:tc>
        <w:tc>
          <w:tcPr>
            <w:tcW w:w="20" w:type="dxa"/>
            <w:vAlign w:val="bottom"/>
          </w:tcPr>
          <w:p>
            <w:pPr>
              <w:spacing w:after="0"/>
              <w:rPr>
                <w:sz w:val="17"/>
                <w:szCs w:val="17"/>
                <w:color w:val="auto"/>
              </w:rPr>
            </w:pPr>
          </w:p>
        </w:tc>
      </w:tr>
      <w:tr>
        <w:trPr>
          <w:trHeight w:val="222"/>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20" w:type="dxa"/>
            <w:vAlign w:val="bottom"/>
          </w:tcPr>
          <w:p>
            <w:pPr>
              <w:spacing w:after="0"/>
              <w:rPr>
                <w:sz w:val="19"/>
                <w:szCs w:val="19"/>
                <w:color w:val="auto"/>
              </w:rPr>
            </w:pPr>
          </w:p>
        </w:tc>
      </w:tr>
      <w:tr>
        <w:trPr>
          <w:trHeight w:val="755"/>
        </w:trPr>
        <w:tc>
          <w:tcPr>
            <w:tcW w:w="30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ind w:left="780"/>
              <w:spacing w:after="0"/>
              <w:rPr>
                <w:sz w:val="20"/>
                <w:szCs w:val="20"/>
                <w:color w:val="auto"/>
              </w:rPr>
            </w:pPr>
            <w:r>
              <w:rPr>
                <w:rFonts w:ascii="Arial" w:cs="Arial" w:eastAsia="Arial" w:hAnsi="Arial"/>
                <w:sz w:val="18"/>
                <w:szCs w:val="18"/>
                <w:b w:val="1"/>
                <w:bCs w:val="1"/>
                <w:color w:val="auto"/>
              </w:rPr>
              <w:t>INDEX TO EXHIBITS</w:t>
            </w:r>
          </w:p>
        </w:tc>
      </w:tr>
      <w:tr>
        <w:trPr>
          <w:trHeight w:val="702"/>
        </w:trPr>
        <w:tc>
          <w:tcPr>
            <w:tcW w:w="1920" w:type="dxa"/>
            <w:vAlign w:val="bottom"/>
          </w:tcPr>
          <w:p>
            <w:pPr>
              <w:jc w:val="right"/>
              <w:ind w:right="1012"/>
              <w:spacing w:after="0"/>
              <w:rPr>
                <w:sz w:val="20"/>
                <w:szCs w:val="20"/>
                <w:color w:val="auto"/>
              </w:rPr>
            </w:pPr>
            <w:r>
              <w:rPr>
                <w:rFonts w:ascii="Arial" w:cs="Arial" w:eastAsia="Arial" w:hAnsi="Arial"/>
                <w:sz w:val="18"/>
                <w:szCs w:val="18"/>
                <w:color w:val="auto"/>
                <w:w w:val="91"/>
              </w:rPr>
              <w:t>Exhibit No.</w:t>
            </w:r>
          </w:p>
        </w:tc>
        <w:tc>
          <w:tcPr>
            <w:tcW w:w="6500" w:type="dxa"/>
            <w:vAlign w:val="bottom"/>
            <w:gridSpan w:val="2"/>
          </w:tcPr>
          <w:p>
            <w:pPr>
              <w:ind w:left="360"/>
              <w:spacing w:after="0"/>
              <w:rPr>
                <w:sz w:val="20"/>
                <w:szCs w:val="20"/>
                <w:color w:val="auto"/>
              </w:rPr>
            </w:pPr>
            <w:r>
              <w:rPr>
                <w:rFonts w:ascii="Arial" w:cs="Arial" w:eastAsia="Arial" w:hAnsi="Arial"/>
                <w:sz w:val="18"/>
                <w:szCs w:val="18"/>
                <w:color w:val="auto"/>
              </w:rPr>
              <w:t>Description</w:t>
            </w:r>
          </w:p>
        </w:tc>
      </w:tr>
      <w:tr>
        <w:trPr>
          <w:trHeight w:val="29"/>
        </w:trPr>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01"/>
        </w:trPr>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6"/>
              </w:rPr>
              <w:t>Share Sale and Purchase Agreement, dated July 10, 2008, between ExlService</w:t>
            </w:r>
          </w:p>
        </w:tc>
      </w:tr>
      <w:tr>
        <w:trPr>
          <w:trHeight w:val="222"/>
        </w:trPr>
        <w:tc>
          <w:tcPr>
            <w:tcW w:w="1920" w:type="dxa"/>
            <w:vAlign w:val="bottom"/>
          </w:tcPr>
          <w:p>
            <w:pPr>
              <w:jc w:val="right"/>
              <w:ind w:right="1192"/>
              <w:spacing w:after="0"/>
              <w:rPr>
                <w:sz w:val="20"/>
                <w:szCs w:val="20"/>
                <w:color w:val="auto"/>
              </w:rPr>
            </w:pPr>
            <w:r>
              <w:rPr>
                <w:rFonts w:ascii="Arial" w:cs="Arial" w:eastAsia="Arial" w:hAnsi="Arial"/>
                <w:sz w:val="18"/>
                <w:szCs w:val="18"/>
                <w:color w:val="auto"/>
              </w:rPr>
              <w:t>2.1</w:t>
            </w:r>
          </w:p>
        </w:tc>
        <w:tc>
          <w:tcPr>
            <w:tcW w:w="6500" w:type="dxa"/>
            <w:vAlign w:val="bottom"/>
            <w:gridSpan w:val="2"/>
          </w:tcPr>
          <w:p>
            <w:pPr>
              <w:ind w:left="360"/>
              <w:spacing w:after="0"/>
              <w:rPr>
                <w:sz w:val="20"/>
                <w:szCs w:val="20"/>
                <w:color w:val="auto"/>
              </w:rPr>
            </w:pPr>
            <w:r>
              <w:rPr>
                <w:rFonts w:ascii="Arial" w:cs="Arial" w:eastAsia="Arial" w:hAnsi="Arial"/>
                <w:sz w:val="18"/>
                <w:szCs w:val="18"/>
                <w:color w:val="auto"/>
              </w:rPr>
              <w:t>Holdings, Inc. and Aviva Global Services Singapore Pte Ltd.</w:t>
            </w:r>
          </w:p>
        </w:tc>
      </w:tr>
      <w:tr>
        <w:trPr>
          <w:trHeight w:val="324"/>
        </w:trPr>
        <w:tc>
          <w:tcPr>
            <w:tcW w:w="1920" w:type="dxa"/>
            <w:vAlign w:val="bottom"/>
          </w:tcPr>
          <w:p>
            <w:pPr>
              <w:jc w:val="right"/>
              <w:ind w:right="1192"/>
              <w:spacing w:after="0"/>
              <w:rPr>
                <w:sz w:val="20"/>
                <w:szCs w:val="20"/>
                <w:color w:val="auto"/>
              </w:rPr>
            </w:pPr>
            <w:r>
              <w:rPr>
                <w:rFonts w:ascii="Arial" w:cs="Arial" w:eastAsia="Arial" w:hAnsi="Arial"/>
                <w:sz w:val="18"/>
                <w:szCs w:val="18"/>
                <w:color w:val="auto"/>
              </w:rPr>
              <w:t>2.2</w:t>
            </w:r>
          </w:p>
        </w:tc>
        <w:tc>
          <w:tcPr>
            <w:tcW w:w="6500" w:type="dxa"/>
            <w:vAlign w:val="bottom"/>
            <w:gridSpan w:val="2"/>
          </w:tcPr>
          <w:p>
            <w:pPr>
              <w:ind w:left="360"/>
              <w:spacing w:after="0"/>
              <w:rPr>
                <w:sz w:val="20"/>
                <w:szCs w:val="20"/>
                <w:color w:val="auto"/>
              </w:rPr>
            </w:pPr>
            <w:r>
              <w:rPr>
                <w:rFonts w:ascii="Arial" w:cs="Arial" w:eastAsia="Arial" w:hAnsi="Arial"/>
                <w:sz w:val="18"/>
                <w:szCs w:val="18"/>
                <w:color w:val="auto"/>
              </w:rPr>
              <w:t>SSPA Deed of Amendment, dated August 11, 2008</w:t>
            </w:r>
          </w:p>
        </w:tc>
      </w:tr>
    </w:tbl>
    <w:p>
      <w:pPr>
        <w:sectPr>
          <w:pgSz w:w="11900" w:h="16838" w:orient="portrait"/>
          <w:cols w:equalWidth="0" w:num="1">
            <w:col w:w="10099"/>
          </w:cols>
          <w:pgMar w:left="360" w:top="611" w:right="1440" w:bottom="1440" w:gutter="0" w:footer="0" w:header="0"/>
        </w:sectPr>
      </w:pPr>
    </w:p>
    <w:bookmarkStart w:id="13" w:name="page14"/>
    <w:bookmarkEnd w:id="13"/>
    <w:p>
      <w:pPr>
        <w:jc w:val="right"/>
        <w:ind w:right="2099"/>
        <w:spacing w:after="0"/>
        <w:rPr>
          <w:sz w:val="20"/>
          <w:szCs w:val="20"/>
          <w:color w:val="auto"/>
        </w:rPr>
      </w:pPr>
      <w:r>
        <w:rPr>
          <w:rFonts w:ascii="Arial" w:cs="Arial" w:eastAsia="Arial" w:hAnsi="Arial"/>
          <w:sz w:val="18"/>
          <w:szCs w:val="18"/>
          <w:b w:val="1"/>
          <w:bCs w:val="1"/>
          <w:u w:val="single" w:color="auto"/>
          <w:color w:val="auto"/>
        </w:rPr>
        <w:t>EXHIBIT 2.1</w:t>
      </w:r>
    </w:p>
    <w:p>
      <w:pPr>
        <w:spacing w:after="0" w:line="279" w:lineRule="exact"/>
        <w:rPr>
          <w:sz w:val="20"/>
          <w:szCs w:val="20"/>
          <w:color w:val="auto"/>
        </w:rPr>
      </w:pPr>
    </w:p>
    <w:p>
      <w:pPr>
        <w:ind w:left="2700"/>
        <w:spacing w:after="0"/>
        <w:rPr>
          <w:sz w:val="20"/>
          <w:szCs w:val="20"/>
          <w:color w:val="auto"/>
        </w:rPr>
      </w:pPr>
      <w:r>
        <w:rPr>
          <w:rFonts w:ascii="Arial" w:cs="Arial" w:eastAsia="Arial" w:hAnsi="Arial"/>
          <w:sz w:val="18"/>
          <w:szCs w:val="18"/>
          <w:b w:val="1"/>
          <w:bCs w:val="1"/>
          <w:u w:val="single" w:color="auto"/>
          <w:color w:val="auto"/>
        </w:rPr>
        <w:t>DATED  July 11,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00" w:hanging="1247"/>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EXLSERVICE HOLDINGS, INC.</w:t>
      </w:r>
    </w:p>
    <w:p>
      <w:pPr>
        <w:spacing w:after="0" w:line="279" w:lineRule="exact"/>
        <w:rPr>
          <w:rFonts w:ascii="Arial" w:cs="Arial" w:eastAsia="Arial" w:hAnsi="Arial"/>
          <w:sz w:val="18"/>
          <w:szCs w:val="18"/>
          <w:b w:val="1"/>
          <w:bCs w:val="1"/>
          <w:color w:val="auto"/>
        </w:rPr>
      </w:pPr>
    </w:p>
    <w:p>
      <w:pPr>
        <w:ind w:left="1700" w:hanging="1247"/>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AVIVA GLOBAL SERVICES 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79"/>
        <w:spacing w:after="0"/>
        <w:rPr>
          <w:sz w:val="20"/>
          <w:szCs w:val="20"/>
          <w:color w:val="auto"/>
        </w:rPr>
      </w:pPr>
      <w:r>
        <w:rPr>
          <w:rFonts w:ascii="Arial" w:cs="Arial" w:eastAsia="Arial" w:hAnsi="Arial"/>
          <w:sz w:val="22"/>
          <w:szCs w:val="22"/>
          <w:b w:val="1"/>
          <w:bCs w:val="1"/>
          <w:color w:val="auto"/>
        </w:rPr>
        <w:t>SHARE SALE AND PURCHASE AGREEMENT</w:t>
      </w:r>
    </w:p>
    <w:p>
      <w:pPr>
        <w:spacing w:after="0" w:line="14" w:lineRule="exact"/>
        <w:rPr>
          <w:sz w:val="20"/>
          <w:szCs w:val="20"/>
          <w:color w:val="auto"/>
        </w:rPr>
      </w:pPr>
    </w:p>
    <w:p>
      <w:pPr>
        <w:jc w:val="center"/>
        <w:ind w:right="2579"/>
        <w:spacing w:after="0"/>
        <w:rPr>
          <w:sz w:val="20"/>
          <w:szCs w:val="20"/>
          <w:color w:val="auto"/>
        </w:rPr>
      </w:pPr>
      <w:r>
        <w:rPr>
          <w:rFonts w:ascii="Arial" w:cs="Arial" w:eastAsia="Arial" w:hAnsi="Arial"/>
          <w:sz w:val="21"/>
          <w:szCs w:val="21"/>
          <w:b w:val="1"/>
          <w:bCs w:val="1"/>
          <w:color w:val="auto"/>
        </w:rPr>
        <w:t>(RELATING TO NOIDA CUSTOMER OPERATIONS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627380</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759"/>
          </w:cols>
          <w:pgMar w:left="700" w:top="125"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349"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360" w:lineRule="exact"/>
        <w:rPr>
          <w:sz w:val="20"/>
          <w:szCs w:val="20"/>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STATEMENTS</w:t>
      </w:r>
    </w:p>
    <w:p>
      <w:pPr>
        <w:spacing w:after="0" w:line="36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w:t>
      </w:r>
      <w:r>
        <w:rPr>
          <w:rFonts w:ascii="Arial" w:cs="Arial" w:eastAsia="Arial" w:hAnsi="Arial"/>
          <w:sz w:val="16"/>
          <w:szCs w:val="16"/>
          <w:b w:val="1"/>
          <w:bCs w:val="1"/>
          <w:color w:val="auto"/>
        </w:rPr>
        <w:t>SALE AND PURCHASE</w:t>
      </w:r>
    </w:p>
    <w:p>
      <w:pPr>
        <w:spacing w:after="0" w:line="360" w:lineRule="exact"/>
        <w:rPr>
          <w:sz w:val="20"/>
          <w:szCs w:val="20"/>
          <w:color w:val="auto"/>
        </w:rPr>
      </w:pPr>
    </w:p>
    <w:p>
      <w:pPr>
        <w:ind w:left="780" w:hanging="772"/>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360" w:lineRule="exact"/>
        <w:rPr>
          <w:sz w:val="20"/>
          <w:szCs w:val="20"/>
          <w:color w:val="auto"/>
        </w:rPr>
      </w:pPr>
    </w:p>
    <w:p>
      <w:pPr>
        <w:ind w:left="780" w:hanging="772"/>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ESCROW</w:t>
      </w:r>
    </w:p>
    <w:p>
      <w:pPr>
        <w:spacing w:after="0" w:line="360" w:lineRule="exact"/>
        <w:rPr>
          <w:sz w:val="20"/>
          <w:szCs w:val="20"/>
          <w:color w:val="auto"/>
        </w:rPr>
      </w:pPr>
    </w:p>
    <w:p>
      <w:pPr>
        <w:ind w:left="780" w:hanging="772"/>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360" w:lineRule="exact"/>
        <w:rPr>
          <w:sz w:val="20"/>
          <w:szCs w:val="20"/>
          <w:color w:val="auto"/>
        </w:rPr>
      </w:pPr>
    </w:p>
    <w:p>
      <w:pPr>
        <w:ind w:left="780" w:hanging="772"/>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306" w:lineRule="exact"/>
        <w:rPr>
          <w:sz w:val="20"/>
          <w:szCs w:val="20"/>
          <w:color w:val="auto"/>
        </w:rPr>
      </w:pPr>
    </w:p>
    <w:p>
      <w:pPr>
        <w:ind w:left="780" w:hanging="772"/>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LIABILITY OF EXL HOLDINGS (US)</w:t>
      </w:r>
    </w:p>
    <w:p>
      <w:pPr>
        <w:spacing w:after="0" w:line="306" w:lineRule="exact"/>
        <w:rPr>
          <w:sz w:val="20"/>
          <w:szCs w:val="20"/>
          <w:color w:val="auto"/>
        </w:rPr>
      </w:pPr>
    </w:p>
    <w:p>
      <w:pPr>
        <w:ind w:left="780" w:hanging="772"/>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ANCILLARY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 w:name="page16"/>
    <w:bookmarkEnd w:id="15"/>
    <w:p>
      <w:pPr>
        <w:ind w:left="40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SALE AND PURCHASE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ind w:left="660" w:right="2199" w:hanging="652"/>
        <w:spacing w:after="0" w:line="30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ExlService Holdings, Inc</w:t>
      </w:r>
      <w:r>
        <w:rPr>
          <w:rFonts w:ascii="Arial" w:cs="Arial" w:eastAsia="Arial" w:hAnsi="Arial"/>
          <w:sz w:val="17"/>
          <w:szCs w:val="17"/>
          <w:color w:val="auto"/>
        </w:rPr>
        <w:t>., a company registered in the State of Delaware and having its principal office</w:t>
      </w:r>
      <w:r>
        <w:rPr>
          <w:rFonts w:ascii="Arial" w:cs="Arial" w:eastAsia="Arial" w:hAnsi="Arial"/>
          <w:sz w:val="17"/>
          <w:szCs w:val="17"/>
          <w:b w:val="1"/>
          <w:bCs w:val="1"/>
          <w:color w:val="auto"/>
        </w:rPr>
        <w:t xml:space="preserve"> </w:t>
      </w:r>
      <w:r>
        <w:rPr>
          <w:rFonts w:ascii="Arial" w:cs="Arial" w:eastAsia="Arial" w:hAnsi="Arial"/>
          <w:sz w:val="17"/>
          <w:szCs w:val="17"/>
          <w:color w:val="auto"/>
        </w:rPr>
        <w:t>at 350 Park Avenue,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10022 ("EXL Holdings (US)"); and</w:t>
      </w:r>
    </w:p>
    <w:p>
      <w:pPr>
        <w:spacing w:after="0" w:line="85" w:lineRule="exact"/>
        <w:rPr>
          <w:rFonts w:ascii="Arial" w:cs="Arial" w:eastAsia="Arial" w:hAnsi="Arial"/>
          <w:sz w:val="17"/>
          <w:szCs w:val="17"/>
          <w:color w:val="auto"/>
        </w:rPr>
      </w:pPr>
    </w:p>
    <w:p>
      <w:pPr>
        <w:jc w:val="both"/>
        <w:ind w:left="820" w:right="2099" w:hanging="596"/>
        <w:spacing w:after="0" w:line="258"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Aviva Global Services Singapore Private Limited </w:t>
      </w:r>
      <w:r>
        <w:rPr>
          <w:rFonts w:ascii="Arial" w:cs="Arial" w:eastAsia="Arial" w:hAnsi="Arial"/>
          <w:sz w:val="18"/>
          <w:szCs w:val="18"/>
          <w:color w:val="auto"/>
        </w:rPr>
        <w:t>(formerly Norwich Union Customer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Private Limited), a company registered in Singapore with registered number 200303457R and whose registered office is at 6 Temasek Boulevard, #22-01 Suntec Tower 4, Singapore 038986 (the "Client").</w:t>
      </w:r>
    </w:p>
    <w:p>
      <w:pPr>
        <w:spacing w:after="0" w:line="21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inconsistent with the context or otherwise specified: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following expressions have the following meanings:</w:t>
      </w:r>
    </w:p>
    <w:p>
      <w:pPr>
        <w:spacing w:after="0" w:line="225" w:lineRule="exact"/>
        <w:rPr>
          <w:sz w:val="20"/>
          <w:szCs w:val="20"/>
          <w:color w:val="auto"/>
        </w:rPr>
      </w:pPr>
    </w:p>
    <w:p>
      <w:pPr>
        <w:ind w:left="860"/>
        <w:spacing w:after="0"/>
        <w:tabs>
          <w:tab w:leader="none" w:pos="4040" w:val="left"/>
          <w:tab w:leader="none" w:pos="4500" w:val="left"/>
        </w:tabs>
        <w:rPr>
          <w:sz w:val="20"/>
          <w:szCs w:val="20"/>
          <w:color w:val="auto"/>
        </w:rPr>
      </w:pPr>
      <w:r>
        <w:rPr>
          <w:rFonts w:ascii="Arial" w:cs="Arial" w:eastAsia="Arial" w:hAnsi="Arial"/>
          <w:sz w:val="18"/>
          <w:szCs w:val="18"/>
          <w:color w:val="auto"/>
        </w:rPr>
        <w:t>"Accounts"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most recent audited consolidated balance sheet</w:t>
      </w:r>
    </w:p>
    <w:p>
      <w:pPr>
        <w:spacing w:after="0" w:line="15"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and audited consolidated profit and loss account of</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SPV, and the directors' report and other documents</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annexed to them;</w:t>
      </w:r>
    </w:p>
    <w:p>
      <w:pPr>
        <w:spacing w:after="0" w:line="246" w:lineRule="exact"/>
        <w:rPr>
          <w:sz w:val="20"/>
          <w:szCs w:val="20"/>
          <w:color w:val="auto"/>
        </w:rPr>
      </w:pPr>
    </w:p>
    <w:p>
      <w:pPr>
        <w:ind w:left="860"/>
        <w:spacing w:after="0"/>
        <w:tabs>
          <w:tab w:leader="none" w:pos="4040" w:val="left"/>
          <w:tab w:leader="none" w:pos="4500" w:val="left"/>
        </w:tabs>
        <w:rPr>
          <w:sz w:val="20"/>
          <w:szCs w:val="20"/>
          <w:color w:val="auto"/>
        </w:rPr>
      </w:pPr>
      <w:r>
        <w:rPr>
          <w:rFonts w:ascii="Arial" w:cs="Arial" w:eastAsia="Arial" w:hAnsi="Arial"/>
          <w:sz w:val="18"/>
          <w:szCs w:val="18"/>
          <w:color w:val="auto"/>
        </w:rPr>
        <w:t>“Affiliate”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holding company from time to time of EXL</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Holdings (US) and any subsidiary from time to</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time of EXL Holdings (US) or of any such holding</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company and the terms “holding company” and</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“subsidiary” shall have the meaning given to them</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section 736 of the Companies Act 1985;</w:t>
      </w:r>
    </w:p>
    <w:p>
      <w:pPr>
        <w:sectPr>
          <w:pgSz w:w="11900" w:h="16838" w:orient="portrait"/>
          <w:cols w:equalWidth="0" w:num="1">
            <w:col w:w="10219"/>
          </w:cols>
          <w:pgMar w:left="240" w:top="131" w:right="1440" w:bottom="1440" w:gutter="0" w:footer="0" w:header="0"/>
        </w:sectPr>
      </w:pPr>
    </w:p>
    <w:p>
      <w:pPr>
        <w:spacing w:after="0" w:line="2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“Asset Funding”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ind w:left="469" w:right="2119" w:hanging="469"/>
        <w:spacing w:after="0" w:line="259" w:lineRule="auto"/>
        <w:tabs>
          <w:tab w:leader="none" w:pos="4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agreement, as varied from time to time in accordance with its terms, and including all schedules and appendices;</w:t>
      </w:r>
    </w:p>
    <w:p>
      <w:pPr>
        <w:spacing w:after="0" w:line="221" w:lineRule="exact"/>
        <w:rPr>
          <w:rFonts w:ascii="Arial" w:cs="Arial" w:eastAsia="Arial" w:hAnsi="Arial"/>
          <w:sz w:val="18"/>
          <w:szCs w:val="18"/>
          <w:color w:val="auto"/>
        </w:rPr>
      </w:pPr>
    </w:p>
    <w:p>
      <w:pPr>
        <w:ind w:left="469" w:right="2159" w:hanging="463"/>
        <w:spacing w:after="0" w:line="232" w:lineRule="auto"/>
        <w:tabs>
          <w:tab w:leader="none" w:pos="469"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an amount representing any pre-payment provided by the Client to EXL Holdings (US) or the SPV for the provision of assets which has not been written down to nil in the books of EXL Holdings (US) or the SPV (as the case may be) prior to Completion;</w:t>
      </w:r>
    </w:p>
    <w:p>
      <w:pPr>
        <w:spacing w:after="0" w:line="200" w:lineRule="exact"/>
        <w:rPr>
          <w:sz w:val="20"/>
          <w:szCs w:val="20"/>
          <w:color w:val="auto"/>
        </w:rPr>
      </w:pPr>
    </w:p>
    <w:p>
      <w:pPr>
        <w:sectPr>
          <w:pgSz w:w="11900" w:h="16838" w:orient="portrait"/>
          <w:cols w:equalWidth="0" w:num="2">
            <w:col w:w="3331" w:space="720"/>
            <w:col w:w="6168"/>
          </w:cols>
          <w:pgMar w:left="240" w:top="131" w:right="1440"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860"/>
              <w:spacing w:after="0"/>
              <w:rPr>
                <w:sz w:val="20"/>
                <w:szCs w:val="20"/>
                <w:color w:val="auto"/>
              </w:rPr>
            </w:pPr>
            <w:r>
              <w:rPr>
                <w:rFonts w:ascii="Arial" w:cs="Arial" w:eastAsia="Arial" w:hAnsi="Arial"/>
                <w:sz w:val="18"/>
                <w:szCs w:val="18"/>
                <w:color w:val="auto"/>
              </w:rPr>
              <w:t>"Auditors"</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00"/>
              <w:spacing w:after="0"/>
              <w:rPr>
                <w:sz w:val="20"/>
                <w:szCs w:val="20"/>
                <w:color w:val="auto"/>
              </w:rPr>
            </w:pPr>
            <w:r>
              <w:rPr>
                <w:rFonts w:ascii="Arial" w:cs="Arial" w:eastAsia="Arial" w:hAnsi="Arial"/>
                <w:sz w:val="18"/>
                <w:szCs w:val="18"/>
                <w:color w:val="auto"/>
              </w:rPr>
              <w:t>Ernst &amp; Young or any other firm of auditors</w:t>
            </w:r>
          </w:p>
        </w:tc>
      </w:tr>
      <w:tr>
        <w:trPr>
          <w:trHeight w:val="216"/>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2"/>
              </w:rPr>
              <w:t>appointed by SPV from time to time with the prior</w:t>
            </w:r>
          </w:p>
        </w:tc>
      </w:tr>
      <w:tr>
        <w:trPr>
          <w:trHeight w:val="222"/>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written consent of the Client;</w:t>
            </w:r>
          </w:p>
        </w:tc>
      </w:tr>
      <w:tr>
        <w:trPr>
          <w:trHeight w:val="453"/>
        </w:trPr>
        <w:tc>
          <w:tcPr>
            <w:tcW w:w="3280" w:type="dxa"/>
            <w:vAlign w:val="bottom"/>
          </w:tcPr>
          <w:p>
            <w:pPr>
              <w:ind w:left="860"/>
              <w:spacing w:after="0"/>
              <w:rPr>
                <w:sz w:val="20"/>
                <w:szCs w:val="20"/>
                <w:color w:val="auto"/>
              </w:rPr>
            </w:pPr>
            <w:r>
              <w:rPr>
                <w:rFonts w:ascii="Arial" w:cs="Arial" w:eastAsia="Arial" w:hAnsi="Arial"/>
                <w:sz w:val="18"/>
                <w:szCs w:val="18"/>
                <w:color w:val="auto"/>
              </w:rPr>
              <w:t>"Business Day"</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00"/>
              <w:spacing w:after="0"/>
              <w:rPr>
                <w:sz w:val="20"/>
                <w:szCs w:val="20"/>
                <w:color w:val="auto"/>
              </w:rPr>
            </w:pPr>
            <w:r>
              <w:rPr>
                <w:rFonts w:ascii="Arial" w:cs="Arial" w:eastAsia="Arial" w:hAnsi="Arial"/>
                <w:sz w:val="18"/>
                <w:szCs w:val="18"/>
                <w:color w:val="auto"/>
                <w:w w:val="94"/>
              </w:rPr>
              <w:t>a day other than a Saturday or Sunday or public</w:t>
            </w:r>
          </w:p>
        </w:tc>
      </w:tr>
      <w:tr>
        <w:trPr>
          <w:trHeight w:val="216"/>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5"/>
              </w:rPr>
              <w:t>holiday in the United Kingdom, United States of</w:t>
            </w:r>
          </w:p>
        </w:tc>
      </w:tr>
      <w:tr>
        <w:trPr>
          <w:trHeight w:val="222"/>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America and in India;</w:t>
            </w:r>
          </w:p>
        </w:tc>
      </w:tr>
      <w:tr>
        <w:trPr>
          <w:trHeight w:val="453"/>
        </w:trPr>
        <w:tc>
          <w:tcPr>
            <w:tcW w:w="3280" w:type="dxa"/>
            <w:vAlign w:val="bottom"/>
          </w:tcPr>
          <w:p>
            <w:pPr>
              <w:ind w:left="860"/>
              <w:spacing w:after="0"/>
              <w:rPr>
                <w:sz w:val="20"/>
                <w:szCs w:val="20"/>
                <w:color w:val="auto"/>
              </w:rPr>
            </w:pPr>
            <w:r>
              <w:rPr>
                <w:rFonts w:ascii="Arial" w:cs="Arial" w:eastAsia="Arial" w:hAnsi="Arial"/>
                <w:sz w:val="18"/>
                <w:szCs w:val="18"/>
                <w:color w:val="auto"/>
              </w:rPr>
              <w:t>“Claim”</w:t>
            </w:r>
          </w:p>
        </w:tc>
        <w:tc>
          <w:tcPr>
            <w:tcW w:w="1040" w:type="dxa"/>
            <w:vAlign w:val="bottom"/>
          </w:tcPr>
          <w:p>
            <w:pPr>
              <w:spacing w:after="0"/>
              <w:rPr>
                <w:sz w:val="24"/>
                <w:szCs w:val="24"/>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2"/>
              </w:rPr>
              <w:t>a claim under the Warranties or a Compensation</w:t>
            </w:r>
          </w:p>
        </w:tc>
      </w:tr>
      <w:tr>
        <w:trPr>
          <w:trHeight w:val="222"/>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Claim;</w:t>
            </w:r>
          </w:p>
        </w:tc>
      </w:tr>
      <w:tr>
        <w:trPr>
          <w:trHeight w:val="459"/>
        </w:trPr>
        <w:tc>
          <w:tcPr>
            <w:tcW w:w="3280" w:type="dxa"/>
            <w:vAlign w:val="bottom"/>
          </w:tcPr>
          <w:p>
            <w:pPr>
              <w:ind w:left="860"/>
              <w:spacing w:after="0"/>
              <w:rPr>
                <w:sz w:val="20"/>
                <w:szCs w:val="20"/>
                <w:color w:val="auto"/>
              </w:rPr>
            </w:pPr>
            <w:r>
              <w:rPr>
                <w:rFonts w:ascii="Arial" w:cs="Arial" w:eastAsia="Arial" w:hAnsi="Arial"/>
                <w:sz w:val="18"/>
                <w:szCs w:val="18"/>
                <w:color w:val="auto"/>
              </w:rPr>
              <w:t>“Compensation Claim”</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00"/>
              <w:spacing w:after="0"/>
              <w:rPr>
                <w:sz w:val="20"/>
                <w:szCs w:val="20"/>
                <w:color w:val="auto"/>
              </w:rPr>
            </w:pPr>
            <w:r>
              <w:rPr>
                <w:rFonts w:ascii="Arial" w:cs="Arial" w:eastAsia="Arial" w:hAnsi="Arial"/>
                <w:sz w:val="18"/>
                <w:szCs w:val="18"/>
                <w:color w:val="auto"/>
              </w:rPr>
              <w:t>a claim under clause 7.8;</w:t>
            </w:r>
          </w:p>
        </w:tc>
      </w:tr>
      <w:tr>
        <w:trPr>
          <w:trHeight w:val="512"/>
        </w:trPr>
        <w:tc>
          <w:tcPr>
            <w:tcW w:w="3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3820" w:type="dxa"/>
            <w:vAlign w:val="bottom"/>
          </w:tcPr>
          <w:p>
            <w:pPr>
              <w:spacing w:after="0"/>
              <w:rPr>
                <w:sz w:val="19"/>
                <w:szCs w:val="19"/>
                <w:color w:val="auto"/>
              </w:rPr>
            </w:pPr>
          </w:p>
        </w:tc>
      </w:tr>
      <w:tr>
        <w:trPr>
          <w:trHeight w:val="939"/>
        </w:trPr>
        <w:tc>
          <w:tcPr>
            <w:tcW w:w="1860" w:type="dxa"/>
            <w:vAlign w:val="bottom"/>
          </w:tcPr>
          <w:p>
            <w:pPr>
              <w:ind w:left="860"/>
              <w:spacing w:after="0"/>
              <w:rPr>
                <w:sz w:val="20"/>
                <w:szCs w:val="20"/>
                <w:color w:val="auto"/>
              </w:rPr>
            </w:pPr>
            <w:r>
              <w:rPr>
                <w:rFonts w:ascii="Arial" w:cs="Arial" w:eastAsia="Arial" w:hAnsi="Arial"/>
                <w:sz w:val="18"/>
                <w:szCs w:val="18"/>
                <w:color w:val="auto"/>
                <w:w w:val="94"/>
              </w:rPr>
              <w:t>"Completion"</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89"/>
              </w:rPr>
              <w:t>completion of the sale and purchase of the Shares</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in accordance with clause 6;</w:t>
            </w:r>
          </w:p>
        </w:tc>
      </w:tr>
      <w:tr>
        <w:trPr>
          <w:trHeight w:val="453"/>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“Completion Date”</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89"/>
              </w:rPr>
              <w:t>the date on which this Agreement is released from</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9"/>
              </w:rPr>
              <w:t>escrow in accordance with the Escrow Deed;</w:t>
            </w:r>
          </w:p>
        </w:tc>
      </w:tr>
      <w:tr>
        <w:trPr>
          <w:trHeight w:val="459"/>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“Disclosure Letter”</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3"/>
              </w:rPr>
              <w:t>has the meaning given to it in the Escrow Deed;</w:t>
            </w:r>
          </w:p>
        </w:tc>
      </w:tr>
      <w:tr>
        <w:trPr>
          <w:trHeight w:val="453"/>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"Encumbrance"</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a  mortgage,  charge,  pledge,  lien,  option,</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restriction, right of first refusal, right of pre-</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9"/>
              </w:rPr>
              <w:t>emption,  third  party  right  or  interest,  other</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4"/>
              </w:rPr>
              <w:t>encumbrance or security interest of any kind, or</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8"/>
              </w:rPr>
              <w:t>another   type   of   preferential   arrangement</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5"/>
              </w:rPr>
              <w:t>(including, without limitation, a title transfer and</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4"/>
              </w:rPr>
              <w:t>retention arrangement) having similar effect but</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0"/>
              </w:rPr>
              <w:t>excluding any such encumbrance imposed by the</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1"/>
              </w:rPr>
              <w:t>Government of India otherwise than as a result of</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any act or omission of EXL Holdings (US);</w:t>
            </w:r>
          </w:p>
        </w:tc>
      </w:tr>
      <w:tr>
        <w:trPr>
          <w:trHeight w:val="453"/>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“Escrow Deed”</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1"/>
              </w:rPr>
              <w:t>the deed dated on or about 26 June 2008 among</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4"/>
              </w:rPr>
              <w:t>EXL Holdings (US), the Client and Aviva Global</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3"/>
              </w:rPr>
              <w:t>Holdings Limited (as escrow agent) under which</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1"/>
              </w:rPr>
              <w:t>this Agreement is held in escrow on the terms set</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out therein;</w:t>
            </w:r>
          </w:p>
        </w:tc>
      </w:tr>
      <w:tr>
        <w:trPr>
          <w:trHeight w:val="459"/>
        </w:trPr>
        <w:tc>
          <w:tcPr>
            <w:tcW w:w="1860" w:type="dxa"/>
            <w:vAlign w:val="bottom"/>
          </w:tcPr>
          <w:p>
            <w:pPr>
              <w:ind w:left="860"/>
              <w:spacing w:after="0"/>
              <w:rPr>
                <w:sz w:val="20"/>
                <w:szCs w:val="20"/>
                <w:color w:val="auto"/>
              </w:rPr>
            </w:pPr>
            <w:r>
              <w:rPr>
                <w:rFonts w:ascii="Arial" w:cs="Arial" w:eastAsia="Arial" w:hAnsi="Arial"/>
                <w:sz w:val="18"/>
                <w:szCs w:val="18"/>
                <w:color w:val="auto"/>
              </w:rPr>
              <w:t>“EXL India”</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EXL Service.com (India) Private Limited;</w:t>
            </w:r>
          </w:p>
        </w:tc>
      </w:tr>
      <w:tr>
        <w:trPr>
          <w:trHeight w:val="453"/>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“Government of India”</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1"/>
              </w:rPr>
              <w:t>shall mean any government, regulatory authority,</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89"/>
              </w:rPr>
              <w:t>governmental  department,  agency,  commission,</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board, tribunal or court or other law, rule or</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3"/>
              </w:rPr>
              <w:t>regulation-making entity, having or purporting to</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have jurisdiction on behalf of the Republic of</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8"/>
              </w:rPr>
              <w:t>India, or province or state or other subdivision</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96"/>
              </w:rPr>
              <w:t>thereof  or  any  municipality,  district  or  other</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subdivision thereof;</w:t>
            </w:r>
          </w:p>
        </w:tc>
      </w:tr>
      <w:tr>
        <w:trPr>
          <w:trHeight w:val="453"/>
        </w:trPr>
        <w:tc>
          <w:tcPr>
            <w:tcW w:w="2800" w:type="dxa"/>
            <w:vAlign w:val="bottom"/>
            <w:gridSpan w:val="2"/>
          </w:tcPr>
          <w:p>
            <w:pPr>
              <w:ind w:left="860"/>
              <w:spacing w:after="0"/>
              <w:rPr>
                <w:sz w:val="20"/>
                <w:szCs w:val="20"/>
                <w:color w:val="auto"/>
              </w:rPr>
            </w:pPr>
            <w:r>
              <w:rPr>
                <w:rFonts w:ascii="Arial" w:cs="Arial" w:eastAsia="Arial" w:hAnsi="Arial"/>
                <w:sz w:val="18"/>
                <w:szCs w:val="18"/>
                <w:color w:val="auto"/>
                <w:w w:val="88"/>
              </w:rPr>
              <w:t>“Independent Accountants”</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Deloitte  &amp;  Touche  or  such  other  firm  of</w:t>
            </w:r>
          </w:p>
        </w:tc>
      </w:tr>
      <w:tr>
        <w:trPr>
          <w:trHeight w:val="216"/>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w w:val="87"/>
              </w:rPr>
              <w:t>accountants as may be nominated by agreement of</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all the Parties;</w:t>
            </w:r>
          </w:p>
        </w:tc>
      </w:tr>
      <w:tr>
        <w:trPr>
          <w:trHeight w:val="453"/>
        </w:trPr>
        <w:tc>
          <w:tcPr>
            <w:tcW w:w="1860" w:type="dxa"/>
            <w:vAlign w:val="bottom"/>
          </w:tcPr>
          <w:p>
            <w:pPr>
              <w:ind w:left="860"/>
              <w:spacing w:after="0"/>
              <w:rPr>
                <w:sz w:val="20"/>
                <w:szCs w:val="20"/>
                <w:color w:val="auto"/>
              </w:rPr>
            </w:pPr>
            <w:r>
              <w:rPr>
                <w:rFonts w:ascii="Arial" w:cs="Arial" w:eastAsia="Arial" w:hAnsi="Arial"/>
                <w:sz w:val="18"/>
                <w:szCs w:val="18"/>
                <w:color w:val="auto"/>
              </w:rPr>
              <w:t>“Insurance</w:t>
            </w:r>
          </w:p>
        </w:tc>
        <w:tc>
          <w:tcPr>
            <w:tcW w:w="940" w:type="dxa"/>
            <w:vAlign w:val="bottom"/>
          </w:tcPr>
          <w:p>
            <w:pPr>
              <w:ind w:left="60"/>
              <w:spacing w:after="0"/>
              <w:rPr>
                <w:sz w:val="20"/>
                <w:szCs w:val="20"/>
                <w:color w:val="auto"/>
              </w:rPr>
            </w:pPr>
            <w:r>
              <w:rPr>
                <w:rFonts w:ascii="Arial" w:cs="Arial" w:eastAsia="Arial" w:hAnsi="Arial"/>
                <w:sz w:val="18"/>
                <w:szCs w:val="18"/>
                <w:color w:val="auto"/>
              </w:rPr>
              <w:t>Services</w:t>
            </w:r>
          </w:p>
        </w:tc>
        <w:tc>
          <w:tcPr>
            <w:tcW w:w="1020" w:type="dxa"/>
            <w:vAlign w:val="bottom"/>
          </w:tcPr>
          <w:p>
            <w:pPr>
              <w:spacing w:after="0"/>
              <w:rPr>
                <w:sz w:val="20"/>
                <w:szCs w:val="20"/>
                <w:color w:val="auto"/>
              </w:rPr>
            </w:pPr>
            <w:r>
              <w:rPr>
                <w:rFonts w:ascii="Arial" w:cs="Arial" w:eastAsia="Arial" w:hAnsi="Arial"/>
                <w:sz w:val="18"/>
                <w:szCs w:val="18"/>
                <w:color w:val="auto"/>
              </w:rPr>
              <w:t>Framework</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0"/>
              </w:rPr>
              <w:t>an agreement dated 26</w:t>
            </w:r>
            <w:r>
              <w:rPr>
                <w:rFonts w:ascii="Arial" w:cs="Arial" w:eastAsia="Arial" w:hAnsi="Arial"/>
                <w:sz w:val="29"/>
                <w:szCs w:val="29"/>
                <w:color w:val="auto"/>
                <w:w w:val="90"/>
                <w:vertAlign w:val="superscript"/>
              </w:rPr>
              <w:t>th</w:t>
            </w:r>
            <w:r>
              <w:rPr>
                <w:rFonts w:ascii="Arial" w:cs="Arial" w:eastAsia="Arial" w:hAnsi="Arial"/>
                <w:sz w:val="18"/>
                <w:szCs w:val="18"/>
                <w:color w:val="auto"/>
                <w:w w:val="90"/>
              </w:rPr>
              <w:t xml:space="preserve"> August 2004 and made</w:t>
            </w:r>
          </w:p>
        </w:tc>
      </w:tr>
      <w:tr>
        <w:trPr>
          <w:trHeight w:val="263"/>
        </w:trPr>
        <w:tc>
          <w:tcPr>
            <w:tcW w:w="1860" w:type="dxa"/>
            <w:vAlign w:val="bottom"/>
          </w:tcPr>
          <w:p>
            <w:pPr>
              <w:ind w:left="860"/>
              <w:spacing w:after="0"/>
              <w:rPr>
                <w:sz w:val="20"/>
                <w:szCs w:val="20"/>
                <w:color w:val="auto"/>
              </w:rPr>
            </w:pPr>
            <w:r>
              <w:rPr>
                <w:rFonts w:ascii="Arial" w:cs="Arial" w:eastAsia="Arial" w:hAnsi="Arial"/>
                <w:sz w:val="18"/>
                <w:szCs w:val="18"/>
                <w:color w:val="auto"/>
              </w:rPr>
              <w:t>Agreement”</w:t>
            </w: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between the Client and EXL Holdings (US);</w:t>
            </w:r>
          </w:p>
        </w:tc>
      </w:tr>
      <w:tr>
        <w:trPr>
          <w:trHeight w:val="453"/>
        </w:trPr>
        <w:tc>
          <w:tcPr>
            <w:tcW w:w="3820" w:type="dxa"/>
            <w:vAlign w:val="bottom"/>
            <w:gridSpan w:val="3"/>
          </w:tcPr>
          <w:p>
            <w:pPr>
              <w:ind w:left="860"/>
              <w:spacing w:after="0"/>
              <w:rPr>
                <w:sz w:val="20"/>
                <w:szCs w:val="20"/>
                <w:color w:val="auto"/>
              </w:rPr>
            </w:pPr>
            <w:r>
              <w:rPr>
                <w:rFonts w:ascii="Arial" w:cs="Arial" w:eastAsia="Arial" w:hAnsi="Arial"/>
                <w:sz w:val="18"/>
                <w:szCs w:val="18"/>
                <w:color w:val="auto"/>
              </w:rPr>
              <w:t>“Insurance Services Work Order”</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5"/>
              </w:rPr>
              <w:t>has the meaning given to it in schedule 1 of the</w:t>
            </w:r>
          </w:p>
        </w:tc>
      </w:tr>
      <w:tr>
        <w:trPr>
          <w:trHeight w:val="222"/>
        </w:trPr>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Insurance Services Framework Agreement;</w:t>
            </w:r>
          </w:p>
        </w:tc>
      </w:tr>
      <w:tr>
        <w:trPr>
          <w:trHeight w:val="459"/>
        </w:trPr>
        <w:tc>
          <w:tcPr>
            <w:tcW w:w="2800" w:type="dxa"/>
            <w:vAlign w:val="bottom"/>
            <w:gridSpan w:val="2"/>
          </w:tcPr>
          <w:p>
            <w:pPr>
              <w:ind w:left="860"/>
              <w:spacing w:after="0"/>
              <w:rPr>
                <w:sz w:val="20"/>
                <w:szCs w:val="20"/>
                <w:color w:val="auto"/>
              </w:rPr>
            </w:pPr>
            <w:r>
              <w:rPr>
                <w:rFonts w:ascii="Arial" w:cs="Arial" w:eastAsia="Arial" w:hAnsi="Arial"/>
                <w:sz w:val="18"/>
                <w:szCs w:val="18"/>
                <w:color w:val="auto"/>
              </w:rPr>
              <w:t>"Last Accounting Date"</w:t>
            </w:r>
          </w:p>
        </w:tc>
        <w:tc>
          <w:tcPr>
            <w:tcW w:w="1020" w:type="dxa"/>
            <w:vAlign w:val="bottom"/>
          </w:tcPr>
          <w:p>
            <w:pPr>
              <w:spacing w:after="0"/>
              <w:rPr>
                <w:sz w:val="24"/>
                <w:szCs w:val="24"/>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w w:val="96"/>
              </w:rPr>
              <w:t>the date to which the Accounts were made up;</w:t>
            </w:r>
          </w:p>
        </w:tc>
      </w:tr>
      <w:tr>
        <w:trPr>
          <w:trHeight w:val="755"/>
        </w:trPr>
        <w:tc>
          <w:tcPr>
            <w:tcW w:w="18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945"/>
        </w:trPr>
        <w:tc>
          <w:tcPr>
            <w:tcW w:w="3660" w:type="dxa"/>
            <w:vAlign w:val="bottom"/>
          </w:tcPr>
          <w:p>
            <w:pPr>
              <w:ind w:left="860"/>
              <w:spacing w:after="0"/>
              <w:rPr>
                <w:sz w:val="20"/>
                <w:szCs w:val="20"/>
                <w:color w:val="auto"/>
              </w:rPr>
            </w:pPr>
            <w:r>
              <w:rPr>
                <w:rFonts w:ascii="Arial" w:cs="Arial" w:eastAsia="Arial" w:hAnsi="Arial"/>
                <w:sz w:val="18"/>
                <w:szCs w:val="18"/>
                <w:color w:val="auto"/>
              </w:rPr>
              <w:t>"Net Asset Value" or “NAV”</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the aggregate value of the assets-</w:t>
            </w:r>
          </w:p>
        </w:tc>
        <w:tc>
          <w:tcPr>
            <w:tcW w:w="68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4"/>
              </w:rPr>
              <w:t>(a) less the aggregate value of the liabilities, and</w:t>
            </w:r>
          </w:p>
        </w:tc>
      </w:tr>
      <w:tr>
        <w:trPr>
          <w:trHeight w:val="459"/>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(b) less any Asset Funding,</w:t>
            </w:r>
          </w:p>
        </w:tc>
        <w:tc>
          <w:tcPr>
            <w:tcW w:w="680" w:type="dxa"/>
            <w:vAlign w:val="bottom"/>
          </w:tcPr>
          <w:p>
            <w:pPr>
              <w:spacing w:after="0"/>
              <w:rPr>
                <w:sz w:val="24"/>
                <w:szCs w:val="24"/>
                <w:color w:val="auto"/>
              </w:rPr>
            </w:pPr>
          </w:p>
        </w:tc>
      </w:tr>
      <w:tr>
        <w:trPr>
          <w:trHeight w:val="453"/>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89"/>
              </w:rPr>
              <w:t>in each case of the SPV as at the close of business</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9"/>
              </w:rPr>
              <w:t>on the Completion Date, as determined by the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89"/>
              </w:rPr>
              <w:t>Auditors pursuant to clause 4. For the avoidance of</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6"/>
              </w:rPr>
              <w:t>doubt, any items of capital expenditure by or on</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2"/>
              </w:rPr>
              <w:t>behalf of the SPV which have not previously been</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3"/>
              </w:rPr>
              <w:t>approved in accordance with the Budget Process</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7"/>
              </w:rPr>
              <w:t>set out in Part B of Schedule 3 of the Insurance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Services   Framework   Agreement   shall   be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6"/>
              </w:rPr>
              <w:t>disregarded for the purposes of determining the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2"/>
              </w:rPr>
              <w:t>NAV. Further, for the purposes of determining the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NAV, all the capital assets of NCOP shall be</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depreciated over a period of 3 years;</w:t>
            </w:r>
          </w:p>
        </w:tc>
        <w:tc>
          <w:tcPr>
            <w:tcW w:w="680" w:type="dxa"/>
            <w:vAlign w:val="bottom"/>
          </w:tcPr>
          <w:p>
            <w:pPr>
              <w:spacing w:after="0"/>
              <w:rPr>
                <w:sz w:val="19"/>
                <w:szCs w:val="19"/>
                <w:color w:val="auto"/>
              </w:rPr>
            </w:pP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"Parties"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4"/>
              </w:rPr>
              <w:t>the parties to this Agreement; and "Party" means</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either one of them;</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"Properties"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89"/>
              </w:rPr>
              <w:t>the property or properties owned, used or occupied</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by the SPV as at the date of this Agreement;</w:t>
            </w:r>
          </w:p>
        </w:tc>
      </w:tr>
      <w:tr>
        <w:trPr>
          <w:trHeight w:val="459"/>
        </w:trPr>
        <w:tc>
          <w:tcPr>
            <w:tcW w:w="3660" w:type="dxa"/>
            <w:vAlign w:val="bottom"/>
          </w:tcPr>
          <w:p>
            <w:pPr>
              <w:ind w:left="860"/>
              <w:spacing w:after="0"/>
              <w:rPr>
                <w:sz w:val="20"/>
                <w:szCs w:val="20"/>
                <w:color w:val="auto"/>
              </w:rPr>
            </w:pPr>
            <w:r>
              <w:rPr>
                <w:rFonts w:ascii="Arial" w:cs="Arial" w:eastAsia="Arial" w:hAnsi="Arial"/>
                <w:sz w:val="18"/>
                <w:szCs w:val="18"/>
                <w:color w:val="auto"/>
              </w:rPr>
              <w:t>“Provisional Consideration”</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w w:val="91"/>
              </w:rPr>
              <w:t>has the meaning given to it in clause 4.2;</w:t>
            </w:r>
          </w:p>
        </w:tc>
        <w:tc>
          <w:tcPr>
            <w:tcW w:w="680" w:type="dxa"/>
            <w:vAlign w:val="bottom"/>
          </w:tcPr>
          <w:p>
            <w:pPr>
              <w:spacing w:after="0"/>
              <w:rPr>
                <w:sz w:val="24"/>
                <w:szCs w:val="24"/>
                <w:color w:val="auto"/>
              </w:rPr>
            </w:pPr>
          </w:p>
        </w:tc>
      </w:tr>
      <w:tr>
        <w:trPr>
          <w:trHeight w:val="459"/>
        </w:trPr>
        <w:tc>
          <w:tcPr>
            <w:tcW w:w="3660" w:type="dxa"/>
            <w:vAlign w:val="bottom"/>
          </w:tcPr>
          <w:p>
            <w:pPr>
              <w:ind w:left="860"/>
              <w:spacing w:after="0"/>
              <w:rPr>
                <w:sz w:val="20"/>
                <w:szCs w:val="20"/>
                <w:color w:val="auto"/>
              </w:rPr>
            </w:pPr>
            <w:r>
              <w:rPr>
                <w:rFonts w:ascii="Arial" w:cs="Arial" w:eastAsia="Arial" w:hAnsi="Arial"/>
                <w:sz w:val="18"/>
                <w:szCs w:val="18"/>
                <w:color w:val="auto"/>
              </w:rPr>
              <w:t>"Shares"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all of the issued shares in the capital of SPV;</w:t>
            </w: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"SPV"</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4"/>
              </w:rPr>
              <w:t>Noida  Customer  Operations  Private  Limited  a</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2"/>
              </w:rPr>
              <w:t>private company limited by shares incorporated in</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rPr>
              <w:t>India</w:t>
            </w:r>
          </w:p>
        </w:tc>
        <w:tc>
          <w:tcPr>
            <w:tcW w:w="960" w:type="dxa"/>
            <w:vAlign w:val="bottom"/>
          </w:tcPr>
          <w:p>
            <w:pPr>
              <w:ind w:left="280"/>
              <w:spacing w:after="0"/>
              <w:rPr>
                <w:sz w:val="20"/>
                <w:szCs w:val="20"/>
                <w:color w:val="auto"/>
              </w:rPr>
            </w:pPr>
            <w:r>
              <w:rPr>
                <w:rFonts w:ascii="Arial" w:cs="Arial" w:eastAsia="Arial" w:hAnsi="Arial"/>
                <w:sz w:val="18"/>
                <w:szCs w:val="18"/>
                <w:color w:val="auto"/>
              </w:rPr>
              <w:t>under</w:t>
            </w:r>
          </w:p>
        </w:tc>
        <w:tc>
          <w:tcPr>
            <w:tcW w:w="1400" w:type="dxa"/>
            <w:vAlign w:val="bottom"/>
          </w:tcPr>
          <w:p>
            <w:pPr>
              <w:ind w:left="260"/>
              <w:spacing w:after="0"/>
              <w:rPr>
                <w:sz w:val="20"/>
                <w:szCs w:val="20"/>
                <w:color w:val="auto"/>
              </w:rPr>
            </w:pPr>
            <w:r>
              <w:rPr>
                <w:rFonts w:ascii="Arial" w:cs="Arial" w:eastAsia="Arial" w:hAnsi="Arial"/>
                <w:sz w:val="18"/>
                <w:szCs w:val="18"/>
                <w:color w:val="auto"/>
              </w:rPr>
              <w:t>registered</w:t>
            </w:r>
          </w:p>
        </w:tc>
        <w:tc>
          <w:tcPr>
            <w:tcW w:w="680" w:type="dxa"/>
            <w:vAlign w:val="bottom"/>
          </w:tcPr>
          <w:p>
            <w:pPr>
              <w:ind w:left="100"/>
              <w:spacing w:after="0"/>
              <w:rPr>
                <w:sz w:val="20"/>
                <w:szCs w:val="20"/>
                <w:color w:val="auto"/>
              </w:rPr>
            </w:pPr>
            <w:r>
              <w:rPr>
                <w:rFonts w:ascii="Arial" w:cs="Arial" w:eastAsia="Arial" w:hAnsi="Arial"/>
                <w:sz w:val="18"/>
                <w:szCs w:val="18"/>
                <w:color w:val="auto"/>
                <w:w w:val="91"/>
              </w:rPr>
              <w:t>number</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1"/>
              </w:rPr>
              <w:t>U72900DL2003PTC122175 and whose registered</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3"/>
              </w:rPr>
              <w:t>office  is  at  103A  Ashoka  Estate,  Barakhamba</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Road, New Delhi 110 001;</w:t>
            </w:r>
          </w:p>
        </w:tc>
        <w:tc>
          <w:tcPr>
            <w:tcW w:w="680" w:type="dxa"/>
            <w:vAlign w:val="bottom"/>
          </w:tcPr>
          <w:p>
            <w:pPr>
              <w:spacing w:after="0"/>
              <w:rPr>
                <w:sz w:val="19"/>
                <w:szCs w:val="19"/>
                <w:color w:val="auto"/>
              </w:rPr>
            </w:pPr>
          </w:p>
        </w:tc>
      </w:tr>
      <w:tr>
        <w:trPr>
          <w:trHeight w:val="459"/>
        </w:trPr>
        <w:tc>
          <w:tcPr>
            <w:tcW w:w="3660" w:type="dxa"/>
            <w:vAlign w:val="bottom"/>
          </w:tcPr>
          <w:p>
            <w:pPr>
              <w:ind w:left="860"/>
              <w:spacing w:after="0"/>
              <w:rPr>
                <w:sz w:val="20"/>
                <w:szCs w:val="20"/>
                <w:color w:val="auto"/>
              </w:rPr>
            </w:pPr>
            <w:r>
              <w:rPr>
                <w:rFonts w:ascii="Arial" w:cs="Arial" w:eastAsia="Arial" w:hAnsi="Arial"/>
                <w:sz w:val="18"/>
                <w:szCs w:val="18"/>
                <w:color w:val="auto"/>
              </w:rPr>
              <w:t>“Supplementary Disclosure Letter”</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6"/>
              </w:rPr>
              <w:t>has the meaning given to it in the Escrow Deed;</w:t>
            </w: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"Tax Authority"</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3"/>
              </w:rPr>
              <w:t>any local, municipal, governmental, state, federal</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1"/>
              </w:rPr>
              <w:t>or other fiscal or revenue authority, body or official</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9"/>
              </w:rPr>
              <w:t>anywhere  in  the  world  (which  shall  include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6"/>
              </w:rPr>
              <w:t>reference  to  customs  and  excise  authorities)</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competent to impose Taxation;</w:t>
            </w:r>
          </w:p>
        </w:tc>
        <w:tc>
          <w:tcPr>
            <w:tcW w:w="680" w:type="dxa"/>
            <w:vAlign w:val="bottom"/>
          </w:tcPr>
          <w:p>
            <w:pPr>
              <w:spacing w:after="0"/>
              <w:rPr>
                <w:sz w:val="19"/>
                <w:szCs w:val="19"/>
                <w:color w:val="auto"/>
              </w:rPr>
            </w:pP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"Tax or Taxation"</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5"/>
              </w:rPr>
              <w:t>includes any form of taxation, levy, duty, charge,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contribution  or  impost  of  whatever  nature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4"/>
              </w:rPr>
              <w:t>(including any applicable fine, penalty, surcharge</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w w:val="94"/>
              </w:rPr>
              <w:t>or interest) imposed by a Tax Authority;</w:t>
            </w:r>
          </w:p>
        </w:tc>
        <w:tc>
          <w:tcPr>
            <w:tcW w:w="680" w:type="dxa"/>
            <w:vAlign w:val="bottom"/>
          </w:tcPr>
          <w:p>
            <w:pPr>
              <w:spacing w:after="0"/>
              <w:rPr>
                <w:sz w:val="19"/>
                <w:szCs w:val="19"/>
                <w:color w:val="auto"/>
              </w:rPr>
            </w:pPr>
          </w:p>
        </w:tc>
      </w:tr>
      <w:tr>
        <w:trPr>
          <w:trHeight w:val="453"/>
        </w:trPr>
        <w:tc>
          <w:tcPr>
            <w:tcW w:w="3660" w:type="dxa"/>
            <w:vAlign w:val="bottom"/>
          </w:tcPr>
          <w:p>
            <w:pPr>
              <w:ind w:left="860"/>
              <w:spacing w:after="0"/>
              <w:rPr>
                <w:sz w:val="20"/>
                <w:szCs w:val="20"/>
                <w:color w:val="auto"/>
              </w:rPr>
            </w:pPr>
            <w:r>
              <w:rPr>
                <w:rFonts w:ascii="Arial" w:cs="Arial" w:eastAsia="Arial" w:hAnsi="Arial"/>
                <w:sz w:val="18"/>
                <w:szCs w:val="18"/>
                <w:color w:val="auto"/>
              </w:rPr>
              <w:t>“Transitional Services Agreement”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0"/>
              </w:rPr>
              <w:t>the transitional services agreement expected to be</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dated on or about the date of this Agreement</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between the Client and EXL India;</w:t>
            </w:r>
          </w:p>
        </w:tc>
        <w:tc>
          <w:tcPr>
            <w:tcW w:w="680" w:type="dxa"/>
            <w:vAlign w:val="bottom"/>
          </w:tcPr>
          <w:p>
            <w:pPr>
              <w:spacing w:after="0"/>
              <w:rPr>
                <w:sz w:val="19"/>
                <w:szCs w:val="19"/>
                <w:color w:val="auto"/>
              </w:rPr>
            </w:pPr>
          </w:p>
        </w:tc>
      </w:tr>
      <w:tr>
        <w:trPr>
          <w:trHeight w:val="493"/>
        </w:trPr>
        <w:tc>
          <w:tcPr>
            <w:tcW w:w="3660" w:type="dxa"/>
            <w:vAlign w:val="bottom"/>
          </w:tcPr>
          <w:p>
            <w:pPr>
              <w:ind w:left="860"/>
              <w:spacing w:after="0"/>
              <w:rPr>
                <w:sz w:val="20"/>
                <w:szCs w:val="20"/>
                <w:color w:val="auto"/>
              </w:rPr>
            </w:pPr>
            <w:r>
              <w:rPr>
                <w:rFonts w:ascii="Arial" w:cs="Arial" w:eastAsia="Arial" w:hAnsi="Arial"/>
                <w:sz w:val="18"/>
                <w:szCs w:val="18"/>
                <w:color w:val="auto"/>
              </w:rPr>
              <w:t>"Umbrella Agreement"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2"/>
              </w:rPr>
              <w:t>the umbrella agreement, dated 26</w:t>
            </w:r>
            <w:r>
              <w:rPr>
                <w:rFonts w:ascii="Arial" w:cs="Arial" w:eastAsia="Arial" w:hAnsi="Arial"/>
                <w:sz w:val="29"/>
                <w:szCs w:val="29"/>
                <w:color w:val="auto"/>
                <w:w w:val="92"/>
                <w:vertAlign w:val="superscript"/>
              </w:rPr>
              <w:t>th</w:t>
            </w:r>
            <w:r>
              <w:rPr>
                <w:rFonts w:ascii="Arial" w:cs="Arial" w:eastAsia="Arial" w:hAnsi="Arial"/>
                <w:sz w:val="18"/>
                <w:szCs w:val="18"/>
                <w:color w:val="auto"/>
                <w:w w:val="92"/>
              </w:rPr>
              <w:t xml:space="preserve"> August 2004,</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w w:val="92"/>
              </w:rPr>
              <w:t>between (1) the Client, (2) EXL Holdings (US), (3)</w:t>
            </w:r>
          </w:p>
        </w:tc>
      </w:tr>
      <w:tr>
        <w:trPr>
          <w:trHeight w:val="222"/>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EXL India and (4) the SPV;</w:t>
            </w:r>
          </w:p>
        </w:tc>
        <w:tc>
          <w:tcPr>
            <w:tcW w:w="680" w:type="dxa"/>
            <w:vAlign w:val="bottom"/>
          </w:tcPr>
          <w:p>
            <w:pPr>
              <w:spacing w:after="0"/>
              <w:rPr>
                <w:sz w:val="19"/>
                <w:szCs w:val="19"/>
                <w:color w:val="auto"/>
              </w:rPr>
            </w:pPr>
          </w:p>
        </w:tc>
      </w:tr>
      <w:tr>
        <w:trPr>
          <w:trHeight w:val="512"/>
        </w:trPr>
        <w:tc>
          <w:tcPr>
            <w:tcW w:w="3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 w:name="page19"/>
    <w:bookmarkEnd w:id="18"/>
    <w:p>
      <w:pPr>
        <w:ind w:left="40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"Virtual Shareholders'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virtual shareholders' agreement, dated 26</w:t>
      </w:r>
      <w:r>
        <w:rPr>
          <w:rFonts w:ascii="Arial" w:cs="Arial" w:eastAsia="Arial" w:hAnsi="Arial"/>
          <w:sz w:val="13"/>
          <w:szCs w:val="13"/>
          <w:color w:val="auto"/>
        </w:rPr>
        <w:t>th</w:t>
      </w:r>
      <w:r>
        <w:rPr>
          <w:rFonts w:ascii="Arial" w:cs="Arial" w:eastAsia="Arial" w:hAnsi="Arial"/>
          <w:sz w:val="16"/>
          <w:szCs w:val="16"/>
          <w:color w:val="auto"/>
        </w:rPr>
        <w:t xml:space="preserve"> August 2004, between (1) the Client, (2) EXL Holdings (US), EXL India and (4) the SPV; and</w:t>
      </w:r>
    </w:p>
    <w:p>
      <w:pPr>
        <w:spacing w:after="0" w:line="167" w:lineRule="exact"/>
        <w:rPr>
          <w:sz w:val="20"/>
          <w:szCs w:val="20"/>
          <w:color w:val="auto"/>
        </w:rPr>
      </w:pPr>
    </w:p>
    <w:p>
      <w:pPr>
        <w:sectPr>
          <w:pgSz w:w="11900" w:h="16838" w:orient="portrait"/>
          <w:cols w:equalWidth="0" w:num="3">
            <w:col w:w="3320" w:space="720"/>
            <w:col w:w="60" w:space="420"/>
            <w:col w:w="5699"/>
          </w:cols>
          <w:pgMar w:left="240" w:top="131" w:right="1440" w:bottom="1440" w:gutter="0" w:footer="0" w:header="0"/>
          <w:type w:val="continuous"/>
        </w:sectPr>
      </w:pPr>
    </w:p>
    <w:p>
      <w:pPr>
        <w:ind w:left="860"/>
        <w:spacing w:after="0"/>
        <w:rPr>
          <w:sz w:val="20"/>
          <w:szCs w:val="20"/>
          <w:color w:val="auto"/>
        </w:rPr>
      </w:pPr>
      <w:r>
        <w:rPr>
          <w:rFonts w:ascii="Arial" w:cs="Arial" w:eastAsia="Arial" w:hAnsi="Arial"/>
          <w:sz w:val="15"/>
          <w:szCs w:val="15"/>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119"/>
        <w:spacing w:after="0" w:line="268" w:lineRule="auto"/>
        <w:rPr>
          <w:sz w:val="20"/>
          <w:szCs w:val="20"/>
          <w:color w:val="auto"/>
        </w:rPr>
      </w:pPr>
      <w:r>
        <w:rPr>
          <w:rFonts w:ascii="Arial" w:cs="Arial" w:eastAsia="Arial" w:hAnsi="Arial"/>
          <w:sz w:val="18"/>
          <w:szCs w:val="18"/>
          <w:color w:val="auto"/>
        </w:rPr>
        <w:t>the warranties set out in clause 7 (excluding clause 7.8) and schedule 1.</w:t>
      </w:r>
    </w:p>
    <w:p>
      <w:pPr>
        <w:spacing w:after="0" w:line="200" w:lineRule="exact"/>
        <w:rPr>
          <w:sz w:val="20"/>
          <w:szCs w:val="20"/>
          <w:color w:val="auto"/>
        </w:rPr>
      </w:pPr>
    </w:p>
    <w:p>
      <w:pPr>
        <w:sectPr>
          <w:pgSz w:w="11900" w:h="16838" w:orient="portrait"/>
          <w:cols w:equalWidth="0" w:num="3">
            <w:col w:w="3320" w:space="720"/>
            <w:col w:w="60" w:space="420"/>
            <w:col w:w="5699"/>
          </w:cols>
          <w:pgMar w:left="240" w:top="131" w:right="1440" w:bottom="1440" w:gutter="0" w:footer="0" w:header="0"/>
          <w:type w:val="continuous"/>
        </w:sectPr>
      </w:pPr>
    </w:p>
    <w:p>
      <w:pPr>
        <w:spacing w:after="0" w:line="13" w:lineRule="exact"/>
        <w:rPr>
          <w:sz w:val="20"/>
          <w:szCs w:val="20"/>
          <w:color w:val="auto"/>
        </w:rPr>
      </w:pPr>
    </w:p>
    <w:p>
      <w:pPr>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provisions of clauses 1.2 to 1.14 of the Virtual Shareholders' Agreement shall apply to this Agreement as they apply to the Virtual Shareholders' Agreement.</w:t>
      </w:r>
    </w:p>
    <w:p>
      <w:pPr>
        <w:spacing w:after="0" w:line="18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STATEMENTS</w:t>
      </w: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This Agreement is entered into pursuant to the Virtual Shareholders' Agreement.</w:t>
      </w:r>
    </w:p>
    <w:p>
      <w:pPr>
        <w:spacing w:after="0" w:line="225" w:lineRule="exact"/>
        <w:rPr>
          <w:sz w:val="20"/>
          <w:szCs w:val="20"/>
          <w:color w:val="auto"/>
        </w:rPr>
      </w:pPr>
    </w:p>
    <w:p>
      <w:pPr>
        <w:jc w:val="both"/>
        <w:ind w:left="660" w:right="2099" w:hanging="647"/>
        <w:spacing w:after="0" w:line="259"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EXL Holdings (US) warrants to the Client that 9,999 equity shares of SPV are owned by EXL India and one share is held by Rajiv Kishan Luthra (as nominee of EXL India) and that it can procure the sale of those shares to the Client.</w:t>
      </w:r>
    </w:p>
    <w:p>
      <w:pPr>
        <w:spacing w:after="0" w:line="194" w:lineRule="exact"/>
        <w:rPr>
          <w:sz w:val="20"/>
          <w:szCs w:val="20"/>
          <w:color w:val="auto"/>
        </w:rPr>
      </w:pPr>
    </w:p>
    <w:p>
      <w:pPr>
        <w:jc w:val="both"/>
        <w:ind w:left="660" w:right="2099" w:hanging="647"/>
        <w:spacing w:after="0" w:line="268"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EXL Holdings (US) wishes EXL India to sell and the Client wishes to buy the Shares on the terms and subject to the conditions of this Agreement.</w:t>
      </w:r>
    </w:p>
    <w:p>
      <w:pPr>
        <w:spacing w:after="0" w:line="18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258" w:lineRule="exact"/>
        <w:rPr>
          <w:sz w:val="20"/>
          <w:szCs w:val="20"/>
          <w:color w:val="auto"/>
        </w:rPr>
      </w:pPr>
    </w:p>
    <w:p>
      <w:pPr>
        <w:jc w:val="both"/>
        <w:ind w:left="660" w:right="2119" w:hanging="647"/>
        <w:spacing w:after="0" w:line="25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EXL Holdings (US) shall procure the sale by EXL India of the Shares as beneficial owner and the Client shall buy the Shares free from any Encumbrance, and together with all rights now and hereafter attaching or accruing to them and all dividends and distributions declared, made or paid on or after the Completion Date.</w:t>
      </w:r>
    </w:p>
    <w:p>
      <w:pPr>
        <w:spacing w:after="0" w:line="197" w:lineRule="exact"/>
        <w:rPr>
          <w:sz w:val="20"/>
          <w:szCs w:val="20"/>
          <w:color w:val="auto"/>
        </w:rPr>
      </w:pPr>
    </w:p>
    <w:p>
      <w:pPr>
        <w:jc w:val="both"/>
        <w:ind w:left="660" w:right="2119" w:hanging="647"/>
        <w:spacing w:after="0" w:line="306"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Client shall not be obliged to complete the purchase of any of the Shares unless the purchase of all of the Shares is completed simultaneously. However, completion of the purchase of some of the Shares will not affect the rights of the Client with respect to the others.</w:t>
      </w:r>
    </w:p>
    <w:p>
      <w:pPr>
        <w:spacing w:after="0" w:line="161" w:lineRule="exact"/>
        <w:rPr>
          <w:sz w:val="20"/>
          <w:szCs w:val="20"/>
          <w:color w:val="auto"/>
        </w:rPr>
      </w:pPr>
    </w:p>
    <w:p>
      <w:pPr>
        <w:jc w:val="both"/>
        <w:ind w:left="660" w:right="2099" w:hanging="647"/>
        <w:spacing w:after="0" w:line="25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For so long after Completion as EXL India remains the registered holder of any of the Shares, EXL Holdings (US) shall procure that EXL India holds them and any distributions, property and rights deriving from them in trust for the Client and shall deal with the Shares and any distributions, property and rights deriving from them as the Client directs.</w:t>
      </w:r>
    </w:p>
    <w:p>
      <w:pPr>
        <w:spacing w:after="0" w:line="19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58"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consideration for the Shares (“the Consideration”) shall comprise the payment in cash of an amount equal to the Net Asset Value.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Provisional Consideration shall be INR 51.8 million or such other figure as the parties may agree,</w:t>
      </w:r>
    </w:p>
    <w:p>
      <w:pPr>
        <w:spacing w:after="0" w:line="15" w:lineRule="exact"/>
        <w:rPr>
          <w:sz w:val="20"/>
          <w:szCs w:val="20"/>
          <w:color w:val="auto"/>
        </w:rPr>
      </w:pPr>
    </w:p>
    <w:p>
      <w:pPr>
        <w:jc w:val="center"/>
        <w:ind w:right="2059"/>
        <w:spacing w:after="0"/>
        <w:rPr>
          <w:sz w:val="20"/>
          <w:szCs w:val="20"/>
          <w:color w:val="auto"/>
        </w:rPr>
      </w:pPr>
      <w:r>
        <w:rPr>
          <w:rFonts w:ascii="Arial" w:cs="Arial" w:eastAsia="Arial" w:hAnsi="Arial"/>
          <w:sz w:val="18"/>
          <w:szCs w:val="18"/>
          <w:color w:val="auto"/>
        </w:rPr>
        <w:t>which the parties agree is based on the fair value of the Shares calculated as at 29 February 2008.</w:t>
      </w:r>
    </w:p>
    <w:p>
      <w:pPr>
        <w:spacing w:after="0" w:line="219" w:lineRule="exact"/>
        <w:rPr>
          <w:sz w:val="20"/>
          <w:szCs w:val="20"/>
          <w:color w:val="auto"/>
        </w:rPr>
      </w:pPr>
    </w:p>
    <w:p>
      <w:pPr>
        <w:jc w:val="both"/>
        <w:ind w:left="660" w:right="2119" w:hanging="647"/>
        <w:spacing w:after="0" w:line="298"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Client shall procure that the Auditors shall determine the Net Asset Value and deliver to EXL Holdings (US) a draft statement of the Net Asset Value as soon as practicable after Completion and, in any event, within 30 Business Days after the Completion Date. Insofar as it relates to NAV, the statement shall be drawn up from the accounting records of the SPV on a going concern basis in accordance with:</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5"/>
          <w:szCs w:val="15"/>
          <w:color w:val="auto"/>
        </w:rPr>
        <w:t>the accounting policies set out in clause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9" w:name="page20"/>
    <w:bookmarkEnd w:id="19"/>
    <w:p>
      <w:pPr>
        <w:ind w:left="40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jc w:val="both"/>
        <w:ind w:left="1300" w:right="2119" w:hanging="647"/>
        <w:spacing w:after="0" w:line="268" w:lineRule="auto"/>
        <w:tabs>
          <w:tab w:leader="none" w:pos="12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(to the extent not inconsistent with clause 4.3.1) the accounting policies, estimation techniques and measurement bases used for the preparation of the Accounts; and</w:t>
      </w:r>
    </w:p>
    <w:p>
      <w:pPr>
        <w:spacing w:after="0" w:line="186" w:lineRule="exact"/>
        <w:rPr>
          <w:sz w:val="20"/>
          <w:szCs w:val="20"/>
          <w:color w:val="auto"/>
        </w:rPr>
      </w:pPr>
    </w:p>
    <w:p>
      <w:pPr>
        <w:jc w:val="both"/>
        <w:ind w:left="1300" w:right="2119" w:hanging="647"/>
        <w:spacing w:after="0" w:line="268" w:lineRule="auto"/>
        <w:tabs>
          <w:tab w:leader="none" w:pos="12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(to the extent not inconsistent with clauses 4.3.1 and 4.3.2) US generally accepted accounting principles as at the Completion Date.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The policies mentioned in clause 4.3.1 are as follows: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5"/>
          <w:szCs w:val="15"/>
          <w:color w:val="auto"/>
        </w:rPr>
        <w:t>no value shall be attributed to intangible assets; and</w:t>
      </w:r>
    </w:p>
    <w:p>
      <w:pPr>
        <w:spacing w:after="0" w:line="252" w:lineRule="exact"/>
        <w:rPr>
          <w:sz w:val="20"/>
          <w:szCs w:val="20"/>
          <w:color w:val="auto"/>
        </w:rPr>
      </w:pPr>
    </w:p>
    <w:p>
      <w:pPr>
        <w:jc w:val="both"/>
        <w:ind w:left="1300" w:right="2119" w:hanging="647"/>
        <w:spacing w:after="0" w:line="259" w:lineRule="auto"/>
        <w:tabs>
          <w:tab w:leader="none" w:pos="12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the value attributed to any asset which was acquired by the SPV to replace a destroyed or lost asset shall be the value which would have been attributed to the destroyed or lost asset had it not been destroyed or lost.</w:t>
      </w:r>
    </w:p>
    <w:p>
      <w:pPr>
        <w:spacing w:after="0" w:line="194" w:lineRule="exact"/>
        <w:rPr>
          <w:sz w:val="20"/>
          <w:szCs w:val="20"/>
          <w:color w:val="auto"/>
        </w:rPr>
      </w:pPr>
    </w:p>
    <w:p>
      <w:pPr>
        <w:jc w:val="both"/>
        <w:ind w:left="660" w:right="2099" w:hanging="647"/>
        <w:spacing w:after="0" w:line="286"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EXL Holdings (US) shall be entitled (but not obliged), at its own cost, to undertake (or procure its accountants to undertake) a review of the statement delivered to it under clause 4.3 and the Client shall provide to EXL Holdings (US) and its accountants all reasonable assistance reasonably required by EXL Holdings (US) and/or (as the case may be) its accountants in order to enable EXL Holdings (US) to exercise its rights under this clause 4. EXL Holdings (US) shall be entitled to notify the Client that it disagrees with the draft statement of NAV, any such notification to give reasons in detail for such disagreement and, if such review is undertaken by EXL Holdings (US)'s accountants, to be accompanied by a letter from those accountants supporting such disagreement and such reasons. EXL Holdings (US) shall not be entitled to give such notification to the Client at any time after the date 20 Business Days after delivery to it of the draft statement and following such date EXL Holdings (US) shall in the absence of any prior notification be deemed to have agreed such draft statement in the form delivered to it.</w:t>
      </w:r>
    </w:p>
    <w:p>
      <w:pPr>
        <w:spacing w:after="0" w:line="181" w:lineRule="exact"/>
        <w:rPr>
          <w:sz w:val="20"/>
          <w:szCs w:val="20"/>
          <w:color w:val="auto"/>
        </w:rPr>
      </w:pPr>
    </w:p>
    <w:p>
      <w:pPr>
        <w:jc w:val="both"/>
        <w:ind w:left="660" w:right="2099" w:hanging="647"/>
        <w:spacing w:after="0" w:line="254"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 the event that a notification of disagreement is given to the Client in accordance with clause 4.5, the Parties shall (in conjunction with the Auditors and (if relevant) EXL Holdings (US)'s accountants) meet and discuss EXL Holdings (US)'s objections to the draft statement referred to in the notification (and any other matters which are raised by the Client) in order to seek to reach agreement upon such adjustments (if any) to the draft statement of the NAV as are acceptable to the Parties so as to enable such draft to be finalised.</w:t>
      </w:r>
    </w:p>
    <w:p>
      <w:pPr>
        <w:spacing w:after="0" w:line="198" w:lineRule="exact"/>
        <w:rPr>
          <w:sz w:val="20"/>
          <w:szCs w:val="20"/>
          <w:color w:val="auto"/>
        </w:rPr>
      </w:pPr>
    </w:p>
    <w:p>
      <w:pPr>
        <w:jc w:val="both"/>
        <w:ind w:left="660" w:right="2099" w:hanging="647"/>
        <w:spacing w:after="0" w:line="291"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If the Parties are unable to resolve any differences of views within 15 Business Days following the receipt by the Client of the notification of disagreement pursuant to clause 4.5, the matters in dispute shall be referred to the Independent Accountants for determination. The Independent Accountants shall act as experts and not as arbitrators and their decision (in the absence of manifest error) shall be final and binding on the Parties. The fees of the Independent Accountants shall be payable by the Parties in such proportions as the Independent Accountants determine.</w:t>
      </w:r>
    </w:p>
    <w:p>
      <w:pPr>
        <w:spacing w:after="0" w:line="174"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Independent Accountants shall decide the procedures to be followed in the determination, but the following provisions shall apply in any event:</w:t>
      </w:r>
    </w:p>
    <w:p>
      <w:pPr>
        <w:spacing w:after="0" w:line="186" w:lineRule="exact"/>
        <w:rPr>
          <w:sz w:val="20"/>
          <w:szCs w:val="20"/>
          <w:color w:val="auto"/>
        </w:rPr>
      </w:pPr>
    </w:p>
    <w:p>
      <w:pPr>
        <w:jc w:val="both"/>
        <w:ind w:left="1300" w:right="2119" w:hanging="647"/>
        <w:spacing w:after="0" w:line="259" w:lineRule="auto"/>
        <w:tabs>
          <w:tab w:leader="none" w:pos="128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8"/>
          <w:szCs w:val="18"/>
          <w:color w:val="auto"/>
        </w:rPr>
        <w:t>the outstanding matters in dispute shall be notified to the Independent Accountants in writing by the Client and/or EXL Holdings (US) within five Business Days of the Independent Accountants' appointment;</w:t>
      </w:r>
    </w:p>
    <w:p>
      <w:pPr>
        <w:spacing w:after="0" w:line="194" w:lineRule="exact"/>
        <w:rPr>
          <w:sz w:val="20"/>
          <w:szCs w:val="20"/>
          <w:color w:val="auto"/>
        </w:rPr>
      </w:pPr>
    </w:p>
    <w:p>
      <w:pPr>
        <w:jc w:val="both"/>
        <w:ind w:left="1300" w:right="2119" w:hanging="647"/>
        <w:spacing w:after="0" w:line="298" w:lineRule="auto"/>
        <w:tabs>
          <w:tab w:leader="none" w:pos="128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6"/>
          <w:szCs w:val="16"/>
          <w:color w:val="auto"/>
        </w:rPr>
        <w:t>the Independent Accountants' terms of reference shall be to determine the outstanding matters in dispute, including the finalisation of the form and content of the statement of the NAV, taking into account the provisions of this Agreement, within 15 Business Days of receipt of each Party's submissions referred to in clause 4.8.5, or as soon as practicable afterwards;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ind w:left="336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95" w:lineRule="exact"/>
        <w:rPr>
          <w:sz w:val="20"/>
          <w:szCs w:val="20"/>
          <w:color w:val="auto"/>
        </w:rPr>
      </w:pPr>
    </w:p>
    <w:p>
      <w:pPr>
        <w:jc w:val="both"/>
        <w:ind w:left="640" w:right="2119" w:hanging="647"/>
        <w:spacing w:after="0" w:line="294" w:lineRule="auto"/>
        <w:tabs>
          <w:tab w:leader="none" w:pos="62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6"/>
          <w:szCs w:val="16"/>
          <w:color w:val="auto"/>
        </w:rPr>
        <w:t>EXL Holdings (US) and/or EXL Holdings (US)'s accountants and the Client and/or the Auditors shall each promptly prepare a written statement setting out their respective positions on the matters in dispute ("Opening Submissions") and shall, within 10 Business Days of the appointment of the Independent Accountants, deliver to them two copies of their respective Opening Submissions (together with any necessary and relevant supporting documentation);</w:t>
      </w:r>
    </w:p>
    <w:p>
      <w:pPr>
        <w:spacing w:after="0" w:line="170" w:lineRule="exact"/>
        <w:rPr>
          <w:sz w:val="20"/>
          <w:szCs w:val="20"/>
          <w:color w:val="auto"/>
        </w:rPr>
      </w:pPr>
    </w:p>
    <w:p>
      <w:pPr>
        <w:jc w:val="both"/>
        <w:ind w:left="640" w:right="2099" w:hanging="647"/>
        <w:spacing w:after="0" w:line="256" w:lineRule="auto"/>
        <w:tabs>
          <w:tab w:leader="none" w:pos="620" w:val="left"/>
        </w:tabs>
        <w:rPr>
          <w:sz w:val="20"/>
          <w:szCs w:val="20"/>
          <w:color w:val="auto"/>
        </w:rPr>
      </w:pPr>
      <w:r>
        <w:rPr>
          <w:rFonts w:ascii="Arial" w:cs="Arial" w:eastAsia="Arial" w:hAnsi="Arial"/>
          <w:sz w:val="18"/>
          <w:szCs w:val="18"/>
          <w:color w:val="auto"/>
        </w:rPr>
        <w:t>4.8.4</w:t>
      </w:r>
      <w:r>
        <w:rPr>
          <w:sz w:val="20"/>
          <w:szCs w:val="20"/>
          <w:color w:val="auto"/>
        </w:rPr>
        <w:tab/>
      </w:r>
      <w:r>
        <w:rPr>
          <w:rFonts w:ascii="Arial" w:cs="Arial" w:eastAsia="Arial" w:hAnsi="Arial"/>
          <w:sz w:val="18"/>
          <w:szCs w:val="18"/>
          <w:color w:val="auto"/>
        </w:rPr>
        <w:t>the Parties shall procure that, upon receipt of both Parties' Opening Submissions, the Independent Accountants shall arrange for a copy of EXL Holdings (US)'s Opening Submissions to be delivered to the Client, and a copy of the Client's Opening Submissions to be delivered to EXL Holdings (US);</w:t>
      </w:r>
    </w:p>
    <w:p>
      <w:pPr>
        <w:spacing w:after="0" w:line="197" w:lineRule="exact"/>
        <w:rPr>
          <w:sz w:val="20"/>
          <w:szCs w:val="20"/>
          <w:color w:val="auto"/>
        </w:rPr>
      </w:pPr>
    </w:p>
    <w:p>
      <w:pPr>
        <w:jc w:val="both"/>
        <w:ind w:left="640" w:right="2099" w:hanging="647"/>
        <w:spacing w:after="0" w:line="256" w:lineRule="auto"/>
        <w:tabs>
          <w:tab w:leader="none" w:pos="620"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8"/>
          <w:szCs w:val="18"/>
          <w:color w:val="auto"/>
        </w:rPr>
        <w:t>within 10 Business Days of such delivery, the Parties shall each comment in writing on the Opening Submissions and documentation submitted by the other Party ("Submissions in Reply"), and two copies of such Submissions in Reply shall be addressed and delivered to the Independent Accountants;</w:t>
      </w:r>
    </w:p>
    <w:p>
      <w:pPr>
        <w:spacing w:after="0" w:line="197" w:lineRule="exact"/>
        <w:rPr>
          <w:sz w:val="20"/>
          <w:szCs w:val="20"/>
          <w:color w:val="auto"/>
        </w:rPr>
      </w:pPr>
    </w:p>
    <w:p>
      <w:pPr>
        <w:jc w:val="both"/>
        <w:ind w:left="640" w:right="2119" w:hanging="647"/>
        <w:spacing w:after="0" w:line="256" w:lineRule="auto"/>
        <w:tabs>
          <w:tab w:leader="none" w:pos="620" w:val="left"/>
        </w:tabs>
        <w:rPr>
          <w:sz w:val="20"/>
          <w:szCs w:val="20"/>
          <w:color w:val="auto"/>
        </w:rPr>
      </w:pPr>
      <w:r>
        <w:rPr>
          <w:rFonts w:ascii="Arial" w:cs="Arial" w:eastAsia="Arial" w:hAnsi="Arial"/>
          <w:sz w:val="18"/>
          <w:szCs w:val="18"/>
          <w:color w:val="auto"/>
        </w:rPr>
        <w:t>4.8.6</w:t>
      </w:r>
      <w:r>
        <w:rPr>
          <w:sz w:val="20"/>
          <w:szCs w:val="20"/>
          <w:color w:val="auto"/>
        </w:rPr>
        <w:tab/>
      </w:r>
      <w:r>
        <w:rPr>
          <w:rFonts w:ascii="Arial" w:cs="Arial" w:eastAsia="Arial" w:hAnsi="Arial"/>
          <w:sz w:val="18"/>
          <w:szCs w:val="18"/>
          <w:color w:val="auto"/>
        </w:rPr>
        <w:t>the Parties shall procure that, upon receipt of both Parties' Submissions in Reply, the Independent Accountants shall arrange for a copy of EXL Holdings (US)'s Submissions in Reply to be delivered to the Client, and a copy of the Client's Submissions in Reply to be delivered to EXL Holdings (US); and</w:t>
      </w:r>
    </w:p>
    <w:p>
      <w:pPr>
        <w:spacing w:after="0" w:line="197" w:lineRule="exact"/>
        <w:rPr>
          <w:sz w:val="20"/>
          <w:szCs w:val="20"/>
          <w:color w:val="auto"/>
        </w:rPr>
      </w:pPr>
    </w:p>
    <w:p>
      <w:pPr>
        <w:jc w:val="both"/>
        <w:ind w:left="640" w:right="2119" w:hanging="647"/>
        <w:spacing w:after="0" w:line="298" w:lineRule="auto"/>
        <w:tabs>
          <w:tab w:leader="none" w:pos="620" w:val="left"/>
        </w:tabs>
        <w:rPr>
          <w:sz w:val="20"/>
          <w:szCs w:val="20"/>
          <w:color w:val="auto"/>
        </w:rPr>
      </w:pPr>
      <w:r>
        <w:rPr>
          <w:rFonts w:ascii="Arial" w:cs="Arial" w:eastAsia="Arial" w:hAnsi="Arial"/>
          <w:sz w:val="18"/>
          <w:szCs w:val="18"/>
          <w:color w:val="auto"/>
        </w:rPr>
        <w:t>4.8.7</w:t>
      </w:r>
      <w:r>
        <w:rPr>
          <w:sz w:val="20"/>
          <w:szCs w:val="20"/>
          <w:color w:val="auto"/>
        </w:rPr>
        <w:tab/>
      </w:r>
      <w:r>
        <w:rPr>
          <w:rFonts w:ascii="Arial" w:cs="Arial" w:eastAsia="Arial" w:hAnsi="Arial"/>
          <w:sz w:val="16"/>
          <w:szCs w:val="16"/>
          <w:color w:val="auto"/>
        </w:rPr>
        <w:t>the Parties shall require the Independent Accountants to deliver their decision in writing to each of the Parties as soon as possible after each of the Parties has complied with its obligations under this clause 4.8 and, in any event, within 15 Business Days of both Parties complying with 4.8.5 and any request made by the Independent Accountants pursuant to clause 4.9 below.</w:t>
      </w:r>
    </w:p>
    <w:p>
      <w:pPr>
        <w:spacing w:after="0" w:line="167" w:lineRule="exact"/>
        <w:rPr>
          <w:sz w:val="20"/>
          <w:szCs w:val="20"/>
          <w:color w:val="auto"/>
        </w:rPr>
      </w:pPr>
    </w:p>
    <w:p>
      <w:pPr>
        <w:jc w:val="both"/>
        <w:ind w:right="2119" w:hanging="647"/>
        <w:spacing w:after="0" w:line="332"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color w:val="auto"/>
        </w:rPr>
        <w:t>The Parties shall co-operate with the Independent Accountants and comply with any reasonable requests made in connection with the carrying out of their duties under this Agreement.</w:t>
      </w:r>
    </w:p>
    <w:p>
      <w:pPr>
        <w:spacing w:after="0" w:line="139" w:lineRule="exact"/>
        <w:rPr>
          <w:sz w:val="20"/>
          <w:szCs w:val="20"/>
          <w:color w:val="auto"/>
        </w:rPr>
      </w:pPr>
    </w:p>
    <w:p>
      <w:pPr>
        <w:jc w:val="both"/>
        <w:ind w:right="2119" w:hanging="647"/>
        <w:spacing w:after="0" w:line="256"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8"/>
          <w:szCs w:val="18"/>
          <w:color w:val="auto"/>
        </w:rPr>
        <w:t>Nothing in this clause 4 shall entitle a Party or the Independent Accountants access to any information or document which is protected by legal professional privilege, or which has been prepared by the other Party or its accountants and other professional advisers with a view to assessing the merits of any claim or argument.</w:t>
      </w:r>
    </w:p>
    <w:p>
      <w:pPr>
        <w:spacing w:after="0" w:line="197" w:lineRule="exact"/>
        <w:rPr>
          <w:sz w:val="20"/>
          <w:szCs w:val="20"/>
          <w:color w:val="auto"/>
        </w:rPr>
      </w:pPr>
    </w:p>
    <w:p>
      <w:pPr>
        <w:jc w:val="both"/>
        <w:ind w:right="2099" w:hanging="647"/>
        <w:spacing w:after="0" w:line="255"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color w:val="auto"/>
        </w:rPr>
        <w:t>The determination pursuant to 4.7 of the Net Asset Value shall not adversely affect, limit or prejudice or constitute a waiver of any right or remedy of the Client in relation to any claim which it may have against EXL Holdings (US) in respect of any breach of any of the Warranties or under any of the other provisions of this Agreement provided that the Client shall not be entitled to recover twice in respect of the same loss.</w:t>
      </w:r>
    </w:p>
    <w:p>
      <w:pPr>
        <w:spacing w:after="0" w:line="197" w:lineRule="exact"/>
        <w:rPr>
          <w:sz w:val="20"/>
          <w:szCs w:val="20"/>
          <w:color w:val="auto"/>
        </w:rPr>
      </w:pPr>
    </w:p>
    <w:p>
      <w:pPr>
        <w:jc w:val="both"/>
        <w:ind w:right="2119" w:hanging="647"/>
        <w:spacing w:after="0" w:line="268" w:lineRule="auto"/>
        <w:rPr>
          <w:sz w:val="20"/>
          <w:szCs w:val="20"/>
          <w:color w:val="auto"/>
        </w:rPr>
      </w:pPr>
      <w:r>
        <w:rPr>
          <w:rFonts w:ascii="Arial" w:cs="Arial" w:eastAsia="Arial" w:hAnsi="Arial"/>
          <w:sz w:val="18"/>
          <w:szCs w:val="18"/>
          <w:color w:val="auto"/>
        </w:rPr>
        <w:t>4.12</w:t>
      </w:r>
      <w:r>
        <w:rPr>
          <w:sz w:val="20"/>
          <w:szCs w:val="20"/>
          <w:color w:val="auto"/>
        </w:rPr>
        <w:t xml:space="preserve"> </w:t>
      </w:r>
      <w:r>
        <w:rPr>
          <w:rFonts w:ascii="Arial" w:cs="Arial" w:eastAsia="Arial" w:hAnsi="Arial"/>
          <w:sz w:val="18"/>
          <w:szCs w:val="18"/>
          <w:color w:val="auto"/>
        </w:rPr>
        <w:t>If the aggregate amount, as agreed by the Parties pursuant to clause 4.5 above or determined pursuant to clause 4.7 above is:-</w:t>
      </w:r>
    </w:p>
    <w:p>
      <w:pPr>
        <w:spacing w:after="0" w:line="186" w:lineRule="exact"/>
        <w:rPr>
          <w:sz w:val="20"/>
          <w:szCs w:val="20"/>
          <w:color w:val="auto"/>
        </w:rPr>
      </w:pPr>
    </w:p>
    <w:p>
      <w:pPr>
        <w:jc w:val="both"/>
        <w:ind w:left="640" w:right="2099" w:hanging="647"/>
        <w:spacing w:after="0" w:line="294" w:lineRule="auto"/>
        <w:tabs>
          <w:tab w:leader="none" w:pos="620" w:val="left"/>
        </w:tabs>
        <w:rPr>
          <w:sz w:val="20"/>
          <w:szCs w:val="20"/>
          <w:color w:val="auto"/>
        </w:rPr>
      </w:pPr>
      <w:r>
        <w:rPr>
          <w:rFonts w:ascii="Arial" w:cs="Arial" w:eastAsia="Arial" w:hAnsi="Arial"/>
          <w:sz w:val="18"/>
          <w:szCs w:val="18"/>
          <w:color w:val="auto"/>
        </w:rPr>
        <w:t>4.12.1</w:t>
      </w:r>
      <w:r>
        <w:rPr>
          <w:sz w:val="20"/>
          <w:szCs w:val="20"/>
          <w:color w:val="auto"/>
        </w:rPr>
        <w:tab/>
      </w:r>
      <w:r>
        <w:rPr>
          <w:rFonts w:ascii="Arial" w:cs="Arial" w:eastAsia="Arial" w:hAnsi="Arial"/>
          <w:sz w:val="16"/>
          <w:szCs w:val="16"/>
          <w:color w:val="auto"/>
        </w:rPr>
        <w:t>greater than the amount of the Provisional Consideration paid pursuant to clause 6.2 below, the Client shall, within seven business days of such agreement or determination, pay the proportion of the amount of the difference due to each selling shareholder by telegraphic transfer for same day value to the bank account nominated by EXL Holdings (US) for this purpose of (i) EXL India and (ii) Rajiv Kishan Luthra, remitted in Indian rupees; or</w:t>
      </w:r>
    </w:p>
    <w:p>
      <w:pPr>
        <w:spacing w:after="0" w:line="170" w:lineRule="exact"/>
        <w:rPr>
          <w:sz w:val="20"/>
          <w:szCs w:val="20"/>
          <w:color w:val="auto"/>
        </w:rPr>
      </w:pPr>
    </w:p>
    <w:p>
      <w:pPr>
        <w:jc w:val="both"/>
        <w:ind w:left="640" w:right="2119" w:hanging="647"/>
        <w:spacing w:after="0" w:line="259" w:lineRule="auto"/>
        <w:tabs>
          <w:tab w:leader="none" w:pos="620" w:val="left"/>
        </w:tabs>
        <w:rPr>
          <w:sz w:val="20"/>
          <w:szCs w:val="20"/>
          <w:color w:val="auto"/>
        </w:rPr>
      </w:pPr>
      <w:r>
        <w:rPr>
          <w:rFonts w:ascii="Arial" w:cs="Arial" w:eastAsia="Arial" w:hAnsi="Arial"/>
          <w:sz w:val="18"/>
          <w:szCs w:val="18"/>
          <w:color w:val="auto"/>
        </w:rPr>
        <w:t>4.12.2</w:t>
        <w:tab/>
        <w:t>less than the amount of the Provisional Consideration paid pursuant to clause 6.2 below, EXL Holdings (US) shall, within seven business days of such agreement or determination, pay to the Client the amount of the difference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289560</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559"/>
          </w:cols>
          <w:pgMar w:left="900" w:top="131" w:right="1440" w:bottom="1440" w:gutter="0" w:footer="0" w:header="0"/>
        </w:sectPr>
      </w:pPr>
    </w:p>
    <w:bookmarkStart w:id="21" w:name="page22"/>
    <w:bookmarkEnd w:id="21"/>
    <w:p>
      <w:pPr>
        <w:ind w:left="402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95" w:lineRule="exact"/>
        <w:rPr>
          <w:sz w:val="20"/>
          <w:szCs w:val="20"/>
          <w:color w:val="auto"/>
        </w:rPr>
      </w:pPr>
    </w:p>
    <w:p>
      <w:pPr>
        <w:ind w:left="1300" w:right="2119"/>
        <w:spacing w:after="0" w:line="268" w:lineRule="auto"/>
        <w:rPr>
          <w:sz w:val="20"/>
          <w:szCs w:val="20"/>
          <w:color w:val="auto"/>
        </w:rPr>
      </w:pPr>
      <w:r>
        <w:rPr>
          <w:rFonts w:ascii="Arial" w:cs="Arial" w:eastAsia="Arial" w:hAnsi="Arial"/>
          <w:sz w:val="18"/>
          <w:szCs w:val="18"/>
          <w:color w:val="auto"/>
        </w:rPr>
        <w:t>telegraphic transfer for same day value to the bank account nominated by the Client for this purpose remitted in Indian rupees.</w:t>
      </w:r>
    </w:p>
    <w:p>
      <w:pPr>
        <w:spacing w:after="0" w:line="18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ESCROW</w:t>
      </w:r>
    </w:p>
    <w:p>
      <w:pPr>
        <w:spacing w:after="0" w:line="258" w:lineRule="exact"/>
        <w:rPr>
          <w:sz w:val="20"/>
          <w:szCs w:val="20"/>
          <w:color w:val="auto"/>
        </w:rPr>
      </w:pPr>
    </w:p>
    <w:p>
      <w:pPr>
        <w:ind w:left="660" w:right="2119"/>
        <w:spacing w:after="0" w:line="268" w:lineRule="auto"/>
        <w:rPr>
          <w:sz w:val="20"/>
          <w:szCs w:val="20"/>
          <w:color w:val="auto"/>
        </w:rPr>
      </w:pPr>
      <w:r>
        <w:rPr>
          <w:rFonts w:ascii="Arial" w:cs="Arial" w:eastAsia="Arial" w:hAnsi="Arial"/>
          <w:sz w:val="18"/>
          <w:szCs w:val="18"/>
          <w:color w:val="auto"/>
        </w:rPr>
        <w:t>This Agreement shall not become effective until it shall have been released from escrow in accordance with the terms of the Escrow Deed.</w:t>
      </w:r>
    </w:p>
    <w:p>
      <w:pPr>
        <w:spacing w:after="0" w:line="18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Completion shall take place at the Client's registered office at 10.00 am on the Completion Date.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On Completion: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the Parties will comply with their respective obligations in schedule 2;</w:t>
      </w:r>
    </w:p>
    <w:p>
      <w:pPr>
        <w:spacing w:after="0" w:line="252" w:lineRule="exact"/>
        <w:rPr>
          <w:sz w:val="20"/>
          <w:szCs w:val="20"/>
          <w:color w:val="auto"/>
        </w:rPr>
      </w:pPr>
    </w:p>
    <w:p>
      <w:pPr>
        <w:jc w:val="both"/>
        <w:ind w:left="1300" w:right="2119" w:hanging="647"/>
        <w:spacing w:after="0" w:line="259" w:lineRule="auto"/>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EXL Holdings (US) shall procure that all indebtedness between the Client and EXL Holdings (US) or any Affiliate shall be repaid and that any agreements in force between the SPV and EXL Holdings (US) or any Affiliate shall be terminated; and</w:t>
      </w:r>
    </w:p>
    <w:p>
      <w:pPr>
        <w:spacing w:after="0" w:line="194" w:lineRule="exact"/>
        <w:rPr>
          <w:sz w:val="20"/>
          <w:szCs w:val="20"/>
          <w:color w:val="auto"/>
        </w:rPr>
      </w:pPr>
    </w:p>
    <w:p>
      <w:pPr>
        <w:jc w:val="both"/>
        <w:ind w:left="1300" w:right="2119" w:hanging="647"/>
        <w:spacing w:after="0" w:line="306" w:lineRule="auto"/>
        <w:tabs>
          <w:tab w:leader="none" w:pos="12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Client shall pay the proportion of the Provisional Consideration due to each selling shareholder by telegraphic transfer for same day value to the bank account nominated in writing by EXL Holdings (US) of (i) EXL India and (ii) Rajiv Kishan Luthra, remitted in Indian rupees.</w:t>
      </w:r>
    </w:p>
    <w:p>
      <w:pPr>
        <w:spacing w:after="0" w:line="161" w:lineRule="exact"/>
        <w:rPr>
          <w:sz w:val="20"/>
          <w:szCs w:val="20"/>
          <w:color w:val="auto"/>
        </w:rPr>
      </w:pPr>
    </w:p>
    <w:p>
      <w:pPr>
        <w:jc w:val="both"/>
        <w:ind w:left="660" w:right="2119" w:hanging="647"/>
        <w:spacing w:after="0" w:line="259"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any of the requirements of schedule 2 (to the extent not previously waived in terms of this Agreement) are not complied with on the Completion Date, the Client may (without prejudice to its other rights and remedies, including the right to claim damages for the breach):</w:t>
      </w:r>
    </w:p>
    <w:p>
      <w:pPr>
        <w:spacing w:after="0" w:line="194" w:lineRule="exact"/>
        <w:rPr>
          <w:sz w:val="20"/>
          <w:szCs w:val="20"/>
          <w:color w:val="auto"/>
        </w:rPr>
      </w:pPr>
    </w:p>
    <w:p>
      <w:pPr>
        <w:ind w:left="1300" w:right="2099" w:hanging="647"/>
        <w:spacing w:after="0" w:line="268" w:lineRule="auto"/>
        <w:tabs>
          <w:tab w:leader="none" w:pos="12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defer Completion to a date not more than 30 days after such date (and so that the provisions of this clause 6.3 shall apply to Completion as so deferred); or</w:t>
      </w:r>
    </w:p>
    <w:p>
      <w:pPr>
        <w:spacing w:after="0" w:line="186" w:lineRule="exact"/>
        <w:rPr>
          <w:sz w:val="20"/>
          <w:szCs w:val="20"/>
          <w:color w:val="auto"/>
        </w:rPr>
      </w:pPr>
    </w:p>
    <w:p>
      <w:pPr>
        <w:ind w:left="1300" w:right="2119" w:hanging="647"/>
        <w:spacing w:after="0" w:line="268" w:lineRule="auto"/>
        <w:tabs>
          <w:tab w:leader="none" w:pos="12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proceed to Completion so far as practicable (without prejudice to its rights under this Agreement); or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rescind this Agreement without liability on its part;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color w:val="auto"/>
        </w:rPr>
        <w:t>waive all or any of the obligations in question.</w:t>
      </w:r>
    </w:p>
    <w:p>
      <w:pPr>
        <w:spacing w:after="0" w:line="252" w:lineRule="exact"/>
        <w:rPr>
          <w:sz w:val="20"/>
          <w:szCs w:val="20"/>
          <w:color w:val="auto"/>
        </w:rPr>
      </w:pPr>
    </w:p>
    <w:p>
      <w:pPr>
        <w:jc w:val="both"/>
        <w:ind w:left="660" w:right="2119" w:hanging="647"/>
        <w:spacing w:after="0" w:line="306"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rights and obligations of the parties under the Virtual Shareholders’ Agreement (including without limitation under clauses 12 and 13 thereof) shall continue to apply as if the Call Option (as defined in clause 10 thereof) had been validly exercised one month before the date of this agreement.</w:t>
      </w:r>
    </w:p>
    <w:p>
      <w:pPr>
        <w:spacing w:after="0" w:line="15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58" w:lineRule="exact"/>
        <w:rPr>
          <w:sz w:val="20"/>
          <w:szCs w:val="20"/>
          <w:color w:val="auto"/>
        </w:rPr>
      </w:pPr>
    </w:p>
    <w:p>
      <w:pPr>
        <w:jc w:val="both"/>
        <w:ind w:left="660" w:right="2099" w:hanging="647"/>
        <w:spacing w:after="0" w:line="31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EXL Holdings (US) warrants to the Client in the terms set out in schedule 1 subject as provided in this clause 7 and clause 8 and further that the Warranties shall be true and accurate in all material respects and fulfilled down to Completion in all material respects as if they had been made or given at Completion (on the basis that references in the Warranties to any fact, matter or thing existing, occurring or having occurred at or on and/or before or after (and similar terms) the date of this Agreement shall be construed as references to it having so done at or on and/or before or after (and similar terms) the Completion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ind w:left="40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95"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EXL Holdings (US) is aware and acknowledges that the Client has entered into this Agreement in reliance on the Warranties.</w:t>
      </w:r>
    </w:p>
    <w:p>
      <w:pPr>
        <w:spacing w:after="0" w:line="186" w:lineRule="exact"/>
        <w:rPr>
          <w:sz w:val="20"/>
          <w:szCs w:val="20"/>
          <w:color w:val="auto"/>
        </w:rPr>
      </w:pPr>
    </w:p>
    <w:p>
      <w:pPr>
        <w:jc w:val="both"/>
        <w:ind w:left="660" w:right="2119" w:hanging="647"/>
        <w:spacing w:after="0" w:line="290"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Warranties are given subject to any matters fully and fairly disclosed in the Disclosure Letter or the Supplementary Disclosure Letter, provided that (a) such matters have arisen in the ordinary course of the business of the SPV carried on in all material respects in compliance with the terms of the Virtual Shareholders' Agreement and the Agreements (as that expression is defined in the Virtual Shareholders' Agreement); and (b) the reduction in the value of the assets of the SPV, the liabilities or increased liabilities of the SPV or the reduction in the value of the Shares (as the case may be) arising, directly or indirectly, from such matters is less than £100,000.</w:t>
      </w:r>
    </w:p>
    <w:p>
      <w:pPr>
        <w:spacing w:after="0" w:line="172"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rights and remedies of the Client in respect of any breach of the Warranties shall not be affected by Completion.</w:t>
      </w:r>
    </w:p>
    <w:p>
      <w:pPr>
        <w:spacing w:after="0" w:line="186" w:lineRule="exact"/>
        <w:rPr>
          <w:sz w:val="20"/>
          <w:szCs w:val="20"/>
          <w:color w:val="auto"/>
        </w:rPr>
      </w:pPr>
    </w:p>
    <w:p>
      <w:pPr>
        <w:jc w:val="both"/>
        <w:ind w:left="660" w:right="2119" w:hanging="647"/>
        <w:spacing w:after="0" w:line="259"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Each of the Warranties set out in each paragraph of schedule 1 is separate and independent and unless otherwise expressly provided shall not be limited by reference to any other Warranty or anything in this Agreement.</w:t>
      </w:r>
    </w:p>
    <w:p>
      <w:pPr>
        <w:spacing w:after="0" w:line="194" w:lineRule="exact"/>
        <w:rPr>
          <w:sz w:val="20"/>
          <w:szCs w:val="20"/>
          <w:color w:val="auto"/>
        </w:rPr>
      </w:pPr>
    </w:p>
    <w:p>
      <w:pPr>
        <w:jc w:val="both"/>
        <w:ind w:left="660" w:right="2099" w:hanging="647"/>
        <w:spacing w:after="0" w:line="288"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EXL Holdings (US) undertakes (except only as may be necessary to give effect to this Agreement or the Insurance Services Framework Agreement or except with the written consent of the Client) that it will not and will procure that the SPV will not do, allow or procure any act or omission before Completion which would constitute a material breach of or would be inconsistent in any material respect with any of the Warranties if given at any time prior to Completion. In addition, EXL Holdings (US) will and will procure that the SPV will provide all reasonable co-operation to the Client to ensure the efficient continuation of operation and management of the SPV and, if necessary and with reasonable notice in writing from the Client, to prepare for the introduction of new operating and management procedures in readiness for Completion.</w:t>
      </w:r>
    </w:p>
    <w:p>
      <w:pPr>
        <w:spacing w:after="0" w:line="174" w:lineRule="exact"/>
        <w:rPr>
          <w:sz w:val="20"/>
          <w:szCs w:val="20"/>
          <w:color w:val="auto"/>
        </w:rPr>
      </w:pPr>
    </w:p>
    <w:p>
      <w:pPr>
        <w:jc w:val="both"/>
        <w:ind w:left="660" w:right="2099" w:hanging="647"/>
        <w:spacing w:after="0" w:line="256"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If in respect of or in connection with any Claim any sum payable to the Client by EXL Holdings (US) by way of compensation is subject to Taxation, then such further amount shall be paid to the Client by EXL Holdings (US) so as to secure that the net amount received by the Client is equal to the amount of compensation due to it in respect of such breach.</w:t>
      </w:r>
    </w:p>
    <w:p>
      <w:pPr>
        <w:spacing w:after="0" w:line="197" w:lineRule="exact"/>
        <w:rPr>
          <w:sz w:val="20"/>
          <w:szCs w:val="20"/>
          <w:color w:val="auto"/>
        </w:rPr>
      </w:pPr>
    </w:p>
    <w:p>
      <w:pPr>
        <w:jc w:val="both"/>
        <w:ind w:left="660" w:right="2099" w:hanging="647"/>
        <w:spacing w:after="0" w:line="259"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Subject to the limitations in clause 8, EXL Holdings (US) agrees to compensate the SPV on demand on an after tax basis for any costs, claims, liabilities, losses and expenses incurred by the SPV as a result of any of the things described in schedule 3.</w:t>
      </w:r>
    </w:p>
    <w:p>
      <w:pPr>
        <w:spacing w:after="0" w:line="18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LIABILITY OF EXL HOLDINGS (US)</w:t>
      </w: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EXL Holdings (US) shall not be liable in respect of a Claim:-</w:t>
      </w:r>
    </w:p>
    <w:p>
      <w:pPr>
        <w:spacing w:after="0" w:line="225" w:lineRule="exact"/>
        <w:rPr>
          <w:sz w:val="20"/>
          <w:szCs w:val="20"/>
          <w:color w:val="auto"/>
        </w:rPr>
      </w:pPr>
    </w:p>
    <w:p>
      <w:pPr>
        <w:jc w:val="both"/>
        <w:ind w:left="1300" w:right="2119" w:hanging="647"/>
        <w:spacing w:after="0" w:line="259" w:lineRule="auto"/>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unless and until the amount that would otherwise be recoverable from it (but for this clause 8.1) in respect of that Claim, when aggregated with any other amount or amounts recoverable in respect of other Claims against it, exceeds £100,000; and</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color w:val="auto"/>
        </w:rPr>
        <w:t>unless the amount of such Claim exceeds £10,000.</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total aggregate liability of EXL Holdings (US) in respect of all Claims is limited to the lesser of:-</w:t>
      </w:r>
    </w:p>
    <w:p>
      <w:pPr>
        <w:spacing w:after="0" w:line="225" w:lineRule="exact"/>
        <w:rPr>
          <w:sz w:val="20"/>
          <w:szCs w:val="20"/>
          <w:color w:val="auto"/>
        </w:rPr>
      </w:pPr>
    </w:p>
    <w:p>
      <w:pPr>
        <w:ind w:left="1180" w:hanging="510"/>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£5,000,000 (five million pounds sterling);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ind w:left="332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95" w:lineRule="exact"/>
        <w:rPr>
          <w:sz w:val="20"/>
          <w:szCs w:val="20"/>
          <w:color w:val="auto"/>
        </w:rPr>
      </w:pPr>
    </w:p>
    <w:p>
      <w:pPr>
        <w:jc w:val="both"/>
        <w:ind w:left="520" w:right="2119" w:hanging="510"/>
        <w:spacing w:after="0" w:line="298"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amount equal to the aggregate of all amounts paid by Client to EXL Holdings (US) by way of Profit Levels as defined in the Service Payments section of Schedule 3 of the Insurance Services Framework Agreement (but not otherwise) pursuant to the Insurance Services Framework Agreement in the period of three years preceding Completion.</w:t>
      </w:r>
    </w:p>
    <w:p>
      <w:pPr>
        <w:spacing w:after="0" w:line="167" w:lineRule="exact"/>
        <w:rPr>
          <w:sz w:val="20"/>
          <w:szCs w:val="20"/>
          <w:color w:val="auto"/>
        </w:rPr>
      </w:pPr>
    </w:p>
    <w:p>
      <w:pPr>
        <w:jc w:val="both"/>
        <w:ind w:right="2119" w:hanging="647"/>
        <w:spacing w:after="0" w:line="259" w:lineRule="auto"/>
        <w:rPr>
          <w:sz w:val="20"/>
          <w:szCs w:val="20"/>
          <w:color w:val="auto"/>
        </w:rPr>
      </w:pPr>
      <w:r>
        <w:rPr>
          <w:rFonts w:ascii="Arial" w:cs="Arial" w:eastAsia="Arial" w:hAnsi="Arial"/>
          <w:sz w:val="18"/>
          <w:szCs w:val="18"/>
          <w:color w:val="auto"/>
        </w:rPr>
        <w:t>8.3</w:t>
      </w:r>
      <w:r>
        <w:rPr>
          <w:sz w:val="20"/>
          <w:szCs w:val="20"/>
          <w:color w:val="auto"/>
        </w:rPr>
        <w:t xml:space="preserve"> </w:t>
      </w:r>
      <w:r>
        <w:rPr>
          <w:rFonts w:ascii="Arial" w:cs="Arial" w:eastAsia="Arial" w:hAnsi="Arial"/>
          <w:sz w:val="18"/>
          <w:szCs w:val="18"/>
          <w:color w:val="auto"/>
        </w:rPr>
        <w:t>EXL Holdings (US) shall not be liable in respect of a Claim unless the Client has given EXL Holdings (US) notice of the Claim, stating in reasonable detail the nature of the Claim, and if practicable, the amount claimed:</w:t>
      </w:r>
    </w:p>
    <w:p>
      <w:pPr>
        <w:spacing w:after="0" w:line="194" w:lineRule="exact"/>
        <w:rPr>
          <w:sz w:val="20"/>
          <w:szCs w:val="20"/>
          <w:color w:val="auto"/>
        </w:rPr>
      </w:pPr>
    </w:p>
    <w:p>
      <w:pPr>
        <w:ind w:left="640" w:right="2099" w:hanging="647"/>
        <w:spacing w:after="0" w:line="268" w:lineRule="auto"/>
        <w:tabs>
          <w:tab w:leader="none" w:pos="62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in respect of a claim for breach of a Warranty relating to Taxation, on or before the date which is seven years and one month from the Last Accounting Date; or</w:t>
      </w:r>
    </w:p>
    <w:p>
      <w:pPr>
        <w:spacing w:after="0" w:line="186" w:lineRule="exact"/>
        <w:rPr>
          <w:sz w:val="20"/>
          <w:szCs w:val="20"/>
          <w:color w:val="auto"/>
        </w:rPr>
      </w:pPr>
    </w:p>
    <w:p>
      <w:pPr>
        <w:ind w:left="640" w:right="2119" w:hanging="647"/>
        <w:spacing w:after="0" w:line="332" w:lineRule="auto"/>
        <w:tabs>
          <w:tab w:leader="none" w:pos="62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in respect of any other Claim, on or before the date two months after signature of the Auditors' report on the accounts of the SPV for the financial year during which Completion takes place.</w:t>
      </w:r>
    </w:p>
    <w:p>
      <w:pPr>
        <w:spacing w:after="0" w:line="139" w:lineRule="exact"/>
        <w:rPr>
          <w:sz w:val="20"/>
          <w:szCs w:val="20"/>
          <w:color w:val="auto"/>
        </w:rPr>
      </w:pPr>
    </w:p>
    <w:p>
      <w:pPr>
        <w:jc w:val="both"/>
        <w:ind w:right="2119" w:hanging="647"/>
        <w:spacing w:after="0" w:line="255" w:lineRule="auto"/>
        <w:rPr>
          <w:sz w:val="20"/>
          <w:szCs w:val="20"/>
          <w:color w:val="auto"/>
        </w:rPr>
      </w:pPr>
      <w:r>
        <w:rPr>
          <w:rFonts w:ascii="Arial" w:cs="Arial" w:eastAsia="Arial" w:hAnsi="Arial"/>
          <w:sz w:val="18"/>
          <w:szCs w:val="18"/>
          <w:color w:val="auto"/>
        </w:rPr>
        <w:t>8.4</w:t>
      </w:r>
      <w:r>
        <w:rPr>
          <w:sz w:val="20"/>
          <w:szCs w:val="20"/>
          <w:color w:val="auto"/>
        </w:rPr>
        <w:t xml:space="preserve"> </w:t>
      </w:r>
      <w:r>
        <w:rPr>
          <w:rFonts w:ascii="Arial" w:cs="Arial" w:eastAsia="Arial" w:hAnsi="Arial"/>
          <w:sz w:val="18"/>
          <w:szCs w:val="18"/>
          <w:color w:val="auto"/>
        </w:rPr>
        <w:t>EXL Holdings (US) shall not have any liability under the Warranties in paragraph 2 of schedule 1 in respect of any Tax levied by a Tax Authority which arises after Completion and which the Client is reasonably satisfied has not arisen because of a failure by EXL Holdings (US) or the SPV to manage its affairs in the manner of a normally competent business person mindful of the need to mitigate its Tax liabilities both before and after Completion.</w:t>
      </w:r>
    </w:p>
    <w:p>
      <w:pPr>
        <w:spacing w:after="0" w:line="197" w:lineRule="exact"/>
        <w:rPr>
          <w:sz w:val="20"/>
          <w:szCs w:val="20"/>
          <w:color w:val="auto"/>
        </w:rPr>
      </w:pPr>
    </w:p>
    <w:p>
      <w:pPr>
        <w:jc w:val="both"/>
        <w:ind w:right="2119" w:hanging="647"/>
        <w:spacing w:after="0" w:line="298" w:lineRule="auto"/>
        <w:rPr>
          <w:sz w:val="20"/>
          <w:szCs w:val="20"/>
          <w:color w:val="auto"/>
        </w:rPr>
      </w:pPr>
      <w:r>
        <w:rPr>
          <w:rFonts w:ascii="Arial" w:cs="Arial" w:eastAsia="Arial" w:hAnsi="Arial"/>
          <w:sz w:val="18"/>
          <w:szCs w:val="18"/>
          <w:color w:val="auto"/>
        </w:rPr>
        <w:t>8.5</w:t>
      </w:r>
      <w:r>
        <w:rPr>
          <w:sz w:val="20"/>
          <w:szCs w:val="20"/>
          <w:color w:val="auto"/>
        </w:rPr>
        <w:t xml:space="preserve"> </w:t>
      </w:r>
      <w:r>
        <w:rPr>
          <w:rFonts w:ascii="Arial" w:cs="Arial" w:eastAsia="Arial" w:hAnsi="Arial"/>
          <w:sz w:val="16"/>
          <w:szCs w:val="16"/>
          <w:color w:val="auto"/>
        </w:rPr>
        <w:t>EXL Holdings (US) shall not have any liability for any Claim in respect of any employee litigation which arises after Completion and which the Client is reasonably satisfied has not arisen because of a failure by EXL Holdings (US) or the SPV to manage its affairs in the manner of a normally competent business person mindful of the need to mitigate the risks of such litigation both before and after Completion.</w:t>
      </w:r>
    </w:p>
    <w:p>
      <w:pPr>
        <w:spacing w:after="0" w:line="167" w:lineRule="exact"/>
        <w:rPr>
          <w:sz w:val="20"/>
          <w:szCs w:val="20"/>
          <w:color w:val="auto"/>
        </w:rPr>
      </w:pPr>
    </w:p>
    <w:p>
      <w:pPr>
        <w:jc w:val="both"/>
        <w:ind w:right="2119" w:hanging="647"/>
        <w:spacing w:after="0" w:line="289" w:lineRule="auto"/>
        <w:rPr>
          <w:sz w:val="20"/>
          <w:szCs w:val="20"/>
          <w:color w:val="auto"/>
        </w:rPr>
      </w:pPr>
      <w:r>
        <w:rPr>
          <w:rFonts w:ascii="Arial" w:cs="Arial" w:eastAsia="Arial" w:hAnsi="Arial"/>
          <w:sz w:val="18"/>
          <w:szCs w:val="18"/>
          <w:color w:val="auto"/>
        </w:rPr>
        <w:t>8.6</w:t>
      </w:r>
      <w:r>
        <w:rPr>
          <w:sz w:val="20"/>
          <w:szCs w:val="20"/>
          <w:color w:val="auto"/>
        </w:rPr>
        <w:t xml:space="preserve"> </w:t>
      </w:r>
      <w:r>
        <w:rPr>
          <w:rFonts w:ascii="Arial" w:cs="Arial" w:eastAsia="Arial" w:hAnsi="Arial"/>
          <w:sz w:val="16"/>
          <w:szCs w:val="16"/>
          <w:color w:val="auto"/>
        </w:rPr>
        <w:t>EXL Holdings (US) shall not have any liability under any Claim to the extent that such Claim arises in respect of a matter which was previously drawn to the Client’s attention by EXL Holdings (US) and the Client has disregarded any advice given by EXL Holdings (US) in respect thereof, by either refusing to sanction an item of reasonable expenditure (including, but not limited to, the carrying on of additional services pursuant to the Insurance Services Framework Agreement) for which Client would be liable to reimburse EXL Holdings (US) or else giving instructions to EXL Holdings (US) or the SPV which are contrary to that advice and, where, had that expenditure been incurred or that advice been followed (as the case may be), either:</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6"/>
          <w:szCs w:val="16"/>
          <w:color w:val="auto"/>
        </w:rPr>
        <w:t>the Claim would not have arisen; or</w:t>
      </w:r>
    </w:p>
    <w:p>
      <w:pPr>
        <w:spacing w:after="0" w:line="252" w:lineRule="exact"/>
        <w:rPr>
          <w:sz w:val="20"/>
          <w:szCs w:val="20"/>
          <w:color w:val="auto"/>
        </w:rPr>
      </w:pPr>
    </w:p>
    <w:p>
      <w:pPr>
        <w:jc w:val="both"/>
        <w:ind w:left="640" w:right="2119" w:hanging="647"/>
        <w:spacing w:after="0" w:line="259" w:lineRule="auto"/>
        <w:tabs>
          <w:tab w:leader="none" w:pos="62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the amount of any loss sustained by the Client as a result of the breach giving rise to that Claim would have been reduced (in which case EXL Holdings (US) shall only be liable to the Client in respect of such reduced amount).</w:t>
      </w:r>
    </w:p>
    <w:p>
      <w:pPr>
        <w:spacing w:after="0" w:line="194" w:lineRule="exact"/>
        <w:rPr>
          <w:sz w:val="20"/>
          <w:szCs w:val="20"/>
          <w:color w:val="auto"/>
        </w:rPr>
      </w:pPr>
    </w:p>
    <w:p>
      <w:pPr>
        <w:jc w:val="both"/>
        <w:ind w:right="2099" w:hanging="647"/>
        <w:spacing w:after="0" w:line="255" w:lineRule="auto"/>
        <w:rPr>
          <w:sz w:val="20"/>
          <w:szCs w:val="20"/>
          <w:color w:val="auto"/>
        </w:rPr>
      </w:pPr>
      <w:r>
        <w:rPr>
          <w:rFonts w:ascii="Arial" w:cs="Arial" w:eastAsia="Arial" w:hAnsi="Arial"/>
          <w:sz w:val="18"/>
          <w:szCs w:val="18"/>
          <w:color w:val="auto"/>
        </w:rPr>
        <w:t>8.7</w:t>
      </w:r>
      <w:r>
        <w:rPr>
          <w:sz w:val="20"/>
          <w:szCs w:val="20"/>
          <w:color w:val="auto"/>
        </w:rPr>
        <w:t xml:space="preserve"> </w:t>
      </w:r>
      <w:r>
        <w:rPr>
          <w:rFonts w:ascii="Arial" w:cs="Arial" w:eastAsia="Arial" w:hAnsi="Arial"/>
          <w:sz w:val="18"/>
          <w:szCs w:val="18"/>
          <w:color w:val="auto"/>
        </w:rPr>
        <w:t>EXL Holdings (US) shall not have any liability under any Claim to the extent that such Claim arises solely by reason of a change in legislation applicable to the SPV and which the Client is reasonably satisfied has not arisen because of a failure by EXL Holdings (US) or the SPV to manage its affairs in the manner of a normally competent business person mindful of the need to mitigate the risks of any such legislative change.</w:t>
      </w:r>
    </w:p>
    <w:p>
      <w:pPr>
        <w:spacing w:after="0" w:line="197" w:lineRule="exact"/>
        <w:rPr>
          <w:sz w:val="20"/>
          <w:szCs w:val="20"/>
          <w:color w:val="auto"/>
        </w:rPr>
      </w:pPr>
    </w:p>
    <w:p>
      <w:pPr>
        <w:jc w:val="both"/>
        <w:ind w:right="2119" w:hanging="647"/>
        <w:spacing w:after="0" w:line="332" w:lineRule="auto"/>
        <w:rPr>
          <w:sz w:val="20"/>
          <w:szCs w:val="20"/>
          <w:color w:val="auto"/>
        </w:rPr>
      </w:pPr>
      <w:r>
        <w:rPr>
          <w:rFonts w:ascii="Arial" w:cs="Arial" w:eastAsia="Arial" w:hAnsi="Arial"/>
          <w:sz w:val="18"/>
          <w:szCs w:val="18"/>
          <w:color w:val="auto"/>
        </w:rPr>
        <w:t>8.8</w:t>
      </w:r>
      <w:r>
        <w:rPr>
          <w:sz w:val="20"/>
          <w:szCs w:val="20"/>
          <w:color w:val="auto"/>
        </w:rPr>
        <w:t xml:space="preserve"> </w:t>
      </w:r>
      <w:r>
        <w:rPr>
          <w:rFonts w:ascii="Arial" w:cs="Arial" w:eastAsia="Arial" w:hAnsi="Arial"/>
          <w:sz w:val="16"/>
          <w:szCs w:val="16"/>
          <w:color w:val="auto"/>
        </w:rPr>
        <w:t>EXL Holdings (US) shall not have any liability under the Warranties to the extent that it arises from any matter of which the Client or its directors, officers, employees, agents or advisers had actual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254635</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559"/>
          </w:cols>
          <w:pgMar w:left="900" w:top="131" w:right="1440" w:bottom="1440" w:gutter="0" w:footer="0" w:header="0"/>
        </w:sectPr>
      </w:pPr>
    </w:p>
    <w:bookmarkStart w:id="24" w:name="page25"/>
    <w:bookmarkEnd w:id="24"/>
    <w:p>
      <w:pPr>
        <w:ind w:left="398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95" w:lineRule="exact"/>
        <w:rPr>
          <w:sz w:val="20"/>
          <w:szCs w:val="20"/>
          <w:color w:val="auto"/>
        </w:rPr>
      </w:pPr>
    </w:p>
    <w:p>
      <w:pPr>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EXL Holdings (US) shall not have any liability under any Claim to the extent that such Claim would not have arisen but for:-</w:t>
      </w:r>
    </w:p>
    <w:p>
      <w:pPr>
        <w:spacing w:after="0" w:line="186" w:lineRule="exact"/>
        <w:rPr>
          <w:sz w:val="20"/>
          <w:szCs w:val="20"/>
          <w:color w:val="auto"/>
        </w:rPr>
      </w:pPr>
    </w:p>
    <w:p>
      <w:pPr>
        <w:jc w:val="both"/>
        <w:ind w:left="1300" w:right="2119" w:hanging="647"/>
        <w:spacing w:after="0" w:line="306" w:lineRule="auto"/>
        <w:tabs>
          <w:tab w:leader="none" w:pos="128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6"/>
          <w:szCs w:val="16"/>
          <w:color w:val="auto"/>
        </w:rPr>
        <w:t>any act, omission, transaction or arrangement made by or on behalf of, or with the knowledge or consent of, the Client or any of its Associated Companies before, on or after Completion and whether pursuant to this Agreement, the Virtual Shareholders’ Agreement or otherwise;</w:t>
      </w:r>
    </w:p>
    <w:p>
      <w:pPr>
        <w:spacing w:after="0" w:line="161" w:lineRule="exact"/>
        <w:rPr>
          <w:sz w:val="20"/>
          <w:szCs w:val="20"/>
          <w:color w:val="auto"/>
        </w:rPr>
      </w:pPr>
    </w:p>
    <w:p>
      <w:pPr>
        <w:jc w:val="both"/>
        <w:ind w:left="1300" w:right="2099" w:hanging="647"/>
        <w:spacing w:after="0" w:line="256" w:lineRule="auto"/>
        <w:tabs>
          <w:tab w:leader="none" w:pos="128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8"/>
          <w:szCs w:val="18"/>
          <w:color w:val="auto"/>
        </w:rPr>
        <w:t>any reorganisation or change in ownership of the Client or any of its Associated Companies or any change by any such company in the accounting basis on which its assets are valued or the accounting basis, method, policy or practice on which its accounts are prepared, after Completion.</w:t>
      </w:r>
    </w:p>
    <w:p>
      <w:pPr>
        <w:spacing w:after="0" w:line="197" w:lineRule="exact"/>
        <w:rPr>
          <w:sz w:val="20"/>
          <w:szCs w:val="20"/>
          <w:color w:val="auto"/>
        </w:rPr>
      </w:pPr>
    </w:p>
    <w:p>
      <w:pPr>
        <w:jc w:val="both"/>
        <w:ind w:left="660" w:right="2119" w:hanging="647"/>
        <w:spacing w:after="0" w:line="306" w:lineRule="auto"/>
        <w:tabs>
          <w:tab w:leader="none" w:pos="6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EXL Holdings (US) shall not have any liability in relation to any Claim to the extent that full allowance, provision or reserve in respect thereof shall have been made in, or otherwise taken account of or reflected in (whether in the calculation of creditors or debtors or otherwise), the Accounts.</w:t>
      </w:r>
    </w:p>
    <w:p>
      <w:pPr>
        <w:spacing w:after="0" w:line="161"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EXL Holdings (US) shall only have liability in relation to any Claim if and to the extent that it is admitted by EXL Holdings (US) or is proven in a court of competent jurisdiction.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The Client shall not be entitled to make a Claim for any indirect or consequential loss or loss of profit.</w:t>
      </w:r>
    </w:p>
    <w:p>
      <w:pPr>
        <w:spacing w:after="0" w:line="225"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The Client shall not be entitled to recover damages or otherwise obtain reimbursement or restitution more than once in respect of the same loss.</w:t>
      </w:r>
    </w:p>
    <w:p>
      <w:pPr>
        <w:spacing w:after="0" w:line="186" w:lineRule="exact"/>
        <w:rPr>
          <w:sz w:val="20"/>
          <w:szCs w:val="20"/>
          <w:color w:val="auto"/>
        </w:rPr>
      </w:pPr>
    </w:p>
    <w:p>
      <w:pPr>
        <w:jc w:val="both"/>
        <w:ind w:left="660" w:right="2119" w:hanging="647"/>
        <w:spacing w:after="0" w:line="268" w:lineRule="auto"/>
        <w:tabs>
          <w:tab w:leader="none" w:pos="64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8"/>
          <w:szCs w:val="18"/>
          <w:color w:val="auto"/>
        </w:rPr>
        <w:t>Clauses 8.1 to 8.13 shall not apply where the relevant amounts being claimed arise as a result of the fraud, dishonesty or wilful default of EXL Holdings (US).</w:t>
      </w:r>
    </w:p>
    <w:p>
      <w:pPr>
        <w:spacing w:after="0" w:line="18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ANCILLARY PROVISIONS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Claims by officers</w:t>
      </w:r>
    </w:p>
    <w:p>
      <w:pPr>
        <w:spacing w:after="0" w:line="231" w:lineRule="exact"/>
        <w:rPr>
          <w:sz w:val="20"/>
          <w:szCs w:val="20"/>
          <w:color w:val="auto"/>
        </w:rPr>
      </w:pPr>
    </w:p>
    <w:p>
      <w:pPr>
        <w:jc w:val="both"/>
        <w:ind w:left="660" w:right="2099"/>
        <w:spacing w:after="0" w:line="268" w:lineRule="auto"/>
        <w:rPr>
          <w:sz w:val="20"/>
          <w:szCs w:val="20"/>
          <w:color w:val="auto"/>
        </w:rPr>
      </w:pPr>
      <w:r>
        <w:rPr>
          <w:rFonts w:ascii="Arial" w:cs="Arial" w:eastAsia="Arial" w:hAnsi="Arial"/>
          <w:sz w:val="18"/>
          <w:szCs w:val="18"/>
          <w:color w:val="auto"/>
        </w:rPr>
        <w:t>EXL Holdings (US) agrees with the Client (as trustee for the SPV) that it will indemnify the SPV in respect of:</w:t>
      </w:r>
    </w:p>
    <w:p>
      <w:pPr>
        <w:spacing w:after="0" w:line="186" w:lineRule="exact"/>
        <w:rPr>
          <w:sz w:val="20"/>
          <w:szCs w:val="20"/>
          <w:color w:val="auto"/>
        </w:rPr>
      </w:pPr>
    </w:p>
    <w:p>
      <w:pPr>
        <w:jc w:val="both"/>
        <w:ind w:left="1300" w:right="2119" w:hanging="647"/>
        <w:spacing w:after="0" w:line="298" w:lineRule="auto"/>
        <w:tabs>
          <w:tab w:leader="none" w:pos="12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any liability of the SPV (as the case may be) to pay any amount by way of redundancy payment or compensation for wrongful or unfair dismissal to any of the directors or the secretary of the SPV who retires on Completion and who, despite the terms of his letter of resignation, makes a claim for redundancy payment or compensation; and</w:t>
      </w:r>
    </w:p>
    <w:p>
      <w:pPr>
        <w:spacing w:after="0" w:line="167" w:lineRule="exact"/>
        <w:rPr>
          <w:sz w:val="20"/>
          <w:szCs w:val="20"/>
          <w:color w:val="auto"/>
        </w:rPr>
      </w:pPr>
    </w:p>
    <w:p>
      <w:pPr>
        <w:jc w:val="both"/>
        <w:ind w:left="1300" w:right="2099" w:hanging="647"/>
        <w:spacing w:after="0" w:line="268" w:lineRule="auto"/>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all costs, charges and expenses whatsoever incurred by the SPV in resisting or compromising any such claim for redundancy payment or compensation.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4"/>
          <w:szCs w:val="14"/>
          <w:b w:val="1"/>
          <w:bCs w:val="1"/>
          <w:color w:val="auto"/>
        </w:rPr>
        <w:t>Time of essence</w:t>
      </w:r>
    </w:p>
    <w:p>
      <w:pPr>
        <w:spacing w:after="0" w:line="231" w:lineRule="exact"/>
        <w:rPr>
          <w:sz w:val="20"/>
          <w:szCs w:val="20"/>
          <w:color w:val="auto"/>
        </w:rPr>
      </w:pPr>
    </w:p>
    <w:p>
      <w:pPr>
        <w:ind w:left="660" w:right="2379"/>
        <w:spacing w:after="0" w:line="370" w:lineRule="auto"/>
        <w:rPr>
          <w:sz w:val="20"/>
          <w:szCs w:val="20"/>
          <w:color w:val="auto"/>
        </w:rPr>
      </w:pPr>
      <w:r>
        <w:rPr>
          <w:rFonts w:ascii="Arial" w:cs="Arial" w:eastAsia="Arial" w:hAnsi="Arial"/>
          <w:sz w:val="15"/>
          <w:szCs w:val="15"/>
          <w:color w:val="auto"/>
        </w:rPr>
        <w:t>Time is of the essence of this Agreement in respect of any date or period mentioned in this Agreement and any date or period substituted by written agreement between the Parties or otherwise.</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Umbrella Agreement</w:t>
      </w:r>
    </w:p>
    <w:p>
      <w:pPr>
        <w:spacing w:after="0" w:line="231" w:lineRule="exact"/>
        <w:rPr>
          <w:sz w:val="20"/>
          <w:szCs w:val="20"/>
          <w:color w:val="auto"/>
        </w:rPr>
      </w:pPr>
    </w:p>
    <w:p>
      <w:pPr>
        <w:ind w:left="660" w:right="2119"/>
        <w:spacing w:after="0" w:line="268" w:lineRule="auto"/>
        <w:rPr>
          <w:sz w:val="20"/>
          <w:szCs w:val="20"/>
          <w:color w:val="auto"/>
        </w:rPr>
      </w:pPr>
      <w:r>
        <w:rPr>
          <w:rFonts w:ascii="Arial" w:cs="Arial" w:eastAsia="Arial" w:hAnsi="Arial"/>
          <w:sz w:val="18"/>
          <w:szCs w:val="18"/>
          <w:color w:val="auto"/>
        </w:rPr>
        <w:t>To the extent relevant, the provisions of clause 9 of the Umbrella Agreement shall apply to this Agreement as they apply to the Umbrella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5166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ind w:left="398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This share sale and purchase agreement has been signed on the date first stated on page 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by</w:t>
      </w:r>
    </w:p>
    <w:p>
      <w:pPr>
        <w:spacing w:after="0" w:line="200" w:lineRule="exact"/>
        <w:rPr>
          <w:sz w:val="20"/>
          <w:szCs w:val="20"/>
          <w:color w:val="auto"/>
        </w:rPr>
      </w:pPr>
    </w:p>
    <w:p>
      <w:pPr>
        <w:spacing w:after="0" w:line="207" w:lineRule="exact"/>
        <w:rPr>
          <w:sz w:val="20"/>
          <w:szCs w:val="20"/>
          <w:color w:val="auto"/>
        </w:rPr>
      </w:pPr>
    </w:p>
    <w:p>
      <w:pPr>
        <w:ind w:left="580"/>
        <w:spacing w:after="0"/>
        <w:tabs>
          <w:tab w:leader="none" w:pos="3100" w:val="left"/>
        </w:tabs>
        <w:rPr>
          <w:sz w:val="20"/>
          <w:szCs w:val="20"/>
          <w:color w:val="auto"/>
        </w:rPr>
      </w:pPr>
      <w:r>
        <w:rPr>
          <w:rFonts w:ascii="Arial" w:cs="Arial" w:eastAsia="Arial" w:hAnsi="Arial"/>
          <w:sz w:val="18"/>
          <w:szCs w:val="18"/>
          <w:color w:val="auto"/>
        </w:rPr>
        <w:t>/s/ Rohit Kapoor</w:t>
      </w:r>
      <w:r>
        <w:rPr>
          <w:sz w:val="20"/>
          <w:szCs w:val="20"/>
          <w:color w:val="auto"/>
        </w:rPr>
        <w:tab/>
      </w: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15005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 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Pte Ltd </w:t>
      </w:r>
      <w:r>
        <w:rPr>
          <w:rFonts w:ascii="Arial" w:cs="Arial" w:eastAsia="Arial" w:hAnsi="Arial"/>
          <w:sz w:val="18"/>
          <w:szCs w:val="18"/>
          <w:color w:val="auto"/>
        </w:rPr>
        <w:t>by</w:t>
      </w:r>
    </w:p>
    <w:p>
      <w:pPr>
        <w:spacing w:after="0" w:line="200" w:lineRule="exact"/>
        <w:rPr>
          <w:sz w:val="20"/>
          <w:szCs w:val="20"/>
          <w:color w:val="auto"/>
        </w:rPr>
      </w:pPr>
    </w:p>
    <w:p>
      <w:pPr>
        <w:spacing w:after="0" w:line="207" w:lineRule="exact"/>
        <w:rPr>
          <w:sz w:val="20"/>
          <w:szCs w:val="20"/>
          <w:color w:val="auto"/>
        </w:rPr>
      </w:pPr>
    </w:p>
    <w:p>
      <w:pPr>
        <w:ind w:left="580"/>
        <w:spacing w:after="0"/>
        <w:tabs>
          <w:tab w:leader="none" w:pos="3100" w:val="left"/>
        </w:tabs>
        <w:rPr>
          <w:sz w:val="20"/>
          <w:szCs w:val="20"/>
          <w:color w:val="auto"/>
        </w:rPr>
      </w:pPr>
      <w:r>
        <w:rPr>
          <w:rFonts w:ascii="Arial" w:cs="Arial" w:eastAsia="Arial" w:hAnsi="Arial"/>
          <w:sz w:val="18"/>
          <w:szCs w:val="18"/>
          <w:color w:val="auto"/>
        </w:rPr>
        <w:t>/s/ Steven Turpie</w:t>
      </w:r>
      <w:r>
        <w:rPr>
          <w:sz w:val="20"/>
          <w:szCs w:val="20"/>
          <w:color w:val="auto"/>
        </w:rPr>
        <w:tab/>
      </w: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15005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jc w:val="right"/>
        <w:ind w:right="2099"/>
        <w:spacing w:after="0"/>
        <w:rPr>
          <w:sz w:val="20"/>
          <w:szCs w:val="20"/>
          <w:color w:val="auto"/>
        </w:rPr>
      </w:pPr>
      <w:r>
        <w:rPr>
          <w:rFonts w:ascii="Arial" w:cs="Arial" w:eastAsia="Arial" w:hAnsi="Arial"/>
          <w:sz w:val="18"/>
          <w:szCs w:val="18"/>
          <w:b w:val="1"/>
          <w:bCs w:val="1"/>
          <w:u w:val="single" w:color="auto"/>
          <w:color w:val="auto"/>
        </w:rPr>
        <w:t>EXHIBIT 2.2</w:t>
      </w:r>
    </w:p>
    <w:p>
      <w:pPr>
        <w:spacing w:after="0" w:line="200" w:lineRule="exact"/>
        <w:rPr>
          <w:sz w:val="20"/>
          <w:szCs w:val="20"/>
          <w:color w:val="auto"/>
        </w:rPr>
      </w:pPr>
    </w:p>
    <w:p>
      <w:pPr>
        <w:spacing w:after="0" w:line="34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SSPA DEED OF AMENDMENT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SSPA DEED OF AMENDMENT is made the 11th day of August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ind w:left="660" w:right="2119" w:hanging="652"/>
        <w:spacing w:after="0" w:line="28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ExlService Holdings, Inc.</w:t>
      </w:r>
      <w:r>
        <w:rPr>
          <w:rFonts w:ascii="Arial" w:cs="Arial" w:eastAsia="Arial" w:hAnsi="Arial"/>
          <w:sz w:val="18"/>
          <w:szCs w:val="18"/>
          <w:color w:val="auto"/>
        </w:rPr>
        <w:t>, a company registered in the State of Delaware and having its 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350 Park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w:t>
      </w:r>
      <w:r>
        <w:rPr>
          <w:rFonts w:ascii="Arial" w:cs="Arial" w:eastAsia="Arial" w:hAnsi="Arial"/>
          <w:sz w:val="18"/>
          <w:szCs w:val="18"/>
          <w:b w:val="1"/>
          <w:bCs w:val="1"/>
          <w:color w:val="auto"/>
        </w:rPr>
        <w:t>EXL Holdings (US)</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both"/>
        <w:ind w:left="660" w:right="2119" w:hanging="652"/>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Aviva Global Services Singapore Private Limited </w:t>
      </w:r>
      <w:r>
        <w:rPr>
          <w:rFonts w:ascii="Arial" w:cs="Arial" w:eastAsia="Arial" w:hAnsi="Arial"/>
          <w:sz w:val="18"/>
          <w:szCs w:val="18"/>
          <w:color w:val="auto"/>
        </w:rPr>
        <w:t>(formerly Norwich Union Customer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Private Limited), a company registered in Singapore with registered number 200303457R and whose registered office is at 6 Temasek Boulevard, #22-01 Suntec Tower 4, Singapore 038986 (“</w:t>
      </w:r>
      <w:r>
        <w:rPr>
          <w:rFonts w:ascii="Arial" w:cs="Arial" w:eastAsia="Arial" w:hAnsi="Arial"/>
          <w:sz w:val="18"/>
          <w:szCs w:val="18"/>
          <w:b w:val="1"/>
          <w:bCs w:val="1"/>
          <w:color w:val="auto"/>
        </w:rPr>
        <w:t>AGSS</w:t>
      </w:r>
      <w:r>
        <w:rPr>
          <w:rFonts w:ascii="Arial" w:cs="Arial" w:eastAsia="Arial" w:hAnsi="Arial"/>
          <w:sz w:val="18"/>
          <w:szCs w:val="18"/>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EXL Holdings (US) and AGSS being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jc w:val="both"/>
        <w:ind w:left="640" w:right="2119" w:hanging="632"/>
        <w:spacing w:after="0" w:line="256"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EXL Holdings (US) and AGSS entered into a share sale and purchase agreement dated 27 June 2008 (the “</w:t>
      </w:r>
      <w:r>
        <w:rPr>
          <w:rFonts w:ascii="Arial" w:cs="Arial" w:eastAsia="Arial" w:hAnsi="Arial"/>
          <w:sz w:val="18"/>
          <w:szCs w:val="18"/>
          <w:b w:val="1"/>
          <w:bCs w:val="1"/>
          <w:color w:val="auto"/>
        </w:rPr>
        <w:t>SSPA</w:t>
      </w:r>
      <w:r>
        <w:rPr>
          <w:rFonts w:ascii="Arial" w:cs="Arial" w:eastAsia="Arial" w:hAnsi="Arial"/>
          <w:sz w:val="18"/>
          <w:szCs w:val="18"/>
          <w:color w:val="auto"/>
        </w:rPr>
        <w:t>”), which provides for the sale by exlservice.com (India) Private Limited (“</w:t>
      </w:r>
      <w:r>
        <w:rPr>
          <w:rFonts w:ascii="Arial" w:cs="Arial" w:eastAsia="Arial" w:hAnsi="Arial"/>
          <w:sz w:val="18"/>
          <w:szCs w:val="18"/>
          <w:b w:val="1"/>
          <w:bCs w:val="1"/>
          <w:color w:val="auto"/>
        </w:rPr>
        <w:t>EXL India</w:t>
      </w:r>
      <w:r>
        <w:rPr>
          <w:rFonts w:ascii="Arial" w:cs="Arial" w:eastAsia="Arial" w:hAnsi="Arial"/>
          <w:sz w:val="18"/>
          <w:szCs w:val="18"/>
          <w:color w:val="auto"/>
        </w:rPr>
        <w:t>”), a wholly owned subsidiary of EXL Holdings (US), to AGSS of the entire issued share capital of Noida Customer Operations Private Limited; and</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now wish to record the terms on which the SSPA will be amended as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NOW THIS DEED WITNESSES as follows:</w:t>
      </w:r>
    </w:p>
    <w:p>
      <w:pPr>
        <w:spacing w:after="0" w:line="22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deed of amendment, the following terms shall have the following meanings:</w:t>
      </w:r>
    </w:p>
    <w:p>
      <w:pPr>
        <w:sectPr>
          <w:pgSz w:w="11900" w:h="16838" w:orient="portrait"/>
          <w:cols w:equalWidth="0" w:num="1">
            <w:col w:w="10219"/>
          </w:cols>
          <w:pgMar w:left="240" w:top="125" w:right="1440" w:bottom="1440" w:gutter="0" w:footer="0" w:header="0"/>
        </w:sectPr>
      </w:pP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 this Deed, unless otherwise specified: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means this SSPA Deed of Amendment as it may be amended from time to time.</w:t>
      </w:r>
    </w:p>
    <w:p>
      <w:pPr>
        <w:spacing w:after="0" w:line="592" w:lineRule="exact"/>
        <w:rPr>
          <w:sz w:val="20"/>
          <w:szCs w:val="20"/>
          <w:color w:val="auto"/>
        </w:rPr>
      </w:pPr>
    </w:p>
    <w:p>
      <w:pPr>
        <w:sectPr>
          <w:pgSz w:w="11900" w:h="16838" w:orient="portrait"/>
          <w:cols w:equalWidth="0" w:num="2">
            <w:col w:w="3480" w:space="180"/>
            <w:col w:w="6559"/>
          </w:cols>
          <w:pgMar w:left="240" w:top="125" w:right="1440" w:bottom="1440" w:gutter="0" w:footer="0" w:header="0"/>
          <w:type w:val="continuous"/>
        </w:sectPr>
      </w:pPr>
    </w:p>
    <w:p>
      <w:pPr>
        <w:spacing w:after="0" w:line="25" w:lineRule="exact"/>
        <w:rPr>
          <w:sz w:val="20"/>
          <w:szCs w:val="20"/>
          <w:color w:val="auto"/>
        </w:rPr>
      </w:pPr>
    </w:p>
    <w:p>
      <w:pPr>
        <w:ind w:left="1300" w:hanging="657"/>
        <w:spacing w:after="0"/>
        <w:tabs>
          <w:tab w:leader="none" w:pos="1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references to clauses are to clauses of this Deed;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485140</wp:posOffset>
            </wp:positionV>
            <wp:extent cx="51669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7" w:name="page28"/>
    <w:bookmarkEnd w:id="27"/>
    <w:p>
      <w:pPr>
        <w:ind w:left="1300" w:hanging="657"/>
        <w:spacing w:after="0"/>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headings to clauses are for convenience only and do not affect the interpretation of this Deed.</w:t>
      </w: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SSPA</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parties hereby agree with effect from the date of the SSPA, the SSPA shall be amended as follows:</w:t>
      </w:r>
    </w:p>
    <w:p>
      <w:pPr>
        <w:spacing w:after="0" w:line="252" w:lineRule="exact"/>
        <w:rPr>
          <w:sz w:val="20"/>
          <w:szCs w:val="20"/>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Sub-clause 4.2</w:t>
      </w:r>
      <w:r>
        <w:rPr>
          <w:rFonts w:ascii="Arial" w:cs="Arial" w:eastAsia="Arial" w:hAnsi="Arial"/>
          <w:sz w:val="18"/>
          <w:szCs w:val="18"/>
          <w:color w:val="auto"/>
        </w:rPr>
        <w:t xml:space="preserve"> of the SSPA shall be deleted and a new </w:t>
      </w:r>
      <w:r>
        <w:rPr>
          <w:rFonts w:ascii="Arial" w:cs="Arial" w:eastAsia="Arial" w:hAnsi="Arial"/>
          <w:sz w:val="18"/>
          <w:szCs w:val="18"/>
          <w:u w:val="single" w:color="auto"/>
          <w:color w:val="auto"/>
        </w:rPr>
        <w:t>sub-clause 4.2</w:t>
      </w:r>
      <w:r>
        <w:rPr>
          <w:rFonts w:ascii="Arial" w:cs="Arial" w:eastAsia="Arial" w:hAnsi="Arial"/>
          <w:sz w:val="18"/>
          <w:szCs w:val="18"/>
          <w:color w:val="auto"/>
        </w:rPr>
        <w:t xml:space="preserve"> substituted in its place, which new sub-clause shall read as follows:</w:t>
      </w:r>
    </w:p>
    <w:p>
      <w:pPr>
        <w:spacing w:after="0" w:line="185" w:lineRule="exact"/>
        <w:rPr>
          <w:rFonts w:ascii="Arial" w:cs="Arial" w:eastAsia="Arial" w:hAnsi="Arial"/>
          <w:sz w:val="18"/>
          <w:szCs w:val="18"/>
          <w:color w:val="auto"/>
        </w:rPr>
      </w:pPr>
    </w:p>
    <w:p>
      <w:pPr>
        <w:jc w:val="both"/>
        <w:ind w:left="1280" w:right="2119"/>
        <w:spacing w:after="0" w:line="259" w:lineRule="auto"/>
        <w:rPr>
          <w:rFonts w:ascii="Arial" w:cs="Arial" w:eastAsia="Arial" w:hAnsi="Arial"/>
          <w:sz w:val="18"/>
          <w:szCs w:val="18"/>
          <w:color w:val="auto"/>
        </w:rPr>
      </w:pPr>
      <w:r>
        <w:rPr>
          <w:rFonts w:ascii="Arial" w:cs="Arial" w:eastAsia="Arial" w:hAnsi="Arial"/>
          <w:sz w:val="18"/>
          <w:szCs w:val="18"/>
          <w:color w:val="auto"/>
        </w:rPr>
        <w:t>“4.2 The Provisional Consideration shall be INR 87.1 million or such other figure as the Parties may agree, which the Parties agree is based on the fair value of the Shares as calculated as at 29 February 2008.”</w:t>
      </w:r>
    </w:p>
    <w:p>
      <w:pPr>
        <w:spacing w:after="0" w:line="221"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term “30 Business Days” used in the introductory paragraph to </w:t>
      </w:r>
      <w:r>
        <w:rPr>
          <w:rFonts w:ascii="Arial" w:cs="Arial" w:eastAsia="Arial" w:hAnsi="Arial"/>
          <w:sz w:val="18"/>
          <w:szCs w:val="18"/>
          <w:u w:val="single" w:color="auto"/>
          <w:color w:val="auto"/>
        </w:rPr>
        <w:t>sub-clause 4.3</w:t>
      </w:r>
      <w:r>
        <w:rPr>
          <w:rFonts w:ascii="Arial" w:cs="Arial" w:eastAsia="Arial" w:hAnsi="Arial"/>
          <w:sz w:val="18"/>
          <w:szCs w:val="18"/>
          <w:color w:val="auto"/>
        </w:rPr>
        <w:t xml:space="preserve"> of the SSPA shall be deleted and substituted with the term “20 Business Days”.</w:t>
      </w:r>
    </w:p>
    <w:p>
      <w:pPr>
        <w:spacing w:after="0" w:line="212"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term “15 Business Days” used in </w:t>
      </w:r>
      <w:r>
        <w:rPr>
          <w:rFonts w:ascii="Arial" w:cs="Arial" w:eastAsia="Arial" w:hAnsi="Arial"/>
          <w:sz w:val="18"/>
          <w:szCs w:val="18"/>
          <w:u w:val="single" w:color="auto"/>
          <w:color w:val="auto"/>
        </w:rPr>
        <w:t>sub-clause 4.7</w:t>
      </w:r>
      <w:r>
        <w:rPr>
          <w:rFonts w:ascii="Arial" w:cs="Arial" w:eastAsia="Arial" w:hAnsi="Arial"/>
          <w:sz w:val="18"/>
          <w:szCs w:val="18"/>
          <w:color w:val="auto"/>
        </w:rPr>
        <w:t xml:space="preserve"> of the SSPA shall be deleted and substituted with the term “10 Business Days”.</w:t>
      </w:r>
    </w:p>
    <w:p>
      <w:pPr>
        <w:spacing w:after="0" w:line="212"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term “15 Business Days” used in </w:t>
      </w:r>
      <w:r>
        <w:rPr>
          <w:rFonts w:ascii="Arial" w:cs="Arial" w:eastAsia="Arial" w:hAnsi="Arial"/>
          <w:sz w:val="18"/>
          <w:szCs w:val="18"/>
          <w:u w:val="single" w:color="auto"/>
          <w:color w:val="auto"/>
        </w:rPr>
        <w:t>sub-clause 4.8.2</w:t>
      </w:r>
      <w:r>
        <w:rPr>
          <w:rFonts w:ascii="Arial" w:cs="Arial" w:eastAsia="Arial" w:hAnsi="Arial"/>
          <w:sz w:val="18"/>
          <w:szCs w:val="18"/>
          <w:color w:val="auto"/>
        </w:rPr>
        <w:t xml:space="preserve"> of the SSPA shall be deleted and substituted with the term “10 Business Days”.</w:t>
      </w:r>
    </w:p>
    <w:p>
      <w:pPr>
        <w:spacing w:after="0" w:line="212"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term “15 Business Days” used in </w:t>
      </w:r>
      <w:r>
        <w:rPr>
          <w:rFonts w:ascii="Arial" w:cs="Arial" w:eastAsia="Arial" w:hAnsi="Arial"/>
          <w:sz w:val="18"/>
          <w:szCs w:val="18"/>
          <w:u w:val="single" w:color="auto"/>
          <w:color w:val="auto"/>
        </w:rPr>
        <w:t>sub-clause 4.8.7</w:t>
      </w:r>
      <w:r>
        <w:rPr>
          <w:rFonts w:ascii="Arial" w:cs="Arial" w:eastAsia="Arial" w:hAnsi="Arial"/>
          <w:sz w:val="18"/>
          <w:szCs w:val="18"/>
          <w:color w:val="auto"/>
        </w:rPr>
        <w:t xml:space="preserve"> of the SSPA shall be deleted and substituted with the term “10 Business Days”.</w:t>
      </w:r>
    </w:p>
    <w:p>
      <w:pPr>
        <w:spacing w:after="0" w:line="212"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Sub-clause 6.1</w:t>
      </w:r>
      <w:r>
        <w:rPr>
          <w:rFonts w:ascii="Arial" w:cs="Arial" w:eastAsia="Arial" w:hAnsi="Arial"/>
          <w:sz w:val="18"/>
          <w:szCs w:val="18"/>
          <w:color w:val="auto"/>
        </w:rPr>
        <w:t xml:space="preserve"> of the SSPA shall be deleted and a new </w:t>
      </w:r>
      <w:r>
        <w:rPr>
          <w:rFonts w:ascii="Arial" w:cs="Arial" w:eastAsia="Arial" w:hAnsi="Arial"/>
          <w:sz w:val="18"/>
          <w:szCs w:val="18"/>
          <w:u w:val="single" w:color="auto"/>
          <w:color w:val="auto"/>
        </w:rPr>
        <w:t>sub-clause 6.1</w:t>
      </w:r>
      <w:r>
        <w:rPr>
          <w:rFonts w:ascii="Arial" w:cs="Arial" w:eastAsia="Arial" w:hAnsi="Arial"/>
          <w:sz w:val="18"/>
          <w:szCs w:val="18"/>
          <w:color w:val="auto"/>
        </w:rPr>
        <w:t xml:space="preserve"> substituted in its place, which new sub-clause shall read as follows:</w:t>
      </w:r>
    </w:p>
    <w:p>
      <w:pPr>
        <w:spacing w:after="0" w:line="185" w:lineRule="exact"/>
        <w:rPr>
          <w:rFonts w:ascii="Arial" w:cs="Arial" w:eastAsia="Arial" w:hAnsi="Arial"/>
          <w:sz w:val="18"/>
          <w:szCs w:val="18"/>
          <w:color w:val="auto"/>
        </w:rPr>
      </w:pPr>
    </w:p>
    <w:p>
      <w:pPr>
        <w:ind w:left="1280" w:right="2119"/>
        <w:spacing w:after="0" w:line="268" w:lineRule="auto"/>
        <w:rPr>
          <w:rFonts w:ascii="Arial" w:cs="Arial" w:eastAsia="Arial" w:hAnsi="Arial"/>
          <w:sz w:val="18"/>
          <w:szCs w:val="18"/>
          <w:color w:val="auto"/>
        </w:rPr>
      </w:pPr>
      <w:r>
        <w:rPr>
          <w:rFonts w:ascii="Arial" w:cs="Arial" w:eastAsia="Arial" w:hAnsi="Arial"/>
          <w:sz w:val="18"/>
          <w:szCs w:val="18"/>
          <w:color w:val="auto"/>
        </w:rPr>
        <w:t>“6.1 Completion shall take place at EXL India’s offices in Pune, India at 10.00 am on the Completion Date.”</w:t>
      </w:r>
    </w:p>
    <w:p>
      <w:pPr>
        <w:spacing w:after="0" w:line="212"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Sub-clause 1.2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SSPA shall be deleted and a new </w:t>
      </w:r>
      <w:r>
        <w:rPr>
          <w:rFonts w:ascii="Arial" w:cs="Arial" w:eastAsia="Arial" w:hAnsi="Arial"/>
          <w:sz w:val="18"/>
          <w:szCs w:val="18"/>
          <w:u w:val="single" w:color="auto"/>
          <w:color w:val="auto"/>
        </w:rPr>
        <w:t>sub-clause 1.2</w:t>
      </w:r>
      <w:r>
        <w:rPr>
          <w:rFonts w:ascii="Arial" w:cs="Arial" w:eastAsia="Arial" w:hAnsi="Arial"/>
          <w:sz w:val="18"/>
          <w:szCs w:val="18"/>
          <w:color w:val="auto"/>
        </w:rPr>
        <w:t xml:space="preserve"> substituted in its place, which new sub-clause shall read as follows:</w:t>
      </w:r>
    </w:p>
    <w:p>
      <w:pPr>
        <w:spacing w:after="0" w:line="185" w:lineRule="exact"/>
        <w:rPr>
          <w:rFonts w:ascii="Arial" w:cs="Arial" w:eastAsia="Arial" w:hAnsi="Arial"/>
          <w:sz w:val="18"/>
          <w:szCs w:val="18"/>
          <w:color w:val="auto"/>
        </w:rPr>
      </w:pPr>
    </w:p>
    <w:p>
      <w:pPr>
        <w:jc w:val="both"/>
        <w:ind w:left="1280" w:right="2099"/>
        <w:spacing w:after="0" w:line="256" w:lineRule="auto"/>
        <w:rPr>
          <w:rFonts w:ascii="Arial" w:cs="Arial" w:eastAsia="Arial" w:hAnsi="Arial"/>
          <w:sz w:val="18"/>
          <w:szCs w:val="18"/>
          <w:color w:val="auto"/>
        </w:rPr>
      </w:pPr>
      <w:r>
        <w:rPr>
          <w:rFonts w:ascii="Arial" w:cs="Arial" w:eastAsia="Arial" w:hAnsi="Arial"/>
          <w:sz w:val="18"/>
          <w:szCs w:val="18"/>
          <w:color w:val="auto"/>
        </w:rPr>
        <w:t>“1.2 The SPV has not declared or paid any dividend (in cash or in specie) or other distribution (as that term is defined in section 829 of the Companies Act 2006) since the date of the Escrow Deed except for a single dividend of INR 300 million (or such other figure as the parties may agree) to be paid prior to 11 August 2008.”</w:t>
      </w:r>
    </w:p>
    <w:p>
      <w:pPr>
        <w:spacing w:after="0" w:line="224" w:lineRule="exact"/>
        <w:rPr>
          <w:rFonts w:ascii="Arial" w:cs="Arial" w:eastAsia="Arial" w:hAnsi="Arial"/>
          <w:sz w:val="18"/>
          <w:szCs w:val="18"/>
          <w:color w:val="auto"/>
        </w:rPr>
      </w:pPr>
    </w:p>
    <w:p>
      <w:pPr>
        <w:ind w:left="1300" w:right="2119" w:hanging="657"/>
        <w:spacing w:after="0" w:line="26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term “INR 56.9 million” in </w:t>
      </w:r>
      <w:r>
        <w:rPr>
          <w:rFonts w:ascii="Arial" w:cs="Arial" w:eastAsia="Arial" w:hAnsi="Arial"/>
          <w:sz w:val="18"/>
          <w:szCs w:val="18"/>
          <w:u w:val="single" w:color="auto"/>
          <w:color w:val="auto"/>
        </w:rPr>
        <w:t>sub-clause 2.2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SSPA shall be deleted and substituted with the term “INR 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51669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28" w:name="page29"/>
    <w:bookmarkEnd w:id="28"/>
    <w:p>
      <w:pPr>
        <w:ind w:left="1300" w:right="2119" w:hanging="657"/>
        <w:spacing w:after="0" w:line="268"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Sub-clause 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SSPA shall be deleted and a new </w:t>
      </w:r>
      <w:r>
        <w:rPr>
          <w:rFonts w:ascii="Arial" w:cs="Arial" w:eastAsia="Arial" w:hAnsi="Arial"/>
          <w:sz w:val="18"/>
          <w:szCs w:val="18"/>
          <w:u w:val="single" w:color="auto"/>
          <w:color w:val="auto"/>
        </w:rPr>
        <w:t>sub-clause 1.1</w:t>
      </w:r>
      <w:r>
        <w:rPr>
          <w:rFonts w:ascii="Arial" w:cs="Arial" w:eastAsia="Arial" w:hAnsi="Arial"/>
          <w:sz w:val="18"/>
          <w:szCs w:val="18"/>
          <w:color w:val="auto"/>
        </w:rPr>
        <w:t xml:space="preserve"> substituted in its place, which new sub-clause shall read as follows:</w:t>
      </w:r>
    </w:p>
    <w:p>
      <w:pPr>
        <w:spacing w:after="0" w:line="185" w:lineRule="exact"/>
        <w:rPr>
          <w:rFonts w:ascii="Arial" w:cs="Arial" w:eastAsia="Arial" w:hAnsi="Arial"/>
          <w:sz w:val="18"/>
          <w:szCs w:val="18"/>
          <w:color w:val="auto"/>
        </w:rPr>
      </w:pPr>
    </w:p>
    <w:p>
      <w:pPr>
        <w:ind w:left="1280" w:right="2239"/>
        <w:spacing w:after="0" w:line="259" w:lineRule="auto"/>
        <w:rPr>
          <w:rFonts w:ascii="Arial" w:cs="Arial" w:eastAsia="Arial" w:hAnsi="Arial"/>
          <w:sz w:val="18"/>
          <w:szCs w:val="18"/>
          <w:color w:val="auto"/>
        </w:rPr>
      </w:pPr>
      <w:r>
        <w:rPr>
          <w:rFonts w:ascii="Arial" w:cs="Arial" w:eastAsia="Arial" w:hAnsi="Arial"/>
          <w:sz w:val="18"/>
          <w:szCs w:val="18"/>
          <w:color w:val="auto"/>
        </w:rPr>
        <w:t>“1.1 share transfer forms in relation to the Shares executed by the registered holders of such Shares in favour of the Client (or as it directs), together with the relevant share certificates duly endorsed.”</w:t>
      </w:r>
    </w:p>
    <w:p>
      <w:pPr>
        <w:spacing w:after="0" w:line="221" w:lineRule="exact"/>
        <w:rPr>
          <w:rFonts w:ascii="Arial" w:cs="Arial" w:eastAsia="Arial" w:hAnsi="Arial"/>
          <w:sz w:val="18"/>
          <w:szCs w:val="18"/>
          <w:color w:val="auto"/>
        </w:rPr>
      </w:pPr>
    </w:p>
    <w:p>
      <w:pPr>
        <w:jc w:val="both"/>
        <w:ind w:left="1300" w:right="2119" w:hanging="657"/>
        <w:spacing w:after="0" w:line="259"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The introductory paragraph of Clause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SSPA shall be deleted and a new introductory paragraph substituted in its place, which new introductory paragraph shall read as follows:</w:t>
      </w:r>
    </w:p>
    <w:p>
      <w:pPr>
        <w:spacing w:after="0" w:line="194" w:lineRule="exact"/>
        <w:rPr>
          <w:rFonts w:ascii="Arial" w:cs="Arial" w:eastAsia="Arial" w:hAnsi="Arial"/>
          <w:sz w:val="18"/>
          <w:szCs w:val="18"/>
          <w:color w:val="auto"/>
        </w:rPr>
      </w:pPr>
    </w:p>
    <w:p>
      <w:pPr>
        <w:ind w:left="1280" w:right="2119"/>
        <w:spacing w:after="0" w:line="332" w:lineRule="auto"/>
        <w:rPr>
          <w:rFonts w:ascii="Arial" w:cs="Arial" w:eastAsia="Arial" w:hAnsi="Arial"/>
          <w:sz w:val="18"/>
          <w:szCs w:val="18"/>
          <w:color w:val="auto"/>
        </w:rPr>
      </w:pPr>
      <w:r>
        <w:rPr>
          <w:rFonts w:ascii="Arial" w:cs="Arial" w:eastAsia="Arial" w:hAnsi="Arial"/>
          <w:sz w:val="16"/>
          <w:szCs w:val="16"/>
          <w:color w:val="auto"/>
        </w:rPr>
        <w:t>“2 EXL Holdings (US) shall deliver to the Client a certified copy of the circular resolutions passed by the board of directors of the SPV held before Completion, at which:”</w:t>
      </w:r>
    </w:p>
    <w:p>
      <w:pPr>
        <w:spacing w:after="0" w:line="133" w:lineRule="exact"/>
        <w:rPr>
          <w:rFonts w:ascii="Arial" w:cs="Arial" w:eastAsia="Arial" w:hAnsi="Arial"/>
          <w:sz w:val="18"/>
          <w:szCs w:val="18"/>
          <w:color w:val="auto"/>
        </w:rPr>
      </w:pPr>
    </w:p>
    <w:p>
      <w:pPr>
        <w:ind w:left="640" w:hanging="632"/>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31" w:lineRule="exact"/>
        <w:rPr>
          <w:sz w:val="20"/>
          <w:szCs w:val="20"/>
          <w:color w:val="auto"/>
        </w:rPr>
      </w:pPr>
    </w:p>
    <w:p>
      <w:pPr>
        <w:ind w:left="640" w:right="2339" w:hanging="634"/>
        <w:spacing w:after="0" w:line="332"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This Deed may be executed in any number of counterparts, and by the parties on separate counterparts, but shall not be effective until each party has executed at least one counterpart.</w:t>
      </w:r>
    </w:p>
    <w:p>
      <w:pPr>
        <w:spacing w:after="0" w:line="139" w:lineRule="exact"/>
        <w:rPr>
          <w:sz w:val="20"/>
          <w:szCs w:val="20"/>
          <w:color w:val="auto"/>
        </w:rPr>
      </w:pPr>
    </w:p>
    <w:p>
      <w:pPr>
        <w:ind w:left="640" w:right="2159" w:hanging="634"/>
        <w:spacing w:after="0" w:line="268"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Each counterpart shall constitute an original of this Deed, but all the counterparts shall together constitute but one and the same instrument.</w:t>
      </w:r>
    </w:p>
    <w:p>
      <w:pPr>
        <w:spacing w:after="0" w:line="180"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w:t>
      </w:r>
    </w:p>
    <w:p>
      <w:pPr>
        <w:spacing w:after="0" w:line="231" w:lineRule="exact"/>
        <w:rPr>
          <w:rFonts w:ascii="Arial" w:cs="Arial" w:eastAsia="Arial" w:hAnsi="Arial"/>
          <w:sz w:val="18"/>
          <w:szCs w:val="18"/>
          <w:b w:val="1"/>
          <w:bCs w:val="1"/>
          <w:color w:val="auto"/>
        </w:rPr>
      </w:pPr>
    </w:p>
    <w:p>
      <w:pPr>
        <w:ind w:left="640" w:right="2459"/>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 person other than a party to this Deed may enforce this Deed by virtue of the Contracts (Rights of Third Parties) Act 1999.</w:t>
      </w:r>
    </w:p>
    <w:p>
      <w:pPr>
        <w:spacing w:after="0" w:line="179" w:lineRule="exact"/>
        <w:rPr>
          <w:rFonts w:ascii="Arial" w:cs="Arial" w:eastAsia="Arial" w:hAnsi="Arial"/>
          <w:sz w:val="18"/>
          <w:szCs w:val="18"/>
          <w:b w:val="1"/>
          <w:bCs w:val="1"/>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 AND GOVERNING LAW</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This Deed shall be governed by, and construed in accordance with, English law.</w:t>
      </w:r>
    </w:p>
    <w:p>
      <w:pPr>
        <w:spacing w:after="0" w:line="225" w:lineRule="exact"/>
        <w:rPr>
          <w:sz w:val="20"/>
          <w:szCs w:val="20"/>
          <w:color w:val="auto"/>
        </w:rPr>
      </w:pPr>
    </w:p>
    <w:p>
      <w:pPr>
        <w:ind w:left="640" w:right="2699" w:hanging="634"/>
        <w:spacing w:after="0" w:line="306"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courts of England are to have exclusive jurisdiction to settle any dispute arising out of or in connection with this Deed. Any Proceedings shall therefore be brought in the English courts. This jurisdiction agreement is irrevocable and is for the benefit of the parties to this Deed.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[SSPA Deed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51669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401" w:right="1440" w:bottom="1440" w:gutter="0" w:footer="0" w:header="0"/>
        </w:sectPr>
      </w:pPr>
    </w:p>
    <w:bookmarkStart w:id="29" w:name="page30"/>
    <w:bookmarkEnd w:id="29"/>
    <w:p>
      <w:pPr>
        <w:ind w:right="2099"/>
        <w:spacing w:after="0" w:line="268" w:lineRule="auto"/>
        <w:rPr>
          <w:sz w:val="20"/>
          <w:szCs w:val="20"/>
          <w:color w:val="auto"/>
        </w:rPr>
      </w:pPr>
      <w:r>
        <w:rPr>
          <w:rFonts w:ascii="Arial" w:cs="Arial" w:eastAsia="Arial" w:hAnsi="Arial"/>
          <w:sz w:val="18"/>
          <w:szCs w:val="18"/>
          <w:color w:val="auto"/>
        </w:rPr>
        <w:t>IN WITNESS of which this document has been executed and delivered as a deed on the date which first appears on page 1 above.</w:t>
      </w:r>
    </w:p>
    <w:p>
      <w:pPr>
        <w:sectPr>
          <w:pgSz w:w="11900" w:h="16838" w:orient="portrait"/>
          <w:cols w:equalWidth="0" w:num="1">
            <w:col w:w="10219"/>
          </w:cols>
          <w:pgMar w:left="240" w:top="374" w:right="1440" w:bottom="1440" w:gutter="0" w:footer="0" w:header="0"/>
        </w:sectPr>
      </w:pPr>
    </w:p>
    <w:p>
      <w:pPr>
        <w:spacing w:after="0" w:line="186" w:lineRule="exact"/>
        <w:rPr>
          <w:sz w:val="20"/>
          <w:szCs w:val="20"/>
          <w:color w:val="auto"/>
        </w:rPr>
      </w:pPr>
    </w:p>
    <w:p>
      <w:pPr>
        <w:ind w:left="100"/>
        <w:spacing w:after="0"/>
        <w:tabs>
          <w:tab w:leader="none" w:pos="3340" w:val="left"/>
        </w:tabs>
        <w:rPr>
          <w:sz w:val="20"/>
          <w:szCs w:val="20"/>
          <w:color w:val="auto"/>
        </w:rPr>
      </w:pPr>
      <w:r>
        <w:rPr>
          <w:rFonts w:ascii="Arial" w:cs="Arial" w:eastAsia="Arial" w:hAnsi="Arial"/>
          <w:sz w:val="18"/>
          <w:szCs w:val="18"/>
          <w:color w:val="auto"/>
        </w:rPr>
        <w:t>Executed as a deed by EXLSERVICE</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100"/>
        <w:spacing w:after="0"/>
        <w:tabs>
          <w:tab w:leader="none" w:pos="3340" w:val="left"/>
        </w:tabs>
        <w:rPr>
          <w:sz w:val="20"/>
          <w:szCs w:val="20"/>
          <w:color w:val="auto"/>
        </w:rPr>
      </w:pPr>
      <w:r>
        <w:rPr>
          <w:rFonts w:ascii="Arial" w:cs="Arial" w:eastAsia="Arial" w:hAnsi="Arial"/>
          <w:sz w:val="18"/>
          <w:szCs w:val="18"/>
          <w:color w:val="auto"/>
        </w:rPr>
        <w:t>HOLDINGS, INC. acting by Vikram</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340" w:val="left"/>
        </w:tabs>
        <w:rPr>
          <w:sz w:val="20"/>
          <w:szCs w:val="20"/>
          <w:color w:val="auto"/>
        </w:rPr>
      </w:pPr>
      <w:r>
        <w:rPr>
          <w:rFonts w:ascii="Arial" w:cs="Arial" w:eastAsia="Arial" w:hAnsi="Arial"/>
          <w:sz w:val="16"/>
          <w:szCs w:val="16"/>
          <w:color w:val="auto"/>
        </w:rPr>
        <w:t>Talwar who, in accordance with the laws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340" w:val="left"/>
        </w:tabs>
        <w:rPr>
          <w:sz w:val="20"/>
          <w:szCs w:val="20"/>
          <w:color w:val="auto"/>
        </w:rPr>
      </w:pPr>
      <w:r>
        <w:rPr>
          <w:rFonts w:ascii="Arial" w:cs="Arial" w:eastAsia="Arial" w:hAnsi="Arial"/>
          <w:sz w:val="18"/>
          <w:szCs w:val="18"/>
          <w:color w:val="auto"/>
        </w:rPr>
        <w:t>the State of Delaware, is acting under the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340" w:val="left"/>
        </w:tabs>
        <w:rPr>
          <w:sz w:val="20"/>
          <w:szCs w:val="20"/>
          <w:color w:val="auto"/>
        </w:rPr>
      </w:pPr>
      <w:r>
        <w:rPr>
          <w:rFonts w:ascii="Arial" w:cs="Arial" w:eastAsia="Arial" w:hAnsi="Arial"/>
          <w:sz w:val="18"/>
          <w:szCs w:val="18"/>
          <w:color w:val="auto"/>
        </w:rPr>
        <w:t>authority of ExlService Holdings, Inc.</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Executed as a deed by AVIVA GLOBAL</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SERVICES SINGAPORE PRIVATE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LIMITED acting by Vikas Gupta who, in</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6"/>
          <w:szCs w:val="16"/>
          <w:color w:val="auto"/>
        </w:rPr>
        <w:t>accordance with the laws of the Republic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Singapore, is acting under the authority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Aviva Global Services Singapore Private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8"/>
          <w:szCs w:val="18"/>
          <w:color w:val="auto"/>
        </w:rPr>
        <w:t>Limited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42545</wp:posOffset>
            </wp:positionV>
            <wp:extent cx="23152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679"/>
        <w:spacing w:after="0"/>
        <w:rPr>
          <w:sz w:val="20"/>
          <w:szCs w:val="20"/>
          <w:color w:val="auto"/>
        </w:rPr>
      </w:pPr>
      <w:r>
        <w:rPr>
          <w:rFonts w:ascii="Arial" w:cs="Arial" w:eastAsia="Arial" w:hAnsi="Arial"/>
          <w:sz w:val="18"/>
          <w:szCs w:val="18"/>
          <w:color w:val="auto"/>
        </w:rPr>
        <w:t>/s/ Vikas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27940</wp:posOffset>
            </wp:positionV>
            <wp:extent cx="2383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sectPr>
      <w:pgSz w:w="11900" w:h="16838" w:orient="portrait"/>
      <w:cols w:equalWidth="0" w:num="2">
        <w:col w:w="4500" w:space="720"/>
        <w:col w:w="4999"/>
      </w:cols>
      <w:pgMar w:left="240" w:top="3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1)"/>
      <w:numFmt w:val="lowerLetter"/>
      <w:start w:val="2"/>
    </w:lvl>
  </w:abstractNum>
  <w:abstractNum w:abstractNumId="2">
    <w:nsid w:val="257130A3"/>
    <w:multiLevelType w:val="hybridMultilevel"/>
    <w:lvl w:ilvl="0">
      <w:lvlJc w:val="left"/>
      <w:lvlText w:val="%1."/>
      <w:numFmt w:val="decimal"/>
      <w:start w:val="2"/>
    </w:lvl>
    <w:lvl w:ilvl="1">
      <w:lvlJc w:val="left"/>
      <w:lvlText w:val="(%2)"/>
      <w:numFmt w:val="lowerLetter"/>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bullet"/>
      <w:start w:val="1"/>
    </w:lvl>
  </w:abstractNum>
  <w:abstractNum w:abstractNumId="5">
    <w:nsid w:val="628C895D"/>
    <w:multiLevelType w:val="hybridMultilevel"/>
    <w:lvl w:ilvl="0">
      <w:lvlJc w:val="left"/>
      <w:lvlText w:val="2"/>
      <w:numFmt w:val="bullet"/>
      <w:start w:val="1"/>
    </w:lvl>
  </w:abstractNum>
  <w:abstractNum w:abstractNumId="6">
    <w:nsid w:val="333AB105"/>
    <w:multiLevelType w:val="hybridMultilevel"/>
    <w:lvl w:ilvl="0">
      <w:lvlJc w:val="left"/>
      <w:lvlText w:val="4"/>
      <w:numFmt w:val="bullet"/>
      <w:start w:val="1"/>
    </w:lvl>
  </w:abstractNum>
  <w:abstractNum w:abstractNumId="7">
    <w:nsid w:val="721DA317"/>
    <w:multiLevelType w:val="hybridMultilevel"/>
    <w:lvl w:ilvl="0">
      <w:lvlJc w:val="left"/>
      <w:lvlText w:val="5"/>
      <w:numFmt w:val="bullet"/>
      <w:start w:val="1"/>
    </w:lvl>
  </w:abstractNum>
  <w:abstractNum w:abstractNumId="8">
    <w:nsid w:val="2443A858"/>
    <w:multiLevelType w:val="hybridMultilevel"/>
    <w:lvl w:ilvl="0">
      <w:lvlJc w:val="left"/>
      <w:lvlText w:val="6"/>
      <w:numFmt w:val="bullet"/>
      <w:start w:val="1"/>
    </w:lvl>
  </w:abstractNum>
  <w:abstractNum w:abstractNumId="9">
    <w:nsid w:val="2D1D5AE9"/>
    <w:multiLevelType w:val="hybridMultilevel"/>
    <w:lvl w:ilvl="0">
      <w:lvlJc w:val="left"/>
      <w:lvlText w:val="7"/>
      <w:numFmt w:val="bullet"/>
      <w:start w:val="1"/>
    </w:lvl>
  </w:abstractNum>
  <w:abstractNum w:abstractNumId="10">
    <w:nsid w:val="6763845E"/>
    <w:multiLevelType w:val="hybridMultilevel"/>
    <w:lvl w:ilvl="0">
      <w:lvlJc w:val="left"/>
      <w:lvlText w:val="8"/>
      <w:numFmt w:val="bullet"/>
      <w:start w:val="1"/>
    </w:lvl>
  </w:abstractNum>
  <w:abstractNum w:abstractNumId="11">
    <w:nsid w:val="75A2A8D4"/>
    <w:multiLevelType w:val="hybridMultilevel"/>
    <w:lvl w:ilvl="0">
      <w:lvlJc w:val="left"/>
      <w:lvlText w:val="9"/>
      <w:numFmt w:val="bullet"/>
      <w:start w:val="1"/>
    </w:lvl>
  </w:abstractNum>
  <w:abstractNum w:abstractNumId="12">
    <w:nsid w:val="8EDBDAB"/>
    <w:multiLevelType w:val="hybridMultilevel"/>
    <w:lvl w:ilvl="0">
      <w:lvlJc w:val="left"/>
      <w:lvlText w:val="(%1)"/>
      <w:numFmt w:val="decimal"/>
      <w:start w:val="1"/>
    </w:lvl>
    <w:lvl w:ilvl="1">
      <w:lvlJc w:val="left"/>
      <w:lvlText w:val="(%2)"/>
      <w:numFmt w:val="decimal"/>
      <w:start w:val="2"/>
    </w:lvl>
  </w:abstractNum>
  <w:abstractNum w:abstractNumId="13">
    <w:nsid w:val="79838CB2"/>
    <w:multiLevelType w:val="hybridMultilevel"/>
    <w:lvl w:ilvl="0">
      <w:lvlJc w:val="left"/>
      <w:lvlText w:val="1"/>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2"/>
      <w:numFmt w:val="bullet"/>
      <w:start w:val="1"/>
    </w:lvl>
  </w:abstractNum>
  <w:abstractNum w:abstractNumId="16">
    <w:nsid w:val="189A769B"/>
    <w:multiLevelType w:val="hybridMultilevel"/>
    <w:lvl w:ilvl="0">
      <w:lvlJc w:val="left"/>
      <w:lvlText w:val="3"/>
      <w:numFmt w:val="bullet"/>
      <w:start w:val="1"/>
    </w:lvl>
  </w:abstractNum>
  <w:abstractNum w:abstractNumId="17">
    <w:nsid w:val="54E49EB4"/>
    <w:multiLevelType w:val="hybridMultilevel"/>
    <w:lvl w:ilvl="0">
      <w:lvlJc w:val="left"/>
      <w:lvlText w:val="4"/>
      <w:numFmt w:val="bullet"/>
      <w:start w:val="1"/>
    </w:lvl>
  </w:abstractNum>
  <w:abstractNum w:abstractNumId="18">
    <w:nsid w:val="71F32454"/>
    <w:multiLevelType w:val="hybridMultilevel"/>
    <w:lvl w:ilvl="0">
      <w:lvlJc w:val="left"/>
      <w:lvlText w:val="5"/>
      <w:numFmt w:val="bullet"/>
      <w:start w:val="1"/>
    </w:lvl>
  </w:abstractNum>
  <w:abstractNum w:abstractNumId="19">
    <w:nsid w:val="2CA88611"/>
    <w:multiLevelType w:val="hybridMultilevel"/>
    <w:lvl w:ilvl="0">
      <w:lvlJc w:val="left"/>
      <w:lvlText w:val="6"/>
      <w:numFmt w:val="bullet"/>
      <w:start w:val="1"/>
    </w:lvl>
  </w:abstractNum>
  <w:abstractNum w:abstractNumId="20">
    <w:nsid w:val="836C40E"/>
    <w:multiLevelType w:val="hybridMultilevel"/>
    <w:lvl w:ilvl="0">
      <w:lvlJc w:val="left"/>
      <w:lvlText w:val="7"/>
      <w:numFmt w:val="bullet"/>
      <w:start w:val="1"/>
    </w:lvl>
  </w:abstractNum>
  <w:abstractNum w:abstractNumId="21">
    <w:nsid w:val="2901D82"/>
    <w:multiLevelType w:val="hybridMultilevel"/>
    <w:lvl w:ilvl="0">
      <w:lvlJc w:val="left"/>
      <w:lvlText w:val="8"/>
      <w:numFmt w:val="bullet"/>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9"/>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upperLetter"/>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upperLetter"/>
      <w:start w:val="1"/>
    </w:lvl>
  </w:abstractNum>
  <w:abstractNum w:abstractNumId="30">
    <w:nsid w:val="3006C83E"/>
    <w:multiLevelType w:val="hybridMultilevel"/>
    <w:lvl w:ilvl="0">
      <w:lvlJc w:val="left"/>
      <w:lvlText w:val="%1"/>
      <w:numFmt w:val="decimal"/>
      <w:start w:val="1"/>
    </w:lvl>
    <w:lvl w:ilvl="1">
      <w:lvlJc w:val="left"/>
      <w:lvlText w:val="(%2)"/>
      <w:numFmt w:val="upperLetter"/>
      <w:start w:val="2"/>
    </w:lvl>
  </w:abstractNum>
  <w:abstractNum w:abstractNumId="31">
    <w:nsid w:val="614FD4A1"/>
    <w:multiLevelType w:val="hybridMultilevel"/>
    <w:lvl w:ilvl="0">
      <w:lvlJc w:val="left"/>
      <w:lvlText w:val="%1."/>
      <w:numFmt w:val="decimal"/>
      <w:start w:val="2"/>
    </w:lvl>
    <w:lvl w:ilvl="1">
      <w:lvlJc w:val="left"/>
      <w:lvlText w:val="%2"/>
      <w:numFmt w:val="upperLetter"/>
      <w:start w:val="1"/>
    </w:lvl>
  </w:abstractNum>
  <w:abstractNum w:abstractNumId="32">
    <w:nsid w:val="419AC241"/>
    <w:multiLevelType w:val="hybridMultilevel"/>
    <w:lvl w:ilvl="0">
      <w:lvlJc w:val="left"/>
      <w:lvlText w:val="(%1)"/>
      <w:numFmt w:val="upperLetter"/>
      <w:start w:val="1"/>
    </w:lvl>
  </w:abstractNum>
  <w:abstractNum w:abstractNumId="33">
    <w:nsid w:val="5577F8E1"/>
    <w:multiLevelType w:val="hybridMultilevel"/>
    <w:lvl w:ilvl="0">
      <w:lvlJc w:val="left"/>
      <w:lvlText w:val="%1"/>
      <w:numFmt w:val="decimal"/>
      <w:start w:val="1"/>
    </w:lvl>
    <w:lvl w:ilvl="1">
      <w:lvlJc w:val="left"/>
      <w:lvlText w:val="(%2)"/>
      <w:numFmt w:val="upperLetter"/>
      <w:start w:val="9"/>
    </w:lvl>
  </w:abstractNum>
  <w:abstractNum w:abstractNumId="34">
    <w:nsid w:val="440BADFC"/>
    <w:multiLevelType w:val="hybridMultilevel"/>
    <w:lvl w:ilvl="0">
      <w:lvlJc w:val="left"/>
      <w:lvlText w:val="%1."/>
      <w:numFmt w:val="decimal"/>
      <w:start w:val="3"/>
    </w:lvl>
    <w:lvl w:ilvl="1">
      <w:lvlJc w:val="left"/>
      <w:lvlText w:val="%2"/>
      <w:numFmt w:val="upperLetter"/>
      <w:start w:val="1"/>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2019-12-15T08:35:11Z</dcterms:created>
  <dcterms:modified xsi:type="dcterms:W3CDTF">2019-12-15T08:35:11Z</dcterms:modified>
</cp:coreProperties>
</file>