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39"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FORM 8-K</w:t>
      </w:r>
    </w:p>
    <w:p>
      <w:pPr>
        <w:spacing w:after="0" w:line="27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ind w:left="1780"/>
        <w:spacing w:after="0"/>
        <w:tabs>
          <w:tab w:leader="none" w:pos="53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b w:val="1"/>
          <w:bCs w:val="1"/>
          <w:color w:val="auto"/>
        </w:rPr>
        <w:t>July 21, 2008</w:t>
      </w:r>
    </w:p>
    <w:p>
      <w:pPr>
        <w:spacing w:after="0" w:line="200" w:lineRule="exact"/>
        <w:rPr>
          <w:sz w:val="24"/>
          <w:szCs w:val="24"/>
          <w:color w:val="auto"/>
        </w:rPr>
      </w:pPr>
    </w:p>
    <w:p>
      <w:pPr>
        <w:spacing w:after="0" w:line="254" w:lineRule="exact"/>
        <w:rPr>
          <w:sz w:val="24"/>
          <w:szCs w:val="24"/>
          <w:color w:val="auto"/>
        </w:rPr>
      </w:pPr>
    </w:p>
    <w:p>
      <w:pPr>
        <w:ind w:left="2280"/>
        <w:spacing w:after="0"/>
        <w:rPr>
          <w:sz w:val="20"/>
          <w:szCs w:val="20"/>
          <w:color w:val="auto"/>
        </w:rPr>
      </w:pPr>
      <w:r>
        <w:rPr>
          <w:rFonts w:ascii="Arial" w:cs="Arial" w:eastAsia="Arial" w:hAnsi="Arial"/>
          <w:sz w:val="24"/>
          <w:szCs w:val="24"/>
          <w:b w:val="1"/>
          <w:bCs w:val="1"/>
          <w:color w:val="auto"/>
        </w:rPr>
        <w:t>EXLSERVICE HOLDINGS, INC.</w:t>
      </w:r>
    </w:p>
    <w:p>
      <w:pPr>
        <w:spacing w:after="0" w:line="41"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001-33089</w:t>
            </w:r>
          </w:p>
        </w:tc>
        <w:tc>
          <w:tcPr>
            <w:tcW w:w="3840" w:type="dxa"/>
            <w:vAlign w:val="bottom"/>
          </w:tcPr>
          <w:p>
            <w:pPr>
              <w:jc w:val="right"/>
              <w:ind w:right="1372"/>
              <w:spacing w:after="0"/>
              <w:rPr>
                <w:sz w:val="20"/>
                <w:szCs w:val="20"/>
                <w:color w:val="auto"/>
              </w:rPr>
            </w:pPr>
            <w:r>
              <w:rPr>
                <w:rFonts w:ascii="Arial" w:cs="Arial" w:eastAsia="Arial" w:hAnsi="Arial"/>
                <w:sz w:val="18"/>
                <w:szCs w:val="18"/>
                <w:b w:val="1"/>
                <w:bCs w:val="1"/>
                <w:color w:val="auto"/>
              </w:rPr>
              <w:t>82-0572194</w:t>
            </w:r>
          </w:p>
        </w:tc>
      </w:tr>
      <w:tr>
        <w:trPr>
          <w:trHeight w:val="97"/>
        </w:trPr>
        <w:tc>
          <w:tcPr>
            <w:tcW w:w="42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r>
      <w:tr>
        <w:trPr>
          <w:trHeight w:val="216"/>
        </w:trPr>
        <w:tc>
          <w:tcPr>
            <w:tcW w:w="4280" w:type="dxa"/>
            <w:vAlign w:val="bottom"/>
          </w:tcPr>
          <w:p>
            <w:pPr>
              <w:jc w:val="center"/>
              <w:ind w:left="12"/>
              <w:spacing w:after="0"/>
              <w:rPr>
                <w:sz w:val="20"/>
                <w:szCs w:val="20"/>
                <w:color w:val="auto"/>
              </w:rPr>
            </w:pPr>
            <w:r>
              <w:rPr>
                <w:rFonts w:ascii="Arial" w:cs="Arial" w:eastAsia="Arial" w:hAnsi="Arial"/>
                <w:sz w:val="18"/>
                <w:szCs w:val="18"/>
                <w:color w:val="auto"/>
                <w:w w:val="90"/>
              </w:rPr>
              <w:t>(Commission File Number)</w:t>
            </w:r>
          </w:p>
        </w:tc>
        <w:tc>
          <w:tcPr>
            <w:tcW w:w="384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628"/>
        </w:trPr>
        <w:tc>
          <w:tcPr>
            <w:tcW w:w="428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350 Park Avenue</w:t>
            </w:r>
          </w:p>
        </w:tc>
        <w:tc>
          <w:tcPr>
            <w:tcW w:w="3840" w:type="dxa"/>
            <w:vAlign w:val="bottom"/>
          </w:tcPr>
          <w:p>
            <w:pPr>
              <w:spacing w:after="0"/>
              <w:rPr>
                <w:sz w:val="24"/>
                <w:szCs w:val="24"/>
                <w:color w:val="auto"/>
              </w:rPr>
            </w:pPr>
          </w:p>
        </w:tc>
      </w:tr>
      <w:tr>
        <w:trPr>
          <w:trHeight w:val="255"/>
        </w:trPr>
        <w:tc>
          <w:tcPr>
            <w:tcW w:w="428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New York, New York</w:t>
            </w:r>
          </w:p>
        </w:tc>
        <w:tc>
          <w:tcPr>
            <w:tcW w:w="3840" w:type="dxa"/>
            <w:vAlign w:val="bottom"/>
          </w:tcPr>
          <w:p>
            <w:pPr>
              <w:jc w:val="right"/>
              <w:ind w:right="1572"/>
              <w:spacing w:after="0"/>
              <w:rPr>
                <w:sz w:val="20"/>
                <w:szCs w:val="20"/>
                <w:color w:val="auto"/>
              </w:rPr>
            </w:pPr>
            <w:r>
              <w:rPr>
                <w:rFonts w:ascii="Arial" w:cs="Arial" w:eastAsia="Arial" w:hAnsi="Arial"/>
                <w:sz w:val="18"/>
                <w:szCs w:val="18"/>
                <w:b w:val="1"/>
                <w:bCs w:val="1"/>
                <w:color w:val="auto"/>
              </w:rPr>
              <w:t>10022</w:t>
            </w:r>
          </w:p>
        </w:tc>
      </w:tr>
      <w:tr>
        <w:trPr>
          <w:trHeight w:val="97"/>
        </w:trPr>
        <w:tc>
          <w:tcPr>
            <w:tcW w:w="42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r>
      <w:tr>
        <w:trPr>
          <w:trHeight w:val="216"/>
        </w:trPr>
        <w:tc>
          <w:tcPr>
            <w:tcW w:w="4280" w:type="dxa"/>
            <w:vAlign w:val="bottom"/>
          </w:tcPr>
          <w:p>
            <w:pPr>
              <w:jc w:val="center"/>
              <w:ind w:left="12"/>
              <w:spacing w:after="0"/>
              <w:rPr>
                <w:sz w:val="20"/>
                <w:szCs w:val="20"/>
                <w:color w:val="auto"/>
              </w:rPr>
            </w:pPr>
            <w:r>
              <w:rPr>
                <w:rFonts w:ascii="Arial" w:cs="Arial" w:eastAsia="Arial" w:hAnsi="Arial"/>
                <w:sz w:val="18"/>
                <w:szCs w:val="18"/>
                <w:color w:val="auto"/>
                <w:w w:val="90"/>
              </w:rPr>
              <w:t>(Address of principal executive offices)</w:t>
            </w:r>
          </w:p>
        </w:tc>
        <w:tc>
          <w:tcPr>
            <w:tcW w:w="3840" w:type="dxa"/>
            <w:vAlign w:val="bottom"/>
          </w:tcPr>
          <w:p>
            <w:pPr>
              <w:jc w:val="center"/>
              <w:spacing w:after="0"/>
              <w:rPr>
                <w:sz w:val="20"/>
                <w:szCs w:val="20"/>
                <w:color w:val="auto"/>
              </w:rPr>
            </w:pPr>
            <w:r>
              <w:rPr>
                <w:rFonts w:ascii="Arial" w:cs="Arial" w:eastAsia="Arial" w:hAnsi="Arial"/>
                <w:sz w:val="18"/>
                <w:szCs w:val="18"/>
                <w:color w:val="auto"/>
                <w:w w:val="89"/>
              </w:rPr>
              <w:t>(Zip Code)</w:t>
            </w:r>
          </w:p>
        </w:tc>
      </w:tr>
    </w:tbl>
    <w:p>
      <w:pPr>
        <w:spacing w:after="0" w:line="317"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6" w:lineRule="exact"/>
        <w:rPr>
          <w:sz w:val="24"/>
          <w:szCs w:val="24"/>
          <w:color w:val="auto"/>
        </w:rPr>
      </w:pPr>
    </w:p>
    <w:p>
      <w:pPr>
        <w:jc w:val="both"/>
        <w:ind w:right="2099" w:firstLine="402"/>
        <w:spacing w:after="0" w:line="36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09"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8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4" w:lineRule="exact"/>
        <w:rPr>
          <w:rFonts w:ascii="Arial" w:cs="Arial" w:eastAsia="Arial" w:hAnsi="Arial"/>
          <w:sz w:val="22"/>
          <w:szCs w:val="22"/>
          <w:color w:val="auto"/>
        </w:rPr>
      </w:pPr>
    </w:p>
    <w:p>
      <w:pPr>
        <w:ind w:left="340" w:right="2119" w:hanging="8"/>
        <w:spacing w:after="0" w:line="228" w:lineRule="auto"/>
        <w:tabs>
          <w:tab w:leader="none" w:pos="583"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22"/>
          <w:szCs w:val="22"/>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5"/>
          <w:szCs w:val="15"/>
          <w:color w:val="auto"/>
        </w:rPr>
        <w:t>Pre-commencement communications pursuant to Rule 13e-4(c) under the Exchange Act (17 CFR 240.13e-</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514540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1183640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u w:val="single" w:color="auto"/>
          <w:color w:val="auto"/>
        </w:rPr>
        <w:t>Regulation FD Disclosure.</w:t>
      </w:r>
    </w:p>
    <w:p>
      <w:pPr>
        <w:spacing w:after="0" w:line="225" w:lineRule="exact"/>
        <w:rPr>
          <w:sz w:val="20"/>
          <w:szCs w:val="20"/>
          <w:color w:val="auto"/>
        </w:rPr>
      </w:pPr>
    </w:p>
    <w:p>
      <w:pPr>
        <w:ind w:right="2119" w:firstLine="1037"/>
        <w:spacing w:after="0" w:line="289" w:lineRule="auto"/>
        <w:rPr>
          <w:sz w:val="20"/>
          <w:szCs w:val="20"/>
          <w:color w:val="auto"/>
        </w:rPr>
      </w:pPr>
      <w:r>
        <w:rPr>
          <w:rFonts w:ascii="Arial" w:cs="Arial" w:eastAsia="Arial" w:hAnsi="Arial"/>
          <w:sz w:val="16"/>
          <w:szCs w:val="16"/>
          <w:color w:val="auto"/>
        </w:rPr>
        <w:t>ExlService Holdings, Inc. (the “Company”), a leading provider of transformation and outsourcing solutions, announced that it has exchanged communications with IndyMac Federal Bank, F.S.B.( “IndyMac Federal”), one of the Company’s clients, regarding the status of the Company’s relationship with IndyMac. On July 11, 2008, IndyMac Federal’s predecessor, IndyMac Bank, F.S.B. (“IndyMac Bank”), was closed by the U.S. Treasury Department’s Office of Thrift Supervision and the Federal Deposit Insurance Corporation (the “FDIC”) was named conservator. The FDIC established IndyMac Federal as the successor to IndyMac Bank and stated in a press release on the subject dated July 11, 2008 that it would seek to “maximize the value of the institution for a future sale and to maintain banking services in the communities formerly served” by IndyMac Bank .</w:t>
      </w:r>
    </w:p>
    <w:p>
      <w:pPr>
        <w:spacing w:after="0" w:line="199" w:lineRule="exact"/>
        <w:rPr>
          <w:sz w:val="20"/>
          <w:szCs w:val="20"/>
          <w:color w:val="auto"/>
        </w:rPr>
      </w:pPr>
    </w:p>
    <w:p>
      <w:pPr>
        <w:ind w:right="2139" w:firstLine="1037"/>
        <w:spacing w:after="0" w:line="254" w:lineRule="auto"/>
        <w:rPr>
          <w:sz w:val="20"/>
          <w:szCs w:val="20"/>
          <w:color w:val="auto"/>
        </w:rPr>
      </w:pPr>
      <w:r>
        <w:rPr>
          <w:rFonts w:ascii="Arial" w:cs="Arial" w:eastAsia="Arial" w:hAnsi="Arial"/>
          <w:sz w:val="18"/>
          <w:szCs w:val="18"/>
          <w:color w:val="auto"/>
        </w:rPr>
        <w:t>In communications with the Company, IndyMac Federal has confirmed that the Company’s contract with IndyMac Bank will be assumed by IndyMac Federal and that IndyMac Federal will continue to receive and pay for certain services thereunder. IndyMac Federal has publicly announced that it will cease origination of mortgage loans. As a result, the Company has ceased providing loan origination services to IndyMac Federal. However, the Company expects that it will continue to provide services with regard to existing IndyMac Federal mortgages at reduced volumes.</w:t>
      </w:r>
    </w:p>
    <w:p>
      <w:pPr>
        <w:spacing w:after="0" w:line="225" w:lineRule="exact"/>
        <w:rPr>
          <w:sz w:val="20"/>
          <w:szCs w:val="20"/>
          <w:color w:val="auto"/>
        </w:rPr>
      </w:pPr>
    </w:p>
    <w:p>
      <w:pPr>
        <w:ind w:right="2179" w:firstLine="1037"/>
        <w:spacing w:after="0" w:line="256" w:lineRule="auto"/>
        <w:rPr>
          <w:sz w:val="20"/>
          <w:szCs w:val="20"/>
          <w:color w:val="auto"/>
        </w:rPr>
      </w:pPr>
      <w:r>
        <w:rPr>
          <w:rFonts w:ascii="Arial" w:cs="Arial" w:eastAsia="Arial" w:hAnsi="Arial"/>
          <w:sz w:val="18"/>
          <w:szCs w:val="18"/>
          <w:color w:val="auto"/>
        </w:rPr>
        <w:t>Based on the Company’s communications with IndyMac Federal, the Company expects an annualized reduction in the revenues from the client of approximately $3.0 million. Outsourcing services provided to IndyMac Bank accounted for approximately 4.5% of the Company’s revenues for the quarter ended March 31, 2008.</w:t>
      </w:r>
    </w:p>
    <w:p>
      <w:pPr>
        <w:spacing w:after="0" w:line="224" w:lineRule="exact"/>
        <w:rPr>
          <w:sz w:val="20"/>
          <w:szCs w:val="20"/>
          <w:color w:val="auto"/>
        </w:rPr>
      </w:pPr>
    </w:p>
    <w:p>
      <w:pPr>
        <w:ind w:right="2179" w:firstLine="1037"/>
        <w:spacing w:after="0" w:line="255" w:lineRule="auto"/>
        <w:rPr>
          <w:sz w:val="20"/>
          <w:szCs w:val="20"/>
          <w:color w:val="auto"/>
        </w:rPr>
      </w:pPr>
      <w:r>
        <w:rPr>
          <w:rFonts w:ascii="Arial" w:cs="Arial" w:eastAsia="Arial" w:hAnsi="Arial"/>
          <w:sz w:val="18"/>
          <w:szCs w:val="18"/>
          <w:color w:val="auto"/>
        </w:rPr>
        <w:t>The above statements regarding the Company’s relationship with IndyMac Federal are based on the current intentions of IndyMac Federal and the FDIC as communicated to the Company. Changes in the circumstances regarding IndyMac Federal’s operation and ownership could result in changes to such intentions. The Company can provide no assurances as to the level, or the existence, of any future relationship with IndyMac Federal.</w:t>
      </w:r>
    </w:p>
    <w:p>
      <w:pPr>
        <w:spacing w:after="0" w:line="224" w:lineRule="exact"/>
        <w:rPr>
          <w:sz w:val="20"/>
          <w:szCs w:val="20"/>
          <w:color w:val="auto"/>
        </w:rPr>
      </w:pPr>
    </w:p>
    <w:p>
      <w:pPr>
        <w:ind w:right="2119" w:firstLine="1037"/>
        <w:spacing w:after="0" w:line="287" w:lineRule="auto"/>
        <w:rPr>
          <w:sz w:val="20"/>
          <w:szCs w:val="20"/>
          <w:color w:val="auto"/>
        </w:rPr>
      </w:pPr>
      <w:r>
        <w:rPr>
          <w:rFonts w:ascii="Arial" w:cs="Arial" w:eastAsia="Arial" w:hAnsi="Arial"/>
          <w:sz w:val="16"/>
          <w:szCs w:val="16"/>
          <w:i w:val="1"/>
          <w:iCs w:val="1"/>
          <w:color w:val="auto"/>
        </w:rPr>
        <w:t>This Report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617" w:right="1440" w:bottom="1440" w:gutter="0" w:footer="0" w:header="0"/>
        </w:sectPr>
      </w:pPr>
    </w:p>
    <w:bookmarkStart w:id="2" w:name="page3"/>
    <w:bookmarkEnd w:id="2"/>
    <w:p>
      <w:pPr>
        <w:ind w:right="2199"/>
        <w:spacing w:after="0" w:line="290" w:lineRule="auto"/>
        <w:rPr>
          <w:sz w:val="20"/>
          <w:szCs w:val="20"/>
          <w:color w:val="auto"/>
        </w:rPr>
      </w:pPr>
      <w:r>
        <w:rPr>
          <w:rFonts w:ascii="Arial" w:cs="Arial" w:eastAsia="Arial" w:hAnsi="Arial"/>
          <w:sz w:val="16"/>
          <w:szCs w:val="16"/>
          <w:i w:val="1"/>
          <w:iCs w:val="1"/>
          <w:color w:val="auto"/>
        </w:rPr>
        <w:t>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 10-K for the year ended December 31, 2007. These risks could cause actual results to differ materially from those implied by forward-looking statements in this release.</w:t>
      </w:r>
    </w:p>
    <w:p>
      <w:pPr>
        <w:spacing w:after="0" w:line="172" w:lineRule="exact"/>
        <w:rPr>
          <w:sz w:val="20"/>
          <w:szCs w:val="20"/>
          <w:color w:val="auto"/>
        </w:rPr>
      </w:pPr>
    </w:p>
    <w:p>
      <w:pPr>
        <w:ind w:right="2139" w:firstLine="1037"/>
        <w:spacing w:after="0" w:line="298"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271780</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99" w:firstLine="1037"/>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22"/>
        </w:trPr>
        <w:tc>
          <w:tcPr>
            <w:tcW w:w="2460" w:type="dxa"/>
            <w:vAlign w:val="bottom"/>
          </w:tcPr>
          <w:p>
            <w:pPr>
              <w:spacing w:after="0"/>
              <w:rPr>
                <w:sz w:val="19"/>
                <w:szCs w:val="19"/>
                <w:color w:val="auto"/>
              </w:rPr>
            </w:pPr>
          </w:p>
        </w:tc>
        <w:tc>
          <w:tcPr>
            <w:tcW w:w="5300" w:type="dxa"/>
            <w:vAlign w:val="bottom"/>
            <w:gridSpan w:val="2"/>
          </w:tcPr>
          <w:p>
            <w:pPr>
              <w:ind w:left="110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2460" w:type="dxa"/>
            <w:vAlign w:val="bottom"/>
          </w:tcPr>
          <w:p>
            <w:pPr>
              <w:spacing w:after="0"/>
              <w:rPr>
                <w:sz w:val="19"/>
                <w:szCs w:val="19"/>
                <w:color w:val="auto"/>
              </w:rPr>
            </w:pPr>
          </w:p>
        </w:tc>
        <w:tc>
          <w:tcPr>
            <w:tcW w:w="5300" w:type="dxa"/>
            <w:vAlign w:val="bottom"/>
            <w:gridSpan w:val="2"/>
          </w:tcPr>
          <w:p>
            <w:pPr>
              <w:ind w:left="1320"/>
              <w:spacing w:after="0"/>
              <w:rPr>
                <w:sz w:val="20"/>
                <w:szCs w:val="20"/>
                <w:color w:val="auto"/>
              </w:rPr>
            </w:pPr>
            <w:r>
              <w:rPr>
                <w:rFonts w:ascii="Arial" w:cs="Arial" w:eastAsia="Arial" w:hAnsi="Arial"/>
                <w:sz w:val="18"/>
                <w:szCs w:val="18"/>
                <w:color w:val="auto"/>
              </w:rPr>
              <w:t>(Registrant)</w:t>
            </w:r>
          </w:p>
        </w:tc>
      </w:tr>
      <w:tr>
        <w:trPr>
          <w:trHeight w:val="474"/>
        </w:trPr>
        <w:tc>
          <w:tcPr>
            <w:tcW w:w="2460" w:type="dxa"/>
            <w:vAlign w:val="bottom"/>
          </w:tcPr>
          <w:p>
            <w:pPr>
              <w:spacing w:after="0"/>
              <w:rPr>
                <w:sz w:val="20"/>
                <w:szCs w:val="20"/>
                <w:color w:val="auto"/>
              </w:rPr>
            </w:pPr>
            <w:r>
              <w:rPr>
                <w:rFonts w:ascii="Arial" w:cs="Arial" w:eastAsia="Arial" w:hAnsi="Arial"/>
                <w:sz w:val="18"/>
                <w:szCs w:val="18"/>
                <w:color w:val="auto"/>
              </w:rPr>
              <w:t>Date: July 21, 2008</w:t>
            </w:r>
          </w:p>
        </w:tc>
        <w:tc>
          <w:tcPr>
            <w:tcW w:w="5300" w:type="dxa"/>
            <w:vAlign w:val="bottom"/>
            <w:gridSpan w:val="2"/>
          </w:tcPr>
          <w:p>
            <w:pPr>
              <w:ind w:left="1100"/>
              <w:spacing w:after="0"/>
              <w:rPr>
                <w:sz w:val="20"/>
                <w:szCs w:val="20"/>
                <w:color w:val="auto"/>
              </w:rPr>
            </w:pPr>
            <w:r>
              <w:rPr>
                <w:rFonts w:ascii="Arial" w:cs="Arial" w:eastAsia="Arial" w:hAnsi="Arial"/>
                <w:sz w:val="18"/>
                <w:szCs w:val="18"/>
                <w:color w:val="auto"/>
              </w:rPr>
              <w:t>By: /s/ Amit Shashank</w:t>
            </w:r>
          </w:p>
        </w:tc>
      </w:tr>
      <w:tr>
        <w:trPr>
          <w:trHeight w:val="202"/>
        </w:trPr>
        <w:tc>
          <w:tcPr>
            <w:tcW w:w="2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Amit Shashank</w:t>
            </w:r>
          </w:p>
        </w:tc>
      </w:tr>
      <w:tr>
        <w:trPr>
          <w:trHeight w:val="216"/>
        </w:trPr>
        <w:tc>
          <w:tcPr>
            <w:tcW w:w="2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Title:  Vice President, General Counsel</w:t>
            </w:r>
          </w:p>
        </w:tc>
      </w:tr>
      <w:tr>
        <w:trPr>
          <w:trHeight w:val="222"/>
        </w:trPr>
        <w:tc>
          <w:tcPr>
            <w:tcW w:w="2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40" w:type="dxa"/>
            <w:vAlign w:val="bottom"/>
          </w:tcPr>
          <w:p>
            <w:pPr>
              <w:ind w:left="620"/>
              <w:spacing w:after="0"/>
              <w:rPr>
                <w:sz w:val="20"/>
                <w:szCs w:val="20"/>
                <w:color w:val="auto"/>
              </w:rPr>
            </w:pPr>
            <w:r>
              <w:rPr>
                <w:rFonts w:ascii="Arial" w:cs="Arial" w:eastAsia="Arial" w:hAnsi="Arial"/>
                <w:sz w:val="18"/>
                <w:szCs w:val="18"/>
                <w:color w:val="auto"/>
              </w:rPr>
              <w:t>and Corporate Secretary</w:t>
            </w:r>
          </w:p>
        </w:tc>
      </w:tr>
    </w:tbl>
    <w:p>
      <w:pPr>
        <w:spacing w:after="0" w:line="1" w:lineRule="exact"/>
        <w:rPr>
          <w:sz w:val="20"/>
          <w:szCs w:val="20"/>
          <w:color w:val="auto"/>
        </w:rPr>
      </w:pP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2019-12-15T09:39:42Z</dcterms:created>
  <dcterms:modified xsi:type="dcterms:W3CDTF">2019-12-15T09:39:42Z</dcterms:modified>
</cp:coreProperties>
</file>