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217805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259080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00"/>
        <w:spacing w:after="0"/>
        <w:rPr>
          <w:sz w:val="20"/>
          <w:szCs w:val="20"/>
          <w:color w:val="auto"/>
        </w:rPr>
      </w:pPr>
      <w:r>
        <w:rPr>
          <w:rFonts w:ascii="Arial" w:cs="Arial" w:eastAsia="Arial" w:hAnsi="Arial"/>
          <w:sz w:val="31"/>
          <w:szCs w:val="31"/>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31"/>
          <w:szCs w:val="31"/>
          <w:b w:val="1"/>
          <w:bCs w:val="1"/>
          <w:color w:val="auto"/>
        </w:rPr>
        <w:t>SECURITIES AND EXCHANGE COMMISSION</w:t>
      </w:r>
    </w:p>
    <w:p>
      <w:pPr>
        <w:ind w:left="45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137795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73" w:lineRule="exact"/>
        <w:rPr>
          <w:sz w:val="24"/>
          <w:szCs w:val="24"/>
          <w:color w:val="auto"/>
        </w:rPr>
      </w:pPr>
    </w:p>
    <w:p>
      <w:pPr>
        <w:jc w:val="center"/>
        <w:ind w:right="-1100"/>
        <w:spacing w:after="0"/>
        <w:rPr>
          <w:sz w:val="20"/>
          <w:szCs w:val="20"/>
          <w:color w:val="auto"/>
        </w:rPr>
      </w:pPr>
      <w:r>
        <w:rPr>
          <w:rFonts w:ascii="Arial" w:cs="Arial" w:eastAsia="Arial" w:hAnsi="Arial"/>
          <w:sz w:val="31"/>
          <w:szCs w:val="31"/>
          <w:b w:val="1"/>
          <w:bCs w:val="1"/>
          <w:color w:val="auto"/>
        </w:rPr>
        <w:t>SCHEDULE 14A</w:t>
      </w:r>
    </w:p>
    <w:p>
      <w:pPr>
        <w:spacing w:after="0" w:line="113"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137795</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69" w:lineRule="exact"/>
        <w:rPr>
          <w:sz w:val="24"/>
          <w:szCs w:val="24"/>
          <w:color w:val="auto"/>
        </w:rPr>
      </w:pPr>
    </w:p>
    <w:p>
      <w:pPr>
        <w:ind w:left="320"/>
        <w:spacing w:after="0" w:line="196" w:lineRule="exact"/>
        <w:tabs>
          <w:tab w:leader="none" w:pos="34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49" w:lineRule="exact"/>
        <w:rPr>
          <w:sz w:val="24"/>
          <w:szCs w:val="24"/>
          <w:color w:val="auto"/>
        </w:rPr>
      </w:pPr>
    </w:p>
    <w:p>
      <w:pPr>
        <w:ind w:left="320"/>
        <w:spacing w:after="0"/>
        <w:rPr>
          <w:sz w:val="20"/>
          <w:szCs w:val="20"/>
          <w:color w:val="auto"/>
        </w:rPr>
      </w:pPr>
      <w:r>
        <w:rPr>
          <w:rFonts w:ascii="Arial" w:cs="Arial" w:eastAsia="Arial" w:hAnsi="Arial"/>
          <w:sz w:val="17"/>
          <w:szCs w:val="17"/>
          <w:color w:val="auto"/>
        </w:rPr>
        <w:t>Check the appropriate box:</w:t>
      </w:r>
    </w:p>
    <w:p>
      <w:pPr>
        <w:spacing w:after="0" w:line="130" w:lineRule="exact"/>
        <w:rPr>
          <w:sz w:val="24"/>
          <w:szCs w:val="24"/>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6" w:lineRule="exact"/>
        <w:rPr>
          <w:rFonts w:ascii="MS PGothic" w:cs="MS PGothic" w:eastAsia="MS PGothic" w:hAnsi="MS PGothic"/>
          <w:sz w:val="17"/>
          <w:szCs w:val="17"/>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7" w:lineRule="exact"/>
        <w:rPr>
          <w:sz w:val="24"/>
          <w:szCs w:val="24"/>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7" w:lineRule="exact"/>
        <w:rPr>
          <w:sz w:val="24"/>
          <w:szCs w:val="24"/>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6" w:lineRule="exact"/>
        <w:rPr>
          <w:rFonts w:ascii="MS PGothic" w:cs="MS PGothic" w:eastAsia="MS PGothic" w:hAnsi="MS PGothic"/>
          <w:sz w:val="17"/>
          <w:szCs w:val="17"/>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240.14a-12</w:t>
      </w:r>
    </w:p>
    <w:p>
      <w:pPr>
        <w:spacing w:after="0" w:line="83" w:lineRule="exact"/>
        <w:rPr>
          <w:sz w:val="24"/>
          <w:szCs w:val="24"/>
          <w:color w:val="auto"/>
        </w:rPr>
      </w:pPr>
    </w:p>
    <w:p>
      <w:pPr>
        <w:jc w:val="center"/>
        <w:ind w:right="-1100"/>
        <w:spacing w:after="0"/>
        <w:rPr>
          <w:sz w:val="20"/>
          <w:szCs w:val="20"/>
          <w:color w:val="auto"/>
        </w:rPr>
      </w:pPr>
      <w:r>
        <w:rPr>
          <w:rFonts w:ascii="Arial" w:cs="Arial" w:eastAsia="Arial" w:hAnsi="Arial"/>
          <w:sz w:val="38"/>
          <w:szCs w:val="38"/>
          <w:b w:val="1"/>
          <w:bCs w:val="1"/>
          <w:color w:val="auto"/>
        </w:rPr>
        <w:t>ExlService Holdings, Inc.</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93"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6" w:lineRule="exact"/>
        <w:rPr>
          <w:sz w:val="24"/>
          <w:szCs w:val="24"/>
          <w:color w:val="auto"/>
        </w:rPr>
      </w:pPr>
    </w:p>
    <w:p>
      <w:pPr>
        <w:ind w:left="320"/>
        <w:spacing w:after="0"/>
        <w:rPr>
          <w:sz w:val="20"/>
          <w:szCs w:val="20"/>
          <w:color w:val="auto"/>
        </w:rPr>
      </w:pPr>
      <w:r>
        <w:rPr>
          <w:rFonts w:ascii="Arial" w:cs="Arial" w:eastAsia="Arial" w:hAnsi="Arial"/>
          <w:sz w:val="17"/>
          <w:szCs w:val="17"/>
          <w:color w:val="auto"/>
        </w:rPr>
        <w:t>Payment of Filing Fee (Check the appropriate box):</w:t>
      </w:r>
    </w:p>
    <w:p>
      <w:pPr>
        <w:spacing w:after="0" w:line="130" w:lineRule="exact"/>
        <w:rPr>
          <w:sz w:val="24"/>
          <w:szCs w:val="24"/>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65" w:lineRule="exact"/>
        <w:rPr>
          <w:sz w:val="24"/>
          <w:szCs w:val="24"/>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64" w:lineRule="exact"/>
        <w:rPr>
          <w:rFonts w:ascii="MS PGothic" w:cs="MS PGothic" w:eastAsia="MS PGothic" w:hAnsi="MS PGothic"/>
          <w:sz w:val="17"/>
          <w:szCs w:val="17"/>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98425</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139700</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7000240" cy="911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320 Park Avenue, 29</w:t>
      </w:r>
      <w:r>
        <w:rPr>
          <w:rFonts w:ascii="Arial" w:cs="Arial" w:eastAsia="Arial" w:hAnsi="Arial"/>
          <w:sz w:val="26"/>
          <w:szCs w:val="26"/>
          <w:b w:val="1"/>
          <w:bCs w:val="1"/>
          <w:color w:val="auto"/>
          <w:vertAlign w:val="superscript"/>
        </w:rPr>
        <w:t>th</w:t>
      </w:r>
      <w:r>
        <w:rPr>
          <w:rFonts w:ascii="Arial" w:cs="Arial" w:eastAsia="Arial" w:hAnsi="Arial"/>
          <w:sz w:val="17"/>
          <w:szCs w:val="17"/>
          <w:b w:val="1"/>
          <w:bCs w:val="1"/>
          <w:color w:val="auto"/>
        </w:rPr>
        <w:t xml:space="preserve"> Floor</w:t>
      </w:r>
    </w:p>
    <w:p>
      <w:pPr>
        <w:jc w:val="right"/>
        <w:spacing w:after="0"/>
        <w:rPr>
          <w:sz w:val="20"/>
          <w:szCs w:val="20"/>
          <w:color w:val="auto"/>
        </w:rPr>
      </w:pPr>
      <w:r>
        <w:rPr>
          <w:rFonts w:ascii="Arial" w:cs="Arial" w:eastAsia="Arial" w:hAnsi="Arial"/>
          <w:sz w:val="17"/>
          <w:szCs w:val="17"/>
          <w:b w:val="1"/>
          <w:bCs w:val="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-74930</wp:posOffset>
            </wp:positionV>
            <wp:extent cx="60325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0" cy="2311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auto"/>
        </w:rPr>
        <w:t>(212) 277-7100</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Dear Stockholder,</w:t>
      </w:r>
    </w:p>
    <w:p>
      <w:pPr>
        <w:spacing w:after="0" w:line="221"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color w:val="auto"/>
        </w:rPr>
        <w:t>2022 was a year marked by disruption and transformation. At EXL, we viewed this as an opportunity. We developed innovative solutions to harness our clients’ data and gain a competitive advantage. Their successes led to our success.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headline earnings numbers tell part of the story. In 2022, we generated strong growth across both Analytics and Digital Operations and Solutions.</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2022 revenue was 1.41 billion, representing growth of 26% over 2021. We also grew adjusted EPS to $6.02, up 25% from $4.83 in 2021.</w:t>
      </w:r>
    </w:p>
    <w:p>
      <w:pPr>
        <w:spacing w:after="0" w:line="208" w:lineRule="exact"/>
        <w:rPr>
          <w:sz w:val="20"/>
          <w:szCs w:val="20"/>
          <w:color w:val="auto"/>
        </w:rPr>
      </w:pPr>
    </w:p>
    <w:p>
      <w:pPr>
        <w:ind w:left="320" w:right="20"/>
        <w:spacing w:after="0" w:line="283" w:lineRule="auto"/>
        <w:rPr>
          <w:sz w:val="20"/>
          <w:szCs w:val="20"/>
          <w:color w:val="auto"/>
        </w:rPr>
      </w:pPr>
      <w:r>
        <w:rPr>
          <w:rFonts w:ascii="Arial" w:cs="Arial" w:eastAsia="Arial" w:hAnsi="Arial"/>
          <w:sz w:val="16"/>
          <w:szCs w:val="16"/>
          <w:color w:val="auto"/>
        </w:rPr>
        <w:t>Our achievements in 2022 are rooted in our unique data-driven capabilities to improve our clients’ operations through digital solutions, enable better decision-making through advanced analytics, and embed intelligence in their workflows through machine learning, AI and automation. Every business today is being challenged to do more with less while customer expectations for speed, personalization and seamless integration continue to expand. EXL harnesses the power of data to help our clients meet those challenges. These data-driven efforts help our clients react faster, reduce costs and build stronger customer experiences. Going forward, we believe this strategy will continue to grow the success of our clients and our success.</w:t>
      </w:r>
    </w:p>
    <w:p>
      <w:pPr>
        <w:spacing w:after="0" w:line="164" w:lineRule="exact"/>
        <w:rPr>
          <w:sz w:val="20"/>
          <w:szCs w:val="20"/>
          <w:color w:val="auto"/>
        </w:rPr>
      </w:pPr>
    </w:p>
    <w:p>
      <w:pPr>
        <w:ind w:left="320" w:right="100"/>
        <w:spacing w:after="0" w:line="263" w:lineRule="auto"/>
        <w:rPr>
          <w:sz w:val="20"/>
          <w:szCs w:val="20"/>
          <w:color w:val="auto"/>
        </w:rPr>
      </w:pPr>
      <w:r>
        <w:rPr>
          <w:rFonts w:ascii="Arial" w:cs="Arial" w:eastAsia="Arial" w:hAnsi="Arial"/>
          <w:sz w:val="17"/>
          <w:szCs w:val="17"/>
          <w:color w:val="auto"/>
        </w:rPr>
        <w:t>Our ability to execute this strategy is a testament to our talented and steadily growing team of more than 45,400 people, as well as our culture of learning, diversity and experience. Our employees’ creativity and dedication allow EXL to meet market demand and keep pace with our clients’ evolving requirements. In 2022, our employees continued to enhance their expertise, collectively investing more than 509,000 hours in developing their professional skills, functional and leadership capabilities and domain expertise. We achieved more than 8,000 specializations across key areas, such as cloud, analytics and artificial intelligence solution architecture, among others.</w:t>
      </w:r>
    </w:p>
    <w:p>
      <w:pPr>
        <w:spacing w:after="0" w:line="178" w:lineRule="exact"/>
        <w:rPr>
          <w:sz w:val="20"/>
          <w:szCs w:val="20"/>
          <w:color w:val="auto"/>
        </w:rPr>
      </w:pPr>
    </w:p>
    <w:p>
      <w:pPr>
        <w:ind w:left="320" w:right="60"/>
        <w:spacing w:after="0" w:line="296" w:lineRule="auto"/>
        <w:rPr>
          <w:sz w:val="20"/>
          <w:szCs w:val="20"/>
          <w:color w:val="auto"/>
        </w:rPr>
      </w:pPr>
      <w:r>
        <w:rPr>
          <w:rFonts w:ascii="Arial" w:cs="Arial" w:eastAsia="Arial" w:hAnsi="Arial"/>
          <w:sz w:val="15"/>
          <w:szCs w:val="15"/>
          <w:color w:val="auto"/>
        </w:rPr>
        <w:t xml:space="preserve">This year’s Proxy Statement continues to highlight progress on our environmental, social and governance (ESG) efforts, which we view as integral to our corporate strategy. In 2022, we made strides toward our transition to sustainable energy and gave back to more than 14,000 people in our communities around the world through volunteering in our signature community engagement initiatives, </w:t>
      </w:r>
      <w:r>
        <w:rPr>
          <w:rFonts w:ascii="Arial" w:cs="Arial" w:eastAsia="Arial" w:hAnsi="Arial"/>
          <w:sz w:val="15"/>
          <w:szCs w:val="15"/>
          <w:i w:val="1"/>
          <w:iCs w:val="1"/>
          <w:color w:val="auto"/>
        </w:rPr>
        <w:t>Skills to Win</w:t>
      </w:r>
      <w:r>
        <w:rPr>
          <w:rFonts w:ascii="Arial" w:cs="Arial" w:eastAsia="Arial" w:hAnsi="Arial"/>
          <w:sz w:val="15"/>
          <w:szCs w:val="15"/>
          <w:color w:val="auto"/>
        </w:rPr>
        <w:t xml:space="preserve"> and </w:t>
      </w:r>
      <w:r>
        <w:rPr>
          <w:rFonts w:ascii="Arial" w:cs="Arial" w:eastAsia="Arial" w:hAnsi="Arial"/>
          <w:sz w:val="15"/>
          <w:szCs w:val="15"/>
          <w:i w:val="1"/>
          <w:iCs w:val="1"/>
          <w:color w:val="auto"/>
        </w:rPr>
        <w:t>Education as a Foundation</w:t>
      </w:r>
      <w:r>
        <w:rPr>
          <w:rFonts w:ascii="Arial" w:cs="Arial" w:eastAsia="Arial" w:hAnsi="Arial"/>
          <w:sz w:val="15"/>
          <w:szCs w:val="15"/>
          <w:color w:val="auto"/>
        </w:rPr>
        <w:t xml:space="preserve">. We also helped our clients make their businesses more sustainable through the use of cloud services, digital operations and solutions resulting in paper reduction and analytics to meet compliance and risk objectives. We continuously improve on our corporate governance – in 2022, by allocating formal oversight over ESG-related controls and disclosures to our Audit Committee, and by carrying through our board refreshment philosophy to promote the diversity of backgrounds, skills and professional experience among our directors necessary to oversee our evolving corporate strategy, while continuing to hold regular conversations with our stockholders on governance-related topics through our stockholder engagement program. We are proud of this progress, and the external recognitions we received for these efforts, including for the second year as one of America’s Most Responsible Companies by </w:t>
      </w:r>
      <w:r>
        <w:rPr>
          <w:rFonts w:ascii="Arial" w:cs="Arial" w:eastAsia="Arial" w:hAnsi="Arial"/>
          <w:sz w:val="15"/>
          <w:szCs w:val="15"/>
          <w:i w:val="1"/>
          <w:iCs w:val="1"/>
          <w:color w:val="auto"/>
        </w:rPr>
        <w:t xml:space="preserve">Newsweek </w:t>
      </w:r>
      <w:r>
        <w:rPr>
          <w:rFonts w:ascii="Arial" w:cs="Arial" w:eastAsia="Arial" w:hAnsi="Arial"/>
          <w:sz w:val="15"/>
          <w:szCs w:val="15"/>
          <w:color w:val="auto"/>
        </w:rPr>
        <w:t>and Statista, Inc., and for the second year as one of</w:t>
      </w:r>
      <w:r>
        <w:rPr>
          <w:rFonts w:ascii="Arial" w:cs="Arial" w:eastAsia="Arial" w:hAnsi="Arial"/>
          <w:sz w:val="15"/>
          <w:szCs w:val="15"/>
          <w:i w:val="1"/>
          <w:iCs w:val="1"/>
          <w:color w:val="auto"/>
        </w:rPr>
        <w:t xml:space="preserve"> Barron’s </w:t>
      </w:r>
      <w:r>
        <w:rPr>
          <w:rFonts w:ascii="Arial" w:cs="Arial" w:eastAsia="Arial" w:hAnsi="Arial"/>
          <w:sz w:val="15"/>
          <w:szCs w:val="15"/>
          <w:color w:val="auto"/>
        </w:rPr>
        <w:t>100 Most Sustainable Companies and a Gold rating from EcoVadis. You can</w:t>
      </w:r>
      <w:r>
        <w:rPr>
          <w:rFonts w:ascii="Arial" w:cs="Arial" w:eastAsia="Arial" w:hAnsi="Arial"/>
          <w:sz w:val="15"/>
          <w:szCs w:val="15"/>
          <w:i w:val="1"/>
          <w:iCs w:val="1"/>
          <w:color w:val="auto"/>
        </w:rPr>
        <w:t xml:space="preserve"> </w:t>
      </w:r>
      <w:r>
        <w:rPr>
          <w:rFonts w:ascii="Arial" w:cs="Arial" w:eastAsia="Arial" w:hAnsi="Arial"/>
          <w:sz w:val="15"/>
          <w:szCs w:val="15"/>
          <w:color w:val="auto"/>
        </w:rPr>
        <w:t>read more about our commitment to ESG issues on our website, in our Sustainability Report and in the “Sustainability” section of this Proxy Statement.</w:t>
      </w:r>
    </w:p>
    <w:p>
      <w:pPr>
        <w:spacing w:after="0" w:line="73" w:lineRule="exact"/>
        <w:rPr>
          <w:sz w:val="20"/>
          <w:szCs w:val="20"/>
          <w:color w:val="auto"/>
        </w:rPr>
      </w:pPr>
    </w:p>
    <w:p>
      <w:pPr>
        <w:ind w:left="420"/>
        <w:spacing w:after="0"/>
        <w:tabs>
          <w:tab w:leader="none" w:pos="820" w:val="left"/>
          <w:tab w:leader="none" w:pos="11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4" w:lineRule="exact"/>
        <w:rPr>
          <w:sz w:val="20"/>
          <w:szCs w:val="20"/>
          <w:color w:val="auto"/>
        </w:rPr>
      </w:pPr>
    </w:p>
    <w:p>
      <w:pPr>
        <w:ind w:left="320" w:right="220"/>
        <w:spacing w:after="0" w:line="263" w:lineRule="auto"/>
        <w:rPr>
          <w:sz w:val="20"/>
          <w:szCs w:val="20"/>
          <w:color w:val="auto"/>
        </w:rPr>
      </w:pPr>
      <w:r>
        <w:rPr>
          <w:rFonts w:ascii="Arial" w:cs="Arial" w:eastAsia="Arial" w:hAnsi="Arial"/>
          <w:sz w:val="17"/>
          <w:szCs w:val="17"/>
          <w:color w:val="auto"/>
        </w:rPr>
        <w:t>Finally, we would like to thank Anne Minto and Clyde Ostler who will be retiring from our board of directors following our 2023 Annual Meeting of Stockholders. Anne served on EXL’s board for 10 years and Clyde has been on our board since 2007. Both have played key roles in guiding our company to its current position. We would also like to welcome Andreas Fibig, a seasoned global executive with a strong record of innovation across industries and geographies, who joined EXL’s board as an independent director in January 2023, and is standing for reelection at the 2023 Annual Meeting of Stockholders.</w:t>
      </w:r>
    </w:p>
    <w:p>
      <w:pPr>
        <w:spacing w:after="0" w:line="178"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On behalf of the board of directors of ExlService Holdings, Inc., we are pleased to invite you to the 2023 Annual Meeting of Stockholders, which will be held on June 20, 2023. We look forward to sharing more about our Company at the Annual Meeting. We encourage you to carefully read the attached 2023 Annual Meeting of Stockholders and Proxy Statement, which contains important information about the matters to be voted upon and instructions on how you can vote your shares.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Your vote is important to us. Please vote as soon as possible whether or not you plan to participate in the Annual Meeting.</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directors and management look forward to your attendance at the Annual Meeting.</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222250</wp:posOffset>
            </wp:positionV>
            <wp:extent cx="1990725" cy="933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0725" cy="933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362585</wp:posOffset>
            </wp:positionV>
            <wp:extent cx="1379855" cy="793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793115"/>
                    </a:xfrm>
                    <a:prstGeom prst="rect">
                      <a:avLst/>
                    </a:prstGeom>
                    <a:noFill/>
                  </pic:spPr>
                </pic:pic>
              </a:graphicData>
            </a:graphic>
          </wp:anchor>
        </w:drawing>
      </w:r>
    </w:p>
    <w:p>
      <w:pPr>
        <w:sectPr>
          <w:pgSz w:w="11900" w:h="16838" w:orient="portrait"/>
          <w:cols w:equalWidth="0" w:num="1">
            <w:col w:w="10880"/>
          </w:cols>
          <w:pgMar w:left="320" w:top="47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Vikram Pandit</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Rohit Kapoor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Vice Chairman and CEO</w:t>
      </w:r>
    </w:p>
    <w:p>
      <w:pPr>
        <w:spacing w:after="0" w:line="222" w:lineRule="exact"/>
        <w:rPr>
          <w:sz w:val="20"/>
          <w:szCs w:val="20"/>
          <w:color w:val="auto"/>
        </w:rPr>
      </w:pPr>
    </w:p>
    <w:p>
      <w:pPr>
        <w:sectPr>
          <w:pgSz w:w="11900" w:h="16838" w:orient="portrait"/>
          <w:cols w:equalWidth="0" w:num="2">
            <w:col w:w="6340" w:space="720"/>
            <w:col w:w="3820"/>
          </w:cols>
          <w:pgMar w:left="320" w:top="473" w:right="699" w:bottom="1440" w:gutter="0" w:footer="0" w:header="0"/>
          <w:type w:val="continuous"/>
        </w:sectPr>
      </w:pPr>
    </w:p>
    <w:p>
      <w:pPr>
        <w:spacing w:after="0" w:line="314" w:lineRule="exact"/>
        <w:rPr>
          <w:sz w:val="20"/>
          <w:szCs w:val="20"/>
          <w:color w:val="auto"/>
        </w:rPr>
      </w:pPr>
    </w:p>
    <w:p>
      <w:pPr>
        <w:ind w:left="8260"/>
        <w:spacing w:after="0"/>
        <w:tabs>
          <w:tab w:leader="none" w:pos="10280" w:val="left"/>
          <w:tab w:leader="none" w:pos="106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4"/>
          <w:szCs w:val="14"/>
          <w:b w:val="1"/>
          <w:bCs w:val="1"/>
          <w:color w:val="auto"/>
        </w:rPr>
        <w:t>3</w:t>
      </w:r>
    </w:p>
    <w:p>
      <w:pPr>
        <w:sectPr>
          <w:pgSz w:w="11900" w:h="16838" w:orient="portrait"/>
          <w:cols w:equalWidth="0" w:num="1">
            <w:col w:w="10880"/>
          </w:cols>
          <w:pgMar w:left="320" w:top="473" w:right="6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Notice of 2023 Annual Meeting of Stockholders</w:t>
      </w:r>
    </w:p>
    <w:p>
      <w:pPr>
        <w:spacing w:after="0" w:line="3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Dear Stockholder:</w:t>
      </w:r>
    </w:p>
    <w:p>
      <w:pPr>
        <w:spacing w:after="0" w:line="221" w:lineRule="exact"/>
        <w:rPr>
          <w:sz w:val="20"/>
          <w:szCs w:val="20"/>
          <w:color w:val="auto"/>
        </w:rPr>
      </w:pPr>
    </w:p>
    <w:p>
      <w:pPr>
        <w:ind w:left="320" w:right="220"/>
        <w:spacing w:after="0" w:line="286" w:lineRule="auto"/>
        <w:rPr>
          <w:sz w:val="20"/>
          <w:szCs w:val="20"/>
          <w:color w:val="auto"/>
        </w:rPr>
      </w:pPr>
      <w:r>
        <w:rPr>
          <w:rFonts w:ascii="Arial" w:cs="Arial" w:eastAsia="Arial" w:hAnsi="Arial"/>
          <w:sz w:val="17"/>
          <w:szCs w:val="17"/>
          <w:color w:val="auto"/>
        </w:rPr>
        <w:t>You are cordially invited to the 2023 Annual Meeting of Stockholders of ExlService Holdings, Inc., a Delaware corporation (the “Company”), for the purposes of voting on the following matters:</w:t>
      </w:r>
    </w:p>
    <w:p>
      <w:pPr>
        <w:spacing w:after="0" w:line="276" w:lineRule="exact"/>
        <w:rPr>
          <w:sz w:val="20"/>
          <w:szCs w:val="20"/>
          <w:color w:val="auto"/>
        </w:rPr>
      </w:pPr>
    </w:p>
    <w:p>
      <w:pPr>
        <w:ind w:left="1140" w:hanging="407"/>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election of seven members of the board of directors of the Company;</w:t>
      </w:r>
    </w:p>
    <w:p>
      <w:pPr>
        <w:spacing w:after="0" w:line="129" w:lineRule="exact"/>
        <w:rPr>
          <w:rFonts w:ascii="Arial" w:cs="Arial" w:eastAsia="Arial" w:hAnsi="Arial"/>
          <w:sz w:val="17"/>
          <w:szCs w:val="17"/>
          <w:color w:val="auto"/>
        </w:rPr>
      </w:pPr>
    </w:p>
    <w:p>
      <w:pPr>
        <w:ind w:left="1140" w:right="20" w:hanging="407"/>
        <w:spacing w:after="0" w:line="286"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ratification of the appointment of Deloitte &amp; Touche LLP as the independent registered public accounting firm of the Company for fiscal year 2023;</w:t>
      </w:r>
    </w:p>
    <w:p>
      <w:pPr>
        <w:spacing w:after="0" w:line="67" w:lineRule="exact"/>
        <w:rPr>
          <w:rFonts w:ascii="Arial" w:cs="Arial" w:eastAsia="Arial" w:hAnsi="Arial"/>
          <w:sz w:val="17"/>
          <w:szCs w:val="17"/>
          <w:color w:val="auto"/>
        </w:rPr>
      </w:pPr>
    </w:p>
    <w:p>
      <w:pPr>
        <w:ind w:left="1140" w:hanging="407"/>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on a non-binding advisory basis, of the compensation of the named executive officers of the Company;</w:t>
      </w:r>
    </w:p>
    <w:p>
      <w:pPr>
        <w:spacing w:after="0" w:line="129" w:lineRule="exact"/>
        <w:rPr>
          <w:rFonts w:ascii="Arial" w:cs="Arial" w:eastAsia="Arial" w:hAnsi="Arial"/>
          <w:sz w:val="17"/>
          <w:szCs w:val="17"/>
          <w:color w:val="auto"/>
        </w:rPr>
      </w:pPr>
    </w:p>
    <w:p>
      <w:pPr>
        <w:ind w:left="1140" w:right="120" w:hanging="407"/>
        <w:spacing w:after="0" w:line="286"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determination, on a non-binding advisory basis, of how frequently the stockholders should hold a non-binding advisory vote to approve the compensation of the named executive officers of the Company;</w:t>
      </w:r>
    </w:p>
    <w:p>
      <w:pPr>
        <w:spacing w:after="0" w:line="67" w:lineRule="exact"/>
        <w:rPr>
          <w:rFonts w:ascii="Arial" w:cs="Arial" w:eastAsia="Arial" w:hAnsi="Arial"/>
          <w:sz w:val="17"/>
          <w:szCs w:val="17"/>
          <w:color w:val="auto"/>
        </w:rPr>
      </w:pPr>
    </w:p>
    <w:p>
      <w:pPr>
        <w:ind w:left="1140" w:right="380" w:hanging="407"/>
        <w:spacing w:after="0" w:line="286"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an amendment to our Amended and Restated Certificate of Incorporation to effect a 5-for-1 “forward” stock split with a corresponding increase in the authorized number of shares of our common stock;</w:t>
      </w:r>
    </w:p>
    <w:p>
      <w:pPr>
        <w:spacing w:after="0" w:line="67" w:lineRule="exact"/>
        <w:rPr>
          <w:rFonts w:ascii="Arial" w:cs="Arial" w:eastAsia="Arial" w:hAnsi="Arial"/>
          <w:sz w:val="17"/>
          <w:szCs w:val="17"/>
          <w:color w:val="auto"/>
        </w:rPr>
      </w:pPr>
    </w:p>
    <w:p>
      <w:pPr>
        <w:ind w:left="1140" w:right="520" w:hanging="407"/>
        <w:spacing w:after="0" w:line="319"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approval of an amendment to our Amended and Restated Certificate of Incorporation to allow for the removal of directors with or without cause by the affirmative vote of holders of a majority of the total outstanding shares of common stock; and</w:t>
      </w:r>
    </w:p>
    <w:p>
      <w:pPr>
        <w:spacing w:after="0" w:line="44" w:lineRule="exact"/>
        <w:rPr>
          <w:rFonts w:ascii="Arial" w:cs="Arial" w:eastAsia="Arial" w:hAnsi="Arial"/>
          <w:sz w:val="16"/>
          <w:szCs w:val="16"/>
          <w:color w:val="auto"/>
        </w:rPr>
      </w:pPr>
    </w:p>
    <w:p>
      <w:pPr>
        <w:ind w:left="1140" w:hanging="407"/>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310" w:lineRule="exact"/>
        <w:rPr>
          <w:sz w:val="20"/>
          <w:szCs w:val="20"/>
          <w:color w:val="auto"/>
        </w:rPr>
      </w:pPr>
    </w:p>
    <w:p>
      <w:pPr>
        <w:ind w:left="320" w:right="240"/>
        <w:spacing w:after="0" w:line="265" w:lineRule="auto"/>
        <w:rPr>
          <w:sz w:val="20"/>
          <w:szCs w:val="20"/>
          <w:color w:val="auto"/>
        </w:rPr>
      </w:pPr>
      <w:r>
        <w:rPr>
          <w:rFonts w:ascii="Arial" w:cs="Arial" w:eastAsia="Arial" w:hAnsi="Arial"/>
          <w:sz w:val="17"/>
          <w:szCs w:val="17"/>
          <w:color w:val="auto"/>
        </w:rPr>
        <w:t>We will hold our Annual Meeting in virtual format only, via live audio webcast (rather than at any physical location) on June 20, 2023 at 8:30 AM, Eastern Time. Our virtual meeting platform will allow for full participation as if you were attending physically. You or your proxyholder may participate, vote, and examine our stockholder list at the Annual Meeting by visiting www.virtualshareholdermeeting.com/EXLS2023 and using your 16-digit control number.</w:t>
      </w:r>
    </w:p>
    <w:p>
      <w:pPr>
        <w:spacing w:after="0" w:line="242" w:lineRule="exact"/>
        <w:rPr>
          <w:sz w:val="20"/>
          <w:szCs w:val="20"/>
          <w:color w:val="auto"/>
        </w:rPr>
      </w:pPr>
    </w:p>
    <w:p>
      <w:pPr>
        <w:ind w:left="320" w:right="140"/>
        <w:spacing w:after="0" w:line="255" w:lineRule="auto"/>
        <w:rPr>
          <w:sz w:val="20"/>
          <w:szCs w:val="20"/>
          <w:color w:val="auto"/>
        </w:rPr>
      </w:pPr>
      <w:r>
        <w:rPr>
          <w:rFonts w:ascii="Arial" w:cs="Arial" w:eastAsia="Arial" w:hAnsi="Arial"/>
          <w:sz w:val="16"/>
          <w:szCs w:val="16"/>
          <w:color w:val="auto"/>
        </w:rPr>
        <w:t>If you are a stockholder of record at the close of business on April 21, 2023, the record date for the Annual Meeting, you are entitled to vote at the Annual Meeting. A list of stockholders as of the record date will be available for examination for any purpose germane to the Annual Meeting, during ordinary business hours, at the Company’s executive offices at 320 Park Avenue, 29</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New York 10022, for a period of 10 days prior to the date of the Annual Meeting and at the Annual Meeting itself. If our corporate headquarters are closed during the 10 days prior to the Annual Meeting, you may send a written request to the Corporate Secretary at our corporate headquarters, and we will arrange a method for you to inspect the list. The list of stockholders will also be available during the Annual Meeting at www.virtualshareholdermeeting.com/EXLS2023.</w:t>
      </w:r>
    </w:p>
    <w:p>
      <w:pPr>
        <w:spacing w:after="0" w:line="284" w:lineRule="exact"/>
        <w:rPr>
          <w:sz w:val="20"/>
          <w:szCs w:val="20"/>
          <w:color w:val="auto"/>
        </w:rPr>
      </w:pPr>
    </w:p>
    <w:p>
      <w:pPr>
        <w:ind w:left="320"/>
        <w:spacing w:after="0" w:line="293" w:lineRule="auto"/>
        <w:rPr>
          <w:sz w:val="20"/>
          <w:szCs w:val="20"/>
          <w:color w:val="auto"/>
        </w:rPr>
      </w:pPr>
      <w:r>
        <w:rPr>
          <w:rFonts w:ascii="Arial" w:cs="Arial" w:eastAsia="Arial" w:hAnsi="Arial"/>
          <w:sz w:val="17"/>
          <w:szCs w:val="17"/>
          <w:b w:val="1"/>
          <w:bCs w:val="1"/>
          <w:color w:val="auto"/>
        </w:rPr>
        <w:t>Please note the technical requirements for virtual attendance at the Annual Meeting, as described in the enclosed Proxy Statement beginning on page 128 under the heading “Annual Meeting Q&amp;A.”</w:t>
      </w:r>
    </w:p>
    <w:p>
      <w:pPr>
        <w:spacing w:after="0" w:line="153" w:lineRule="exact"/>
        <w:rPr>
          <w:sz w:val="20"/>
          <w:szCs w:val="20"/>
          <w:color w:val="auto"/>
        </w:rPr>
      </w:pPr>
    </w:p>
    <w:p>
      <w:pPr>
        <w:ind w:left="320" w:right="100"/>
        <w:spacing w:after="0" w:line="270" w:lineRule="auto"/>
        <w:rPr>
          <w:sz w:val="20"/>
          <w:szCs w:val="20"/>
          <w:color w:val="auto"/>
        </w:rPr>
      </w:pPr>
      <w:r>
        <w:rPr>
          <w:rFonts w:ascii="Arial" w:cs="Arial" w:eastAsia="Arial" w:hAnsi="Arial"/>
          <w:sz w:val="17"/>
          <w:szCs w:val="17"/>
          <w:color w:val="auto"/>
        </w:rPr>
        <w:t>Pursuant to rules promulgated by the Securities and Exchange Commission, we are providing access to our proxy materials over the Internet. On or about April 28, 2023, we will mail a Notice of Internet Availability of Proxy Materials (the “Internet Notice”) to each of our stockholders of record and beneficial owners at the close of business on the record date. On the date of mailing of the</w:t>
      </w:r>
    </w:p>
    <w:p>
      <w:pPr>
        <w:spacing w:after="0" w:line="88" w:lineRule="exact"/>
        <w:rPr>
          <w:sz w:val="20"/>
          <w:szCs w:val="20"/>
          <w:color w:val="auto"/>
        </w:rPr>
      </w:pPr>
    </w:p>
    <w:p>
      <w:pPr>
        <w:ind w:left="420"/>
        <w:spacing w:after="0"/>
        <w:tabs>
          <w:tab w:leader="none" w:pos="820" w:val="left"/>
          <w:tab w:leader="none" w:pos="11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4" w:lineRule="exact"/>
        <w:rPr>
          <w:sz w:val="20"/>
          <w:szCs w:val="20"/>
          <w:color w:val="auto"/>
        </w:rPr>
      </w:pPr>
    </w:p>
    <w:p>
      <w:pPr>
        <w:ind w:left="320" w:right="160"/>
        <w:spacing w:after="0" w:line="286" w:lineRule="auto"/>
        <w:rPr>
          <w:sz w:val="20"/>
          <w:szCs w:val="20"/>
          <w:color w:val="auto"/>
        </w:rPr>
      </w:pPr>
      <w:r>
        <w:rPr>
          <w:rFonts w:ascii="Arial" w:cs="Arial" w:eastAsia="Arial" w:hAnsi="Arial"/>
          <w:sz w:val="17"/>
          <w:szCs w:val="17"/>
          <w:color w:val="auto"/>
        </w:rPr>
        <w:t>Internet Notice, all stockholders and beneficial owners will have the ability to access all of the proxy materials on a website referred to in the Internet Notice. These proxy materials will be available free of charge.</w:t>
      </w:r>
    </w:p>
    <w:p>
      <w:pPr>
        <w:spacing w:after="0" w:line="237" w:lineRule="exact"/>
        <w:rPr>
          <w:sz w:val="20"/>
          <w:szCs w:val="20"/>
          <w:color w:val="auto"/>
        </w:rPr>
      </w:pPr>
    </w:p>
    <w:p>
      <w:pPr>
        <w:ind w:left="320"/>
        <w:spacing w:after="0" w:line="259" w:lineRule="auto"/>
        <w:rPr>
          <w:sz w:val="20"/>
          <w:szCs w:val="20"/>
          <w:color w:val="auto"/>
        </w:rPr>
      </w:pPr>
      <w:r>
        <w:rPr>
          <w:rFonts w:ascii="Arial" w:cs="Arial" w:eastAsia="Arial" w:hAnsi="Arial"/>
          <w:sz w:val="17"/>
          <w:szCs w:val="17"/>
          <w:color w:val="auto"/>
        </w:rPr>
        <w:t>Whether or not you expect to attend the Annual Meeting, the Company encourages you to promptly vote and submit your proxy (i) by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You can revoke a proxy at any time before it is exercised by voting at the Annual Meeting, by delivering a subsequent proxy or by notifying the inspector of elections in writing of such revocation prior to the Annual Meeting.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222250</wp:posOffset>
            </wp:positionV>
            <wp:extent cx="20320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Ajay Ayyappan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Executive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April 28,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260"/>
        <w:spacing w:after="0"/>
        <w:tabs>
          <w:tab w:leader="none" w:pos="10280" w:val="left"/>
          <w:tab w:leader="none" w:pos="106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4"/>
          <w:szCs w:val="14"/>
          <w:b w:val="1"/>
          <w:bCs w:val="1"/>
          <w:color w:val="auto"/>
        </w:rPr>
        <w:t>5</w:t>
      </w:r>
    </w:p>
    <w:p>
      <w:pPr>
        <w:sectPr>
          <w:pgSz w:w="11900" w:h="16838" w:orient="portrait"/>
          <w:cols w:equalWidth="0" w:num="1">
            <w:col w:w="10840"/>
          </w:cols>
          <w:pgMar w:left="320" w:top="473" w:right="7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2023 Proxy Statement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28"/>
          <w:szCs w:val="28"/>
          <w:b w:val="1"/>
          <w:bCs w:val="1"/>
          <w:color w:val="auto"/>
        </w:rPr>
        <w:t>Table of contents</w:t>
      </w: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16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b w:val="1"/>
                <w:bCs w:val="1"/>
                <w:color w:val="0000EE"/>
                <w:w w:val="87"/>
              </w:rPr>
              <w:t>2023 Proxy Statement Summary</w:t>
            </w:r>
          </w:p>
        </w:tc>
        <w:tc>
          <w:tcPr>
            <w:tcW w:w="5440" w:type="dxa"/>
            <w:vAlign w:val="bottom"/>
            <w:gridSpan w:val="15"/>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9"/>
        </w:trPr>
        <w:tc>
          <w:tcPr>
            <w:tcW w:w="152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b w:val="1"/>
                <w:bCs w:val="1"/>
                <w:color w:val="0000EE"/>
                <w:w w:val="88"/>
              </w:rPr>
              <w:t>Our board of directors</w:t>
            </w:r>
          </w:p>
        </w:tc>
        <w:tc>
          <w:tcPr>
            <w:tcW w:w="608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9"/>
        </w:trPr>
        <w:tc>
          <w:tcPr>
            <w:tcW w:w="15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w w:val="86"/>
              </w:rPr>
              <w:t>Corporate governance</w:t>
            </w:r>
          </w:p>
        </w:tc>
        <w:tc>
          <w:tcPr>
            <w:tcW w:w="610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9"/>
        </w:trPr>
        <w:tc>
          <w:tcPr>
            <w:tcW w:w="9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86"/>
              </w:rPr>
              <w:t>Sustainability</w:t>
            </w:r>
          </w:p>
        </w:tc>
        <w:tc>
          <w:tcPr>
            <w:tcW w:w="6680" w:type="dxa"/>
            <w:vAlign w:val="bottom"/>
            <w:gridSpan w:val="2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Our executive officers</w:t>
            </w:r>
          </w:p>
        </w:tc>
        <w:tc>
          <w:tcPr>
            <w:tcW w:w="3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1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Executive compensation</w:t>
            </w:r>
          </w:p>
        </w:tc>
        <w:tc>
          <w:tcPr>
            <w:tcW w:w="3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
        </w:trPr>
        <w:tc>
          <w:tcPr>
            <w:tcW w:w="1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7440" w:type="dxa"/>
            <w:vAlign w:val="bottom"/>
            <w:gridSpan w:val="26"/>
          </w:tcPr>
          <w:p>
            <w:pPr>
              <w:spacing w:after="0"/>
              <w:rPr>
                <w:sz w:val="20"/>
                <w:szCs w:val="20"/>
                <w:color w:val="auto"/>
              </w:rPr>
            </w:pPr>
            <w:r>
              <w:rPr>
                <w:rFonts w:ascii="Arial" w:cs="Arial" w:eastAsia="Arial" w:hAnsi="Arial"/>
                <w:sz w:val="16"/>
                <w:szCs w:val="16"/>
                <w:color w:val="0000EE"/>
              </w:rPr>
              <w:t>Compensation Discussion and Analysis</w:t>
            </w:r>
          </w:p>
        </w:tc>
        <w:tc>
          <w:tcPr>
            <w:tcW w:w="3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
        </w:trPr>
        <w:tc>
          <w:tcPr>
            <w:tcW w:w="1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364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87"/>
              </w:rPr>
              <w:t>Compensation and Talent Management Committee Report</w:t>
            </w:r>
          </w:p>
        </w:tc>
        <w:tc>
          <w:tcPr>
            <w:tcW w:w="380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9"/>
        </w:trPr>
        <w:tc>
          <w:tcPr>
            <w:tcW w:w="160" w:type="dxa"/>
            <w:vAlign w:val="bottom"/>
          </w:tcPr>
          <w:p>
            <w:pPr>
              <w:spacing w:after="0"/>
              <w:rPr>
                <w:sz w:val="24"/>
                <w:szCs w:val="24"/>
                <w:color w:val="auto"/>
              </w:rPr>
            </w:pPr>
          </w:p>
        </w:tc>
        <w:tc>
          <w:tcPr>
            <w:tcW w:w="7440" w:type="dxa"/>
            <w:vAlign w:val="bottom"/>
            <w:gridSpan w:val="26"/>
          </w:tcPr>
          <w:p>
            <w:pPr>
              <w:spacing w:after="0"/>
              <w:rPr>
                <w:sz w:val="20"/>
                <w:szCs w:val="20"/>
                <w:color w:val="auto"/>
              </w:rPr>
            </w:pPr>
            <w:r>
              <w:rPr>
                <w:rFonts w:ascii="Arial" w:cs="Arial" w:eastAsia="Arial" w:hAnsi="Arial"/>
                <w:sz w:val="16"/>
                <w:szCs w:val="16"/>
                <w:color w:val="0000EE"/>
              </w:rPr>
              <w:t>Summary compensation table for fiscal year 2022</w:t>
            </w:r>
          </w:p>
        </w:tc>
        <w:tc>
          <w:tcPr>
            <w:tcW w:w="3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1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Stock ownership of directors, executive officers and certain beneficial owners</w:t>
            </w:r>
          </w:p>
        </w:tc>
        <w:tc>
          <w:tcPr>
            <w:tcW w:w="3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79"/>
        </w:trPr>
        <w:tc>
          <w:tcPr>
            <w:tcW w:w="5120" w:type="dxa"/>
            <w:vAlign w:val="bottom"/>
            <w:tcBorders>
              <w:top w:val="single" w:sz="8" w:color="0000EE"/>
            </w:tcBorders>
            <w:gridSpan w:val="19"/>
          </w:tcPr>
          <w:p>
            <w:pPr>
              <w:spacing w:after="0"/>
              <w:rPr>
                <w:sz w:val="20"/>
                <w:szCs w:val="20"/>
                <w:color w:val="auto"/>
              </w:rPr>
            </w:pPr>
            <w:r>
              <w:rPr>
                <w:rFonts w:ascii="Arial" w:cs="Arial" w:eastAsia="Arial" w:hAnsi="Arial"/>
                <w:sz w:val="16"/>
                <w:szCs w:val="16"/>
                <w:b w:val="1"/>
                <w:bCs w:val="1"/>
                <w:color w:val="0000EE"/>
              </w:rPr>
              <w:t>Certain relationships and related person transactions</w:t>
            </w:r>
          </w:p>
        </w:tc>
        <w:tc>
          <w:tcPr>
            <w:tcW w:w="24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9"/>
        </w:trPr>
        <w:tc>
          <w:tcPr>
            <w:tcW w:w="3540" w:type="dxa"/>
            <w:vAlign w:val="bottom"/>
            <w:tcBorders>
              <w:top w:val="single" w:sz="8" w:color="0000EE"/>
            </w:tcBorders>
            <w:gridSpan w:val="17"/>
          </w:tcPr>
          <w:p>
            <w:pPr>
              <w:spacing w:after="0"/>
              <w:rPr>
                <w:sz w:val="20"/>
                <w:szCs w:val="20"/>
                <w:color w:val="auto"/>
              </w:rPr>
            </w:pPr>
            <w:r>
              <w:rPr>
                <w:rFonts w:ascii="Arial" w:cs="Arial" w:eastAsia="Arial" w:hAnsi="Arial"/>
                <w:sz w:val="16"/>
                <w:szCs w:val="16"/>
                <w:b w:val="1"/>
                <w:bCs w:val="1"/>
                <w:color w:val="0000EE"/>
              </w:rPr>
              <w:t>Audit Committee Report</w:t>
            </w:r>
          </w:p>
        </w:tc>
        <w:tc>
          <w:tcPr>
            <w:tcW w:w="40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Proposal 1 — Election of directors</w:t>
            </w:r>
          </w:p>
        </w:tc>
        <w:tc>
          <w:tcPr>
            <w:tcW w:w="3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63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b w:val="1"/>
                <w:bCs w:val="1"/>
                <w:color w:val="0000EE"/>
                <w:w w:val="87"/>
              </w:rPr>
              <w:t>Proposal 2 — Ratification of the appointment of independent registered public accounting firm</w:t>
            </w:r>
          </w:p>
        </w:tc>
        <w:tc>
          <w:tcPr>
            <w:tcW w:w="12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Proposal 3 — Advisory (non-binding) vote to approve executive compensation</w:t>
            </w:r>
          </w:p>
        </w:tc>
        <w:tc>
          <w:tcPr>
            <w:tcW w:w="3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94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746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b w:val="1"/>
                <w:bCs w:val="1"/>
                <w:color w:val="0000EE"/>
                <w:w w:val="86"/>
              </w:rPr>
              <w:t>Proposal 4 — Advisory (non-binding) vote on how frequently stockholders should vote to approve compensation</w:t>
            </w:r>
          </w:p>
        </w:tc>
        <w:tc>
          <w:tcPr>
            <w:tcW w:w="14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r>
      <w:tr>
        <w:trPr>
          <w:trHeight w:val="175"/>
        </w:trPr>
        <w:tc>
          <w:tcPr>
            <w:tcW w:w="160" w:type="dxa"/>
            <w:vAlign w:val="bottom"/>
          </w:tcPr>
          <w:p>
            <w:pPr>
              <w:spacing w:after="0"/>
              <w:rPr>
                <w:sz w:val="15"/>
                <w:szCs w:val="15"/>
                <w:color w:val="auto"/>
              </w:rPr>
            </w:pPr>
          </w:p>
        </w:tc>
        <w:tc>
          <w:tcPr>
            <w:tcW w:w="7440" w:type="dxa"/>
            <w:vAlign w:val="bottom"/>
            <w:gridSpan w:val="26"/>
          </w:tcPr>
          <w:p>
            <w:pPr>
              <w:spacing w:after="0" w:line="175" w:lineRule="exact"/>
              <w:rPr>
                <w:sz w:val="20"/>
                <w:szCs w:val="20"/>
                <w:color w:val="auto"/>
              </w:rPr>
            </w:pPr>
            <w:r>
              <w:rPr>
                <w:rFonts w:ascii="Arial" w:cs="Arial" w:eastAsia="Arial" w:hAnsi="Arial"/>
                <w:sz w:val="16"/>
                <w:szCs w:val="16"/>
                <w:b w:val="1"/>
                <w:bCs w:val="1"/>
                <w:color w:val="0000EE"/>
              </w:rPr>
              <w:t>of the named executive officers</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121</w:t>
            </w:r>
          </w:p>
        </w:tc>
      </w:tr>
      <w:tr>
        <w:trPr>
          <w:trHeight w:val="20"/>
        </w:trPr>
        <w:tc>
          <w:tcPr>
            <w:tcW w:w="1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742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b w:val="1"/>
                <w:bCs w:val="1"/>
                <w:color w:val="0000EE"/>
                <w:w w:val="88"/>
              </w:rPr>
              <w:t>Proposal 5 — Approval of an Amendment to our Amended and Restated Certificate of Incorporation to effect a</w:t>
            </w:r>
          </w:p>
        </w:tc>
        <w:tc>
          <w:tcPr>
            <w:tcW w:w="1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r>
      <w:tr>
        <w:trPr>
          <w:trHeight w:val="175"/>
        </w:trPr>
        <w:tc>
          <w:tcPr>
            <w:tcW w:w="160" w:type="dxa"/>
            <w:vAlign w:val="bottom"/>
          </w:tcPr>
          <w:p>
            <w:pPr>
              <w:spacing w:after="0"/>
              <w:rPr>
                <w:sz w:val="15"/>
                <w:szCs w:val="15"/>
                <w:color w:val="auto"/>
              </w:rPr>
            </w:pPr>
          </w:p>
        </w:tc>
        <w:tc>
          <w:tcPr>
            <w:tcW w:w="7440" w:type="dxa"/>
            <w:vAlign w:val="bottom"/>
            <w:gridSpan w:val="26"/>
          </w:tcPr>
          <w:p>
            <w:pPr>
              <w:spacing w:after="0" w:line="175" w:lineRule="exact"/>
              <w:rPr>
                <w:sz w:val="20"/>
                <w:szCs w:val="20"/>
                <w:color w:val="auto"/>
              </w:rPr>
            </w:pPr>
            <w:r>
              <w:rPr>
                <w:rFonts w:ascii="Arial" w:cs="Arial" w:eastAsia="Arial" w:hAnsi="Arial"/>
                <w:sz w:val="16"/>
                <w:szCs w:val="16"/>
                <w:b w:val="1"/>
                <w:bCs w:val="1"/>
                <w:color w:val="0000EE"/>
                <w:w w:val="88"/>
              </w:rPr>
              <w:t>5-for-1 “forward” stock split with a corresponding increase in the authorized number of shares of our common</w:t>
            </w:r>
          </w:p>
        </w:tc>
        <w:tc>
          <w:tcPr>
            <w:tcW w:w="32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75" w:lineRule="exact"/>
              <w:rPr>
                <w:sz w:val="20"/>
                <w:szCs w:val="20"/>
                <w:color w:val="auto"/>
              </w:rPr>
            </w:pPr>
            <w:r>
              <w:rPr>
                <w:rFonts w:ascii="Arial" w:cs="Arial" w:eastAsia="Arial" w:hAnsi="Arial"/>
                <w:sz w:val="16"/>
                <w:szCs w:val="16"/>
                <w:b w:val="1"/>
                <w:bCs w:val="1"/>
                <w:color w:val="0000EE"/>
                <w:w w:val="76"/>
              </w:rPr>
              <w:t>stock</w:t>
            </w:r>
          </w:p>
        </w:tc>
        <w:tc>
          <w:tcPr>
            <w:tcW w:w="2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122</w:t>
            </w:r>
          </w:p>
        </w:tc>
      </w:tr>
      <w:tr>
        <w:trPr>
          <w:trHeight w:val="279"/>
        </w:trPr>
        <w:tc>
          <w:tcPr>
            <w:tcW w:w="754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b w:val="1"/>
                <w:bCs w:val="1"/>
                <w:color w:val="0000EE"/>
                <w:w w:val="88"/>
              </w:rPr>
              <w:t>Proposal 6 — Approval of an Amendment to our Amended and Restated Certificate of Incorporation to allow for</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5"/>
        </w:trPr>
        <w:tc>
          <w:tcPr>
            <w:tcW w:w="160" w:type="dxa"/>
            <w:vAlign w:val="bottom"/>
          </w:tcPr>
          <w:p>
            <w:pPr>
              <w:spacing w:after="0"/>
              <w:rPr>
                <w:sz w:val="15"/>
                <w:szCs w:val="15"/>
                <w:color w:val="auto"/>
              </w:rPr>
            </w:pPr>
          </w:p>
        </w:tc>
        <w:tc>
          <w:tcPr>
            <w:tcW w:w="6980" w:type="dxa"/>
            <w:vAlign w:val="bottom"/>
            <w:tcBorders>
              <w:bottom w:val="single" w:sz="8" w:color="0000EE"/>
            </w:tcBorders>
            <w:gridSpan w:val="21"/>
          </w:tcPr>
          <w:p>
            <w:pPr>
              <w:spacing w:after="0" w:line="175" w:lineRule="exact"/>
              <w:rPr>
                <w:sz w:val="20"/>
                <w:szCs w:val="20"/>
                <w:color w:val="auto"/>
              </w:rPr>
            </w:pPr>
            <w:r>
              <w:rPr>
                <w:rFonts w:ascii="Arial" w:cs="Arial" w:eastAsia="Arial" w:hAnsi="Arial"/>
                <w:sz w:val="16"/>
                <w:szCs w:val="16"/>
                <w:b w:val="1"/>
                <w:bCs w:val="1"/>
                <w:color w:val="0000EE"/>
                <w:w w:val="87"/>
              </w:rPr>
              <w:t>the removal of directors with or without cause by the affirmative vote of holders of a majority of the total</w:t>
            </w:r>
          </w:p>
        </w:tc>
        <w:tc>
          <w:tcPr>
            <w:tcW w:w="460" w:type="dxa"/>
            <w:vAlign w:val="bottom"/>
            <w:gridSpan w:val="5"/>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7440" w:type="dxa"/>
            <w:vAlign w:val="bottom"/>
            <w:gridSpan w:val="26"/>
          </w:tcPr>
          <w:p>
            <w:pPr>
              <w:spacing w:after="0" w:line="175" w:lineRule="exact"/>
              <w:rPr>
                <w:sz w:val="20"/>
                <w:szCs w:val="20"/>
                <w:color w:val="auto"/>
              </w:rPr>
            </w:pPr>
            <w:r>
              <w:rPr>
                <w:rFonts w:ascii="Arial" w:cs="Arial" w:eastAsia="Arial" w:hAnsi="Arial"/>
                <w:sz w:val="16"/>
                <w:szCs w:val="16"/>
                <w:b w:val="1"/>
                <w:bCs w:val="1"/>
                <w:color w:val="0000EE"/>
              </w:rPr>
              <w:t>outstanding shares of common stock</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125</w:t>
            </w:r>
          </w:p>
        </w:tc>
      </w:tr>
      <w:tr>
        <w:trPr>
          <w:trHeight w:val="20"/>
        </w:trPr>
        <w:tc>
          <w:tcPr>
            <w:tcW w:w="1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9"/>
        </w:trPr>
        <w:tc>
          <w:tcPr>
            <w:tcW w:w="9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w w:val="84"/>
              </w:rPr>
              <w:t>Miscellaneous</w:t>
            </w:r>
          </w:p>
        </w:tc>
        <w:tc>
          <w:tcPr>
            <w:tcW w:w="6660" w:type="dxa"/>
            <w:vAlign w:val="bottom"/>
            <w:gridSpan w:val="2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Stockholder proposals and director nominations for the 2024 Annual Meeting</w:t>
            </w:r>
          </w:p>
        </w:tc>
        <w:tc>
          <w:tcPr>
            <w:tcW w:w="3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79"/>
        </w:trPr>
        <w:tc>
          <w:tcPr>
            <w:tcW w:w="14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b w:val="1"/>
                <w:bCs w:val="1"/>
                <w:color w:val="0000EE"/>
                <w:w w:val="91"/>
              </w:rPr>
              <w:t>Annual Meeting Q&amp;A</w:t>
            </w:r>
          </w:p>
        </w:tc>
        <w:tc>
          <w:tcPr>
            <w:tcW w:w="3700" w:type="dxa"/>
            <w:vAlign w:val="bottom"/>
            <w:tcBorders>
              <w:top w:val="single" w:sz="8" w:color="0000EE"/>
            </w:tcBorders>
            <w:gridSpan w:val="13"/>
          </w:tcPr>
          <w:p>
            <w:pPr>
              <w:spacing w:after="0"/>
              <w:rPr>
                <w:sz w:val="24"/>
                <w:szCs w:val="24"/>
                <w:color w:val="auto"/>
              </w:rPr>
            </w:pPr>
          </w:p>
        </w:tc>
        <w:tc>
          <w:tcPr>
            <w:tcW w:w="242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79"/>
        </w:trPr>
        <w:tc>
          <w:tcPr>
            <w:tcW w:w="7600" w:type="dxa"/>
            <w:vAlign w:val="bottom"/>
            <w:gridSpan w:val="27"/>
          </w:tcPr>
          <w:p>
            <w:pPr>
              <w:spacing w:after="0"/>
              <w:rPr>
                <w:sz w:val="20"/>
                <w:szCs w:val="20"/>
                <w:color w:val="auto"/>
              </w:rPr>
            </w:pPr>
            <w:r>
              <w:rPr>
                <w:rFonts w:ascii="Arial" w:cs="Arial" w:eastAsia="Arial" w:hAnsi="Arial"/>
                <w:sz w:val="16"/>
                <w:szCs w:val="16"/>
                <w:b w:val="1"/>
                <w:bCs w:val="1"/>
                <w:color w:val="0000EE"/>
              </w:rPr>
              <w:t>Other matters</w:t>
            </w:r>
          </w:p>
        </w:tc>
        <w:tc>
          <w:tcPr>
            <w:tcW w:w="3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60" w:type="dxa"/>
            <w:vAlign w:val="bottom"/>
            <w:gridSpan w:val="2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843"/>
        </w:trPr>
        <w:tc>
          <w:tcPr>
            <w:tcW w:w="500" w:type="dxa"/>
            <w:vAlign w:val="bottom"/>
            <w:gridSpan w:val="2"/>
          </w:tcPr>
          <w:p>
            <w:pPr>
              <w:ind w:left="100"/>
              <w:spacing w:after="0"/>
              <w:rPr>
                <w:sz w:val="20"/>
                <w:szCs w:val="20"/>
                <w:color w:val="auto"/>
              </w:rPr>
            </w:pPr>
            <w:r>
              <w:rPr>
                <w:rFonts w:ascii="Arial" w:cs="Arial" w:eastAsia="Arial" w:hAnsi="Arial"/>
                <w:sz w:val="17"/>
                <w:szCs w:val="17"/>
                <w:b w:val="1"/>
                <w:bCs w:val="1"/>
                <w:color w:val="auto"/>
              </w:rPr>
              <w:t>6</w:t>
            </w:r>
          </w:p>
        </w:tc>
        <w:tc>
          <w:tcPr>
            <w:tcW w:w="220" w:type="dxa"/>
            <w:vAlign w:val="bottom"/>
          </w:tcPr>
          <w:p>
            <w:pPr>
              <w:jc w:val="right"/>
              <w:spacing w:after="0"/>
              <w:rPr>
                <w:sz w:val="20"/>
                <w:szCs w:val="20"/>
                <w:color w:val="auto"/>
              </w:rPr>
            </w:pPr>
            <w:r>
              <w:rPr>
                <w:rFonts w:ascii="Arial" w:cs="Arial" w:eastAsia="Arial" w:hAnsi="Arial"/>
                <w:sz w:val="28"/>
                <w:szCs w:val="28"/>
                <w:b w:val="1"/>
                <w:bCs w:val="1"/>
                <w:color w:val="FB4E0B"/>
              </w:rPr>
              <w:t>/</w:t>
            </w:r>
          </w:p>
        </w:tc>
        <w:tc>
          <w:tcPr>
            <w:tcW w:w="6880" w:type="dxa"/>
            <w:vAlign w:val="bottom"/>
            <w:gridSpan w:val="24"/>
          </w:tcPr>
          <w:p>
            <w:pPr>
              <w:ind w:left="140"/>
              <w:spacing w:after="0"/>
              <w:rPr>
                <w:sz w:val="20"/>
                <w:szCs w:val="20"/>
                <w:color w:val="auto"/>
              </w:rPr>
            </w:pPr>
            <w:r>
              <w:rPr>
                <w:rFonts w:ascii="Arial" w:cs="Arial" w:eastAsia="Arial" w:hAnsi="Arial"/>
                <w:sz w:val="13"/>
                <w:szCs w:val="13"/>
                <w:color w:val="auto"/>
              </w:rPr>
              <w:t>EXL 2023 Proxy Statement</w:t>
            </w:r>
          </w:p>
        </w:tc>
        <w:tc>
          <w:tcPr>
            <w:tcW w:w="320" w:type="dxa"/>
            <w:vAlign w:val="bottom"/>
          </w:tcPr>
          <w:p>
            <w:pPr>
              <w:spacing w:after="0"/>
              <w:rPr>
                <w:sz w:val="24"/>
                <w:szCs w:val="24"/>
                <w:color w:val="auto"/>
              </w:rPr>
            </w:pPr>
          </w:p>
        </w:tc>
      </w:tr>
    </w:tbl>
    <w:p>
      <w:pPr>
        <w:sectPr>
          <w:pgSz w:w="11900" w:h="16838" w:orient="portrait"/>
          <w:cols w:equalWidth="0" w:num="1">
            <w:col w:w="10139"/>
          </w:cols>
          <w:pgMar w:left="320" w:top="473" w:right="1440"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939280" cy="652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2023 Proxy Statement summary</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Summary</w:t>
      </w:r>
    </w:p>
    <w:p>
      <w:pPr>
        <w:spacing w:after="0" w:line="111" w:lineRule="exact"/>
        <w:rPr>
          <w:sz w:val="20"/>
          <w:szCs w:val="20"/>
          <w:color w:val="auto"/>
        </w:rPr>
      </w:pPr>
    </w:p>
    <w:p>
      <w:pPr>
        <w:ind w:left="320" w:right="20"/>
        <w:spacing w:after="0" w:line="221" w:lineRule="auto"/>
        <w:rPr>
          <w:sz w:val="20"/>
          <w:szCs w:val="20"/>
          <w:color w:val="auto"/>
        </w:rPr>
      </w:pPr>
      <w:r>
        <w:rPr>
          <w:rFonts w:ascii="Arial" w:cs="Arial" w:eastAsia="Arial" w:hAnsi="Arial"/>
          <w:sz w:val="14"/>
          <w:szCs w:val="14"/>
          <w:color w:val="auto"/>
        </w:rPr>
        <w:t>Below is a summary of select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2022 (the “2022 Form 10-K”). We refer to the fiscal year ended December 31, 2022 as “fiscal year 2022,” “fiscal 2022,” and “2022.”</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3"/>
          <w:szCs w:val="23"/>
          <w:color w:val="auto"/>
        </w:rPr>
        <w:t>Meeting agenda, voting matters and recommendations*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6"/>
                <w:szCs w:val="16"/>
                <w:b w:val="1"/>
                <w:bCs w:val="1"/>
                <w:color w:val="FB4E0B"/>
              </w:rPr>
              <w:t>Voting proposal item</w:t>
            </w:r>
          </w:p>
        </w:tc>
        <w:tc>
          <w:tcPr>
            <w:tcW w:w="3320" w:type="dxa"/>
            <w:vAlign w:val="bottom"/>
          </w:tcPr>
          <w:p>
            <w:pPr>
              <w:ind w:left="160"/>
              <w:spacing w:after="0"/>
              <w:rPr>
                <w:sz w:val="20"/>
                <w:szCs w:val="20"/>
                <w:color w:val="auto"/>
              </w:rPr>
            </w:pPr>
            <w:r>
              <w:rPr>
                <w:rFonts w:ascii="Arial" w:cs="Arial" w:eastAsia="Arial" w:hAnsi="Arial"/>
                <w:sz w:val="17"/>
                <w:szCs w:val="17"/>
                <w:b w:val="1"/>
                <w:bCs w:val="1"/>
                <w:color w:val="FB4E0B"/>
              </w:rPr>
              <w:t>Board vote recommendation</w:t>
            </w:r>
          </w:p>
        </w:tc>
      </w:tr>
      <w:tr>
        <w:trPr>
          <w:trHeight w:val="71"/>
        </w:trPr>
        <w:tc>
          <w:tcPr>
            <w:tcW w:w="3780" w:type="dxa"/>
            <w:vAlign w:val="bottom"/>
            <w:tcBorders>
              <w:bottom w:val="single" w:sz="8" w:color="FB4E0B"/>
            </w:tcBorders>
          </w:tcPr>
          <w:p>
            <w:pPr>
              <w:spacing w:after="0"/>
              <w:rPr>
                <w:sz w:val="6"/>
                <w:szCs w:val="6"/>
                <w:color w:val="auto"/>
              </w:rPr>
            </w:pPr>
          </w:p>
        </w:tc>
        <w:tc>
          <w:tcPr>
            <w:tcW w:w="3320" w:type="dxa"/>
            <w:vAlign w:val="bottom"/>
            <w:tcBorders>
              <w:bottom w:val="single" w:sz="8" w:color="FB4E0B"/>
            </w:tcBorders>
          </w:tcPr>
          <w:p>
            <w:pPr>
              <w:spacing w:after="0"/>
              <w:rPr>
                <w:sz w:val="6"/>
                <w:szCs w:val="6"/>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6"/>
                <w:szCs w:val="16"/>
                <w:b w:val="1"/>
                <w:bCs w:val="1"/>
                <w:color w:val="auto"/>
              </w:rPr>
              <w:t>1. Election of directors</w:t>
            </w:r>
          </w:p>
        </w:tc>
        <w:tc>
          <w:tcPr>
            <w:tcW w:w="3320" w:type="dxa"/>
            <w:vAlign w:val="bottom"/>
          </w:tcPr>
          <w:p>
            <w:pPr>
              <w:ind w:left="160"/>
              <w:spacing w:after="0"/>
              <w:rPr>
                <w:sz w:val="20"/>
                <w:szCs w:val="20"/>
                <w:color w:val="auto"/>
              </w:rPr>
            </w:pPr>
            <w:r>
              <w:rPr>
                <w:rFonts w:ascii="Arial" w:cs="Arial" w:eastAsia="Arial" w:hAnsi="Arial"/>
                <w:sz w:val="14"/>
                <w:szCs w:val="14"/>
                <w:b w:val="1"/>
                <w:bCs w:val="1"/>
                <w:color w:val="FB4E0B"/>
              </w:rPr>
              <w:t xml:space="preserve">FOR </w:t>
            </w:r>
            <w:r>
              <w:rPr>
                <w:rFonts w:ascii="Arial" w:cs="Arial" w:eastAsia="Arial" w:hAnsi="Arial"/>
                <w:sz w:val="14"/>
                <w:szCs w:val="14"/>
                <w:color w:val="FB4E0B"/>
              </w:rPr>
              <w:t>the election of each nominee</w:t>
            </w:r>
          </w:p>
        </w:tc>
      </w:tr>
      <w:tr>
        <w:trPr>
          <w:trHeight w:val="176"/>
        </w:trPr>
        <w:tc>
          <w:tcPr>
            <w:tcW w:w="378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FB4E0B"/>
              </w:rPr>
              <w:t>(</w:t>
            </w:r>
            <w:r>
              <w:rPr>
                <w:rFonts w:ascii="Arial" w:cs="Arial" w:eastAsia="Arial" w:hAnsi="Arial"/>
                <w:sz w:val="14"/>
                <w:szCs w:val="14"/>
                <w:i w:val="1"/>
                <w:iCs w:val="1"/>
                <w:color w:val="FB4E0B"/>
              </w:rPr>
              <w:t>pg. 115</w:t>
            </w:r>
            <w:r>
              <w:rPr>
                <w:rFonts w:ascii="Arial" w:cs="Arial" w:eastAsia="Arial" w:hAnsi="Arial"/>
                <w:sz w:val="14"/>
                <w:szCs w:val="14"/>
                <w:color w:val="FB4E0B"/>
              </w:rPr>
              <w:t>)</w:t>
            </w:r>
          </w:p>
        </w:tc>
      </w:tr>
      <w:tr>
        <w:trPr>
          <w:trHeight w:val="365"/>
        </w:trPr>
        <w:tc>
          <w:tcPr>
            <w:tcW w:w="3780" w:type="dxa"/>
            <w:vAlign w:val="bottom"/>
          </w:tcPr>
          <w:p>
            <w:pPr>
              <w:spacing w:after="0"/>
              <w:rPr>
                <w:sz w:val="20"/>
                <w:szCs w:val="20"/>
                <w:color w:val="auto"/>
              </w:rPr>
            </w:pPr>
            <w:r>
              <w:rPr>
                <w:rFonts w:ascii="Arial" w:cs="Arial" w:eastAsia="Arial" w:hAnsi="Arial"/>
                <w:sz w:val="16"/>
                <w:szCs w:val="16"/>
                <w:i w:val="1"/>
                <w:iCs w:val="1"/>
                <w:color w:val="auto"/>
                <w:w w:val="92"/>
              </w:rPr>
              <w:t>Required vote: Affirmative vote of a majority of votes cast</w:t>
            </w:r>
          </w:p>
        </w:tc>
        <w:tc>
          <w:tcPr>
            <w:tcW w:w="3320" w:type="dxa"/>
            <w:vAlign w:val="bottom"/>
          </w:tcPr>
          <w:p>
            <w:pPr>
              <w:spacing w:after="0"/>
              <w:rPr>
                <w:sz w:val="24"/>
                <w:szCs w:val="24"/>
                <w:color w:val="auto"/>
              </w:rPr>
            </w:pPr>
          </w:p>
        </w:tc>
      </w:tr>
      <w:tr>
        <w:trPr>
          <w:trHeight w:val="253"/>
        </w:trPr>
        <w:tc>
          <w:tcPr>
            <w:tcW w:w="37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spacing w:after="0"/>
              <w:rPr>
                <w:sz w:val="22"/>
                <w:szCs w:val="22"/>
                <w:color w:val="auto"/>
              </w:rPr>
            </w:pPr>
          </w:p>
        </w:tc>
      </w:tr>
      <w:tr>
        <w:trPr>
          <w:trHeight w:val="265"/>
        </w:trPr>
        <w:tc>
          <w:tcPr>
            <w:tcW w:w="3780" w:type="dxa"/>
            <w:vAlign w:val="bottom"/>
          </w:tcPr>
          <w:p>
            <w:pPr>
              <w:spacing w:after="0"/>
              <w:rPr>
                <w:sz w:val="20"/>
                <w:szCs w:val="20"/>
                <w:color w:val="auto"/>
              </w:rPr>
            </w:pPr>
            <w:r>
              <w:rPr>
                <w:rFonts w:ascii="Arial" w:cs="Arial" w:eastAsia="Arial" w:hAnsi="Arial"/>
                <w:sz w:val="16"/>
                <w:szCs w:val="16"/>
                <w:b w:val="1"/>
                <w:bCs w:val="1"/>
                <w:color w:val="auto"/>
              </w:rPr>
              <w:t>2. Ratification of appointment of independent</w:t>
            </w:r>
          </w:p>
        </w:tc>
        <w:tc>
          <w:tcPr>
            <w:tcW w:w="3320" w:type="dxa"/>
            <w:vAlign w:val="bottom"/>
          </w:tcPr>
          <w:p>
            <w:pPr>
              <w:ind w:left="160"/>
              <w:spacing w:after="0"/>
              <w:rPr>
                <w:sz w:val="20"/>
                <w:szCs w:val="20"/>
                <w:color w:val="auto"/>
              </w:rPr>
            </w:pPr>
            <w:r>
              <w:rPr>
                <w:rFonts w:ascii="Arial" w:cs="Arial" w:eastAsia="Arial" w:hAnsi="Arial"/>
                <w:sz w:val="14"/>
                <w:szCs w:val="14"/>
                <w:b w:val="1"/>
                <w:bCs w:val="1"/>
                <w:color w:val="FB4E0B"/>
              </w:rPr>
              <w:t xml:space="preserve">FOR </w:t>
            </w:r>
            <w:r>
              <w:rPr>
                <w:rFonts w:ascii="Arial" w:cs="Arial" w:eastAsia="Arial" w:hAnsi="Arial"/>
                <w:sz w:val="14"/>
                <w:szCs w:val="14"/>
                <w:color w:val="FB4E0B"/>
              </w:rPr>
              <w:t>(</w:t>
            </w:r>
            <w:r>
              <w:rPr>
                <w:rFonts w:ascii="Arial" w:cs="Arial" w:eastAsia="Arial" w:hAnsi="Arial"/>
                <w:sz w:val="14"/>
                <w:szCs w:val="14"/>
                <w:i w:val="1"/>
                <w:iCs w:val="1"/>
                <w:color w:val="FB4E0B"/>
              </w:rPr>
              <w:t>pg. 117</w:t>
            </w:r>
            <w:r>
              <w:rPr>
                <w:rFonts w:ascii="Arial" w:cs="Arial" w:eastAsia="Arial" w:hAnsi="Arial"/>
                <w:sz w:val="14"/>
                <w:szCs w:val="14"/>
                <w:color w:val="FB4E0B"/>
              </w:rPr>
              <w:t>)</w:t>
            </w:r>
          </w:p>
        </w:tc>
      </w:tr>
      <w:tr>
        <w:trPr>
          <w:trHeight w:val="203"/>
        </w:trPr>
        <w:tc>
          <w:tcPr>
            <w:tcW w:w="3780" w:type="dxa"/>
            <w:vAlign w:val="bottom"/>
          </w:tcPr>
          <w:p>
            <w:pPr>
              <w:ind w:left="160"/>
              <w:spacing w:after="0"/>
              <w:rPr>
                <w:sz w:val="20"/>
                <w:szCs w:val="20"/>
                <w:color w:val="auto"/>
              </w:rPr>
            </w:pPr>
            <w:r>
              <w:rPr>
                <w:rFonts w:ascii="Arial" w:cs="Arial" w:eastAsia="Arial" w:hAnsi="Arial"/>
                <w:sz w:val="16"/>
                <w:szCs w:val="16"/>
                <w:b w:val="1"/>
                <w:bCs w:val="1"/>
                <w:color w:val="auto"/>
              </w:rPr>
              <w:t>registered public accounting firm</w:t>
            </w:r>
          </w:p>
        </w:tc>
        <w:tc>
          <w:tcPr>
            <w:tcW w:w="3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-904240</wp:posOffset>
            </wp:positionV>
            <wp:extent cx="148590" cy="14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-243205</wp:posOffset>
            </wp:positionV>
            <wp:extent cx="148590" cy="148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4" w:lineRule="exact"/>
        <w:rPr>
          <w:sz w:val="20"/>
          <w:szCs w:val="20"/>
          <w:color w:val="auto"/>
        </w:rPr>
      </w:pPr>
    </w:p>
    <w:p>
      <w:pPr>
        <w:ind w:left="320" w:right="120"/>
        <w:spacing w:after="0" w:line="274" w:lineRule="auto"/>
        <w:rPr>
          <w:sz w:val="20"/>
          <w:szCs w:val="20"/>
          <w:color w:val="auto"/>
        </w:rPr>
      </w:pPr>
      <w:r>
        <w:rPr>
          <w:rFonts w:ascii="Arial" w:cs="Arial" w:eastAsia="Arial" w:hAnsi="Arial"/>
          <w:sz w:val="16"/>
          <w:szCs w:val="16"/>
          <w:i w:val="1"/>
          <w:iCs w:val="1"/>
          <w:color w:val="auto"/>
        </w:rPr>
        <w:t>Required vote: Affirmative vote of a majority of shares present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144145</wp:posOffset>
            </wp:positionV>
            <wp:extent cx="4510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Arial" w:cs="Arial" w:eastAsia="Arial" w:hAnsi="Arial"/>
                <w:sz w:val="16"/>
                <w:szCs w:val="16"/>
                <w:b w:val="1"/>
                <w:bCs w:val="1"/>
                <w:color w:val="auto"/>
              </w:rPr>
              <w:t>3. Advisory (non-binding) Say-on-Pay vote to</w:t>
            </w:r>
          </w:p>
        </w:tc>
        <w:tc>
          <w:tcPr>
            <w:tcW w:w="1280" w:type="dxa"/>
            <w:vAlign w:val="bottom"/>
          </w:tcPr>
          <w:p>
            <w:pPr>
              <w:ind w:left="460"/>
              <w:spacing w:after="0"/>
              <w:rPr>
                <w:sz w:val="20"/>
                <w:szCs w:val="20"/>
                <w:color w:val="auto"/>
              </w:rPr>
            </w:pPr>
            <w:r>
              <w:rPr>
                <w:rFonts w:ascii="Arial" w:cs="Arial" w:eastAsia="Arial" w:hAnsi="Arial"/>
                <w:sz w:val="14"/>
                <w:szCs w:val="14"/>
                <w:b w:val="1"/>
                <w:bCs w:val="1"/>
                <w:color w:val="FB4E0B"/>
                <w:w w:val="89"/>
              </w:rPr>
              <w:t xml:space="preserve">FOR </w:t>
            </w:r>
            <w:r>
              <w:rPr>
                <w:rFonts w:ascii="Arial" w:cs="Arial" w:eastAsia="Arial" w:hAnsi="Arial"/>
                <w:sz w:val="14"/>
                <w:szCs w:val="14"/>
                <w:color w:val="FB4E0B"/>
                <w:w w:val="89"/>
              </w:rPr>
              <w:t>(</w:t>
            </w:r>
            <w:r>
              <w:rPr>
                <w:rFonts w:ascii="Arial" w:cs="Arial" w:eastAsia="Arial" w:hAnsi="Arial"/>
                <w:sz w:val="14"/>
                <w:szCs w:val="14"/>
                <w:i w:val="1"/>
                <w:iCs w:val="1"/>
                <w:color w:val="FB4E0B"/>
                <w:w w:val="89"/>
              </w:rPr>
              <w:t>pg. 119</w:t>
            </w:r>
            <w:r>
              <w:rPr>
                <w:rFonts w:ascii="Arial" w:cs="Arial" w:eastAsia="Arial" w:hAnsi="Arial"/>
                <w:sz w:val="14"/>
                <w:szCs w:val="14"/>
                <w:color w:val="FB4E0B"/>
                <w:w w:val="89"/>
              </w:rPr>
              <w:t>)</w:t>
            </w:r>
          </w:p>
        </w:tc>
      </w:tr>
      <w:tr>
        <w:trPr>
          <w:trHeight w:val="203"/>
        </w:trPr>
        <w:tc>
          <w:tcPr>
            <w:tcW w:w="3480" w:type="dxa"/>
            <w:vAlign w:val="bottom"/>
          </w:tcPr>
          <w:p>
            <w:pPr>
              <w:ind w:left="160"/>
              <w:spacing w:after="0"/>
              <w:rPr>
                <w:sz w:val="20"/>
                <w:szCs w:val="20"/>
                <w:color w:val="auto"/>
              </w:rPr>
            </w:pPr>
            <w:r>
              <w:rPr>
                <w:rFonts w:ascii="Arial" w:cs="Arial" w:eastAsia="Arial" w:hAnsi="Arial"/>
                <w:sz w:val="16"/>
                <w:szCs w:val="16"/>
                <w:b w:val="1"/>
                <w:bCs w:val="1"/>
                <w:color w:val="auto"/>
              </w:rPr>
              <w:t>approve executive compensation</w:t>
            </w:r>
          </w:p>
        </w:tc>
        <w:tc>
          <w:tcPr>
            <w:tcW w:w="1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-243205</wp:posOffset>
            </wp:positionV>
            <wp:extent cx="14859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4" w:lineRule="exact"/>
        <w:rPr>
          <w:sz w:val="20"/>
          <w:szCs w:val="20"/>
          <w:color w:val="auto"/>
        </w:rPr>
      </w:pPr>
    </w:p>
    <w:p>
      <w:pPr>
        <w:ind w:left="320" w:right="120"/>
        <w:spacing w:after="0" w:line="274" w:lineRule="auto"/>
        <w:rPr>
          <w:sz w:val="20"/>
          <w:szCs w:val="20"/>
          <w:color w:val="auto"/>
        </w:rPr>
      </w:pPr>
      <w:r>
        <w:rPr>
          <w:rFonts w:ascii="Arial" w:cs="Arial" w:eastAsia="Arial" w:hAnsi="Arial"/>
          <w:sz w:val="16"/>
          <w:szCs w:val="16"/>
          <w:i w:val="1"/>
          <w:iCs w:val="1"/>
          <w:color w:val="auto"/>
        </w:rPr>
        <w:t>Required vote: Affirmative vote of a majority of shares present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144145</wp:posOffset>
            </wp:positionV>
            <wp:extent cx="4510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620" w:type="dxa"/>
            <w:vAlign w:val="bottom"/>
          </w:tcPr>
          <w:p>
            <w:pPr>
              <w:spacing w:after="0"/>
              <w:rPr>
                <w:sz w:val="20"/>
                <w:szCs w:val="20"/>
                <w:color w:val="auto"/>
              </w:rPr>
            </w:pPr>
            <w:r>
              <w:rPr>
                <w:rFonts w:ascii="Arial" w:cs="Arial" w:eastAsia="Arial" w:hAnsi="Arial"/>
                <w:sz w:val="16"/>
                <w:szCs w:val="16"/>
                <w:b w:val="1"/>
                <w:bCs w:val="1"/>
                <w:color w:val="auto"/>
                <w:w w:val="96"/>
              </w:rPr>
              <w:t>4. Advisory (non-binding) Say-on-Frequency vote</w:t>
            </w:r>
          </w:p>
        </w:tc>
        <w:tc>
          <w:tcPr>
            <w:tcW w:w="1780" w:type="dxa"/>
            <w:vAlign w:val="bottom"/>
          </w:tcPr>
          <w:p>
            <w:pPr>
              <w:ind w:left="320"/>
              <w:spacing w:after="0"/>
              <w:rPr>
                <w:sz w:val="20"/>
                <w:szCs w:val="20"/>
                <w:color w:val="auto"/>
              </w:rPr>
            </w:pPr>
            <w:r>
              <w:rPr>
                <w:rFonts w:ascii="Arial" w:cs="Arial" w:eastAsia="Arial" w:hAnsi="Arial"/>
                <w:sz w:val="14"/>
                <w:szCs w:val="14"/>
                <w:b w:val="1"/>
                <w:bCs w:val="1"/>
                <w:color w:val="FB4E0B"/>
                <w:w w:val="95"/>
              </w:rPr>
              <w:t xml:space="preserve">EVERY YEAR </w:t>
            </w:r>
            <w:r>
              <w:rPr>
                <w:rFonts w:ascii="Arial" w:cs="Arial" w:eastAsia="Arial" w:hAnsi="Arial"/>
                <w:sz w:val="14"/>
                <w:szCs w:val="14"/>
                <w:color w:val="FB4E0B"/>
                <w:w w:val="95"/>
              </w:rPr>
              <w:t>(</w:t>
            </w:r>
            <w:r>
              <w:rPr>
                <w:rFonts w:ascii="Arial" w:cs="Arial" w:eastAsia="Arial" w:hAnsi="Arial"/>
                <w:sz w:val="14"/>
                <w:szCs w:val="14"/>
                <w:i w:val="1"/>
                <w:iCs w:val="1"/>
                <w:color w:val="FB4E0B"/>
                <w:w w:val="95"/>
              </w:rPr>
              <w:t>pg. 121</w:t>
            </w:r>
            <w:r>
              <w:rPr>
                <w:rFonts w:ascii="Arial" w:cs="Arial" w:eastAsia="Arial" w:hAnsi="Arial"/>
                <w:sz w:val="14"/>
                <w:szCs w:val="14"/>
                <w:color w:val="FB4E0B"/>
                <w:w w:val="95"/>
              </w:rPr>
              <w:t>)</w:t>
            </w:r>
          </w:p>
        </w:tc>
      </w:tr>
      <w:tr>
        <w:trPr>
          <w:trHeight w:val="203"/>
        </w:trPr>
        <w:tc>
          <w:tcPr>
            <w:tcW w:w="3620" w:type="dxa"/>
            <w:vAlign w:val="bottom"/>
          </w:tcPr>
          <w:p>
            <w:pPr>
              <w:ind w:left="160"/>
              <w:spacing w:after="0"/>
              <w:rPr>
                <w:sz w:val="20"/>
                <w:szCs w:val="20"/>
                <w:color w:val="auto"/>
              </w:rPr>
            </w:pPr>
            <w:r>
              <w:rPr>
                <w:rFonts w:ascii="Arial" w:cs="Arial" w:eastAsia="Arial" w:hAnsi="Arial"/>
                <w:sz w:val="16"/>
                <w:szCs w:val="16"/>
                <w:b w:val="1"/>
                <w:bCs w:val="1"/>
                <w:color w:val="auto"/>
              </w:rPr>
              <w:t>on the frequency of the Say-on-Pay vote</w:t>
            </w:r>
          </w:p>
        </w:tc>
        <w:tc>
          <w:tcPr>
            <w:tcW w:w="1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-243205</wp:posOffset>
            </wp:positionV>
            <wp:extent cx="156845" cy="14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845" cy="140335"/>
                    </a:xfrm>
                    <a:prstGeom prst="rect">
                      <a:avLst/>
                    </a:prstGeom>
                    <a:noFill/>
                  </pic:spPr>
                </pic:pic>
              </a:graphicData>
            </a:graphic>
          </wp:anchor>
        </w:drawing>
      </w:r>
    </w:p>
    <w:p>
      <w:pPr>
        <w:spacing w:after="0" w:line="184" w:lineRule="exact"/>
        <w:rPr>
          <w:sz w:val="20"/>
          <w:szCs w:val="20"/>
          <w:color w:val="auto"/>
        </w:rPr>
      </w:pPr>
    </w:p>
    <w:p>
      <w:pPr>
        <w:ind w:left="320" w:right="100"/>
        <w:spacing w:after="0" w:line="274" w:lineRule="auto"/>
        <w:rPr>
          <w:sz w:val="20"/>
          <w:szCs w:val="20"/>
          <w:color w:val="auto"/>
        </w:rPr>
      </w:pPr>
      <w:r>
        <w:rPr>
          <w:rFonts w:ascii="Arial" w:cs="Arial" w:eastAsia="Arial" w:hAnsi="Arial"/>
          <w:sz w:val="16"/>
          <w:szCs w:val="16"/>
          <w:i w:val="1"/>
          <w:iCs w:val="1"/>
          <w:color w:val="auto"/>
        </w:rPr>
        <w:t>Required vote: The option receiving the affirmative vote of a majority of shares present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144145</wp:posOffset>
            </wp:positionV>
            <wp:extent cx="4510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600" w:type="dxa"/>
            <w:vAlign w:val="bottom"/>
          </w:tcPr>
          <w:p>
            <w:pPr>
              <w:spacing w:after="0"/>
              <w:rPr>
                <w:sz w:val="20"/>
                <w:szCs w:val="20"/>
                <w:color w:val="auto"/>
              </w:rPr>
            </w:pPr>
            <w:r>
              <w:rPr>
                <w:rFonts w:ascii="Arial" w:cs="Arial" w:eastAsia="Arial" w:hAnsi="Arial"/>
                <w:sz w:val="16"/>
                <w:szCs w:val="16"/>
                <w:b w:val="1"/>
                <w:bCs w:val="1"/>
                <w:color w:val="auto"/>
              </w:rPr>
              <w:t>5. Charter amendment to effect a 5-for-1</w:t>
            </w:r>
          </w:p>
        </w:tc>
        <w:tc>
          <w:tcPr>
            <w:tcW w:w="1180" w:type="dxa"/>
            <w:vAlign w:val="bottom"/>
          </w:tcPr>
          <w:p>
            <w:pPr>
              <w:ind w:left="340"/>
              <w:spacing w:after="0"/>
              <w:rPr>
                <w:sz w:val="20"/>
                <w:szCs w:val="20"/>
                <w:color w:val="auto"/>
              </w:rPr>
            </w:pPr>
            <w:r>
              <w:rPr>
                <w:rFonts w:ascii="Arial" w:cs="Arial" w:eastAsia="Arial" w:hAnsi="Arial"/>
                <w:sz w:val="14"/>
                <w:szCs w:val="14"/>
                <w:b w:val="1"/>
                <w:bCs w:val="1"/>
                <w:color w:val="FB4E0B"/>
                <w:w w:val="91"/>
              </w:rPr>
              <w:t xml:space="preserve">FOR </w:t>
            </w:r>
            <w:r>
              <w:rPr>
                <w:rFonts w:ascii="Arial" w:cs="Arial" w:eastAsia="Arial" w:hAnsi="Arial"/>
                <w:sz w:val="14"/>
                <w:szCs w:val="14"/>
                <w:color w:val="FB4E0B"/>
                <w:w w:val="91"/>
              </w:rPr>
              <w:t>(</w:t>
            </w:r>
            <w:r>
              <w:rPr>
                <w:rFonts w:ascii="Arial" w:cs="Arial" w:eastAsia="Arial" w:hAnsi="Arial"/>
                <w:sz w:val="14"/>
                <w:szCs w:val="14"/>
                <w:i w:val="1"/>
                <w:iCs w:val="1"/>
                <w:color w:val="FB4E0B"/>
                <w:w w:val="91"/>
              </w:rPr>
              <w:t>pg. 122</w:t>
            </w:r>
            <w:r>
              <w:rPr>
                <w:rFonts w:ascii="Arial" w:cs="Arial" w:eastAsia="Arial" w:hAnsi="Arial"/>
                <w:sz w:val="14"/>
                <w:szCs w:val="14"/>
                <w:color w:val="FB4E0B"/>
                <w:w w:val="91"/>
              </w:rPr>
              <w:t>)</w:t>
            </w:r>
          </w:p>
        </w:tc>
      </w:tr>
      <w:tr>
        <w:trPr>
          <w:trHeight w:val="195"/>
        </w:trPr>
        <w:tc>
          <w:tcPr>
            <w:tcW w:w="3600" w:type="dxa"/>
            <w:vAlign w:val="bottom"/>
          </w:tcPr>
          <w:p>
            <w:pPr>
              <w:ind w:left="160"/>
              <w:spacing w:after="0"/>
              <w:rPr>
                <w:sz w:val="20"/>
                <w:szCs w:val="20"/>
                <w:color w:val="auto"/>
              </w:rPr>
            </w:pPr>
            <w:r>
              <w:rPr>
                <w:rFonts w:ascii="Arial" w:cs="Arial" w:eastAsia="Arial" w:hAnsi="Arial"/>
                <w:sz w:val="16"/>
                <w:szCs w:val="16"/>
                <w:b w:val="1"/>
                <w:bCs w:val="1"/>
                <w:color w:val="auto"/>
              </w:rPr>
              <w:t>“forward” stock split with a corresponding</w:t>
            </w:r>
          </w:p>
        </w:tc>
        <w:tc>
          <w:tcPr>
            <w:tcW w:w="1180" w:type="dxa"/>
            <w:vAlign w:val="bottom"/>
          </w:tcPr>
          <w:p>
            <w:pPr>
              <w:spacing w:after="0"/>
              <w:rPr>
                <w:sz w:val="16"/>
                <w:szCs w:val="16"/>
                <w:color w:val="auto"/>
              </w:rPr>
            </w:pPr>
          </w:p>
        </w:tc>
      </w:tr>
      <w:tr>
        <w:trPr>
          <w:trHeight w:val="195"/>
        </w:trPr>
        <w:tc>
          <w:tcPr>
            <w:tcW w:w="3600" w:type="dxa"/>
            <w:vAlign w:val="bottom"/>
          </w:tcPr>
          <w:p>
            <w:pPr>
              <w:ind w:left="160"/>
              <w:spacing w:after="0"/>
              <w:rPr>
                <w:sz w:val="20"/>
                <w:szCs w:val="20"/>
                <w:color w:val="auto"/>
              </w:rPr>
            </w:pPr>
            <w:r>
              <w:rPr>
                <w:rFonts w:ascii="Arial" w:cs="Arial" w:eastAsia="Arial" w:hAnsi="Arial"/>
                <w:sz w:val="16"/>
                <w:szCs w:val="16"/>
                <w:b w:val="1"/>
                <w:bCs w:val="1"/>
                <w:color w:val="auto"/>
                <w:w w:val="96"/>
              </w:rPr>
              <w:t>increase in the authorized number of shares of</w:t>
            </w:r>
          </w:p>
        </w:tc>
        <w:tc>
          <w:tcPr>
            <w:tcW w:w="1180" w:type="dxa"/>
            <w:vAlign w:val="bottom"/>
          </w:tcPr>
          <w:p>
            <w:pPr>
              <w:spacing w:after="0"/>
              <w:rPr>
                <w:sz w:val="16"/>
                <w:szCs w:val="16"/>
                <w:color w:val="auto"/>
              </w:rPr>
            </w:pPr>
          </w:p>
        </w:tc>
      </w:tr>
      <w:tr>
        <w:trPr>
          <w:trHeight w:val="203"/>
        </w:trPr>
        <w:tc>
          <w:tcPr>
            <w:tcW w:w="3600" w:type="dxa"/>
            <w:vAlign w:val="bottom"/>
          </w:tcPr>
          <w:p>
            <w:pPr>
              <w:ind w:left="160"/>
              <w:spacing w:after="0"/>
              <w:rPr>
                <w:sz w:val="20"/>
                <w:szCs w:val="20"/>
                <w:color w:val="auto"/>
              </w:rPr>
            </w:pPr>
            <w:r>
              <w:rPr>
                <w:rFonts w:ascii="Arial" w:cs="Arial" w:eastAsia="Arial" w:hAnsi="Arial"/>
                <w:sz w:val="16"/>
                <w:szCs w:val="16"/>
                <w:b w:val="1"/>
                <w:bCs w:val="1"/>
                <w:color w:val="auto"/>
              </w:rPr>
              <w:t>our common stock</w:t>
            </w:r>
          </w:p>
        </w:tc>
        <w:tc>
          <w:tcPr>
            <w:tcW w:w="1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-491490</wp:posOffset>
            </wp:positionV>
            <wp:extent cx="148590" cy="148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Required vote: Affirmative vote of a majority of the outstanding shares of our common stock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184785</wp:posOffset>
            </wp:positionV>
            <wp:extent cx="45104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5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600" w:type="dxa"/>
            <w:vAlign w:val="bottom"/>
          </w:tcPr>
          <w:p>
            <w:pPr>
              <w:spacing w:after="0"/>
              <w:rPr>
                <w:sz w:val="20"/>
                <w:szCs w:val="20"/>
                <w:color w:val="auto"/>
              </w:rPr>
            </w:pPr>
            <w:r>
              <w:rPr>
                <w:rFonts w:ascii="Arial" w:cs="Arial" w:eastAsia="Arial" w:hAnsi="Arial"/>
                <w:sz w:val="16"/>
                <w:szCs w:val="16"/>
                <w:b w:val="1"/>
                <w:bCs w:val="1"/>
                <w:color w:val="auto"/>
              </w:rPr>
              <w:t>6. Charter amendment to allow removal of</w:t>
            </w:r>
          </w:p>
        </w:tc>
        <w:tc>
          <w:tcPr>
            <w:tcW w:w="1180" w:type="dxa"/>
            <w:vAlign w:val="bottom"/>
          </w:tcPr>
          <w:p>
            <w:pPr>
              <w:ind w:left="340"/>
              <w:spacing w:after="0"/>
              <w:rPr>
                <w:sz w:val="20"/>
                <w:szCs w:val="20"/>
                <w:color w:val="auto"/>
              </w:rPr>
            </w:pPr>
            <w:r>
              <w:rPr>
                <w:rFonts w:ascii="Arial" w:cs="Arial" w:eastAsia="Arial" w:hAnsi="Arial"/>
                <w:sz w:val="14"/>
                <w:szCs w:val="14"/>
                <w:b w:val="1"/>
                <w:bCs w:val="1"/>
                <w:color w:val="FB4E0B"/>
                <w:w w:val="91"/>
              </w:rPr>
              <w:t xml:space="preserve">FOR </w:t>
            </w:r>
            <w:r>
              <w:rPr>
                <w:rFonts w:ascii="Arial" w:cs="Arial" w:eastAsia="Arial" w:hAnsi="Arial"/>
                <w:sz w:val="14"/>
                <w:szCs w:val="14"/>
                <w:color w:val="FB4E0B"/>
                <w:w w:val="91"/>
              </w:rPr>
              <w:t>(</w:t>
            </w:r>
            <w:r>
              <w:rPr>
                <w:rFonts w:ascii="Arial" w:cs="Arial" w:eastAsia="Arial" w:hAnsi="Arial"/>
                <w:sz w:val="14"/>
                <w:szCs w:val="14"/>
                <w:i w:val="1"/>
                <w:iCs w:val="1"/>
                <w:color w:val="FB4E0B"/>
                <w:w w:val="91"/>
              </w:rPr>
              <w:t>pg. 125</w:t>
            </w:r>
            <w:r>
              <w:rPr>
                <w:rFonts w:ascii="Arial" w:cs="Arial" w:eastAsia="Arial" w:hAnsi="Arial"/>
                <w:sz w:val="14"/>
                <w:szCs w:val="14"/>
                <w:color w:val="FB4E0B"/>
                <w:w w:val="91"/>
              </w:rPr>
              <w:t>)</w:t>
            </w:r>
          </w:p>
        </w:tc>
      </w:tr>
      <w:tr>
        <w:trPr>
          <w:trHeight w:val="195"/>
        </w:trPr>
        <w:tc>
          <w:tcPr>
            <w:tcW w:w="3600" w:type="dxa"/>
            <w:vAlign w:val="bottom"/>
          </w:tcPr>
          <w:p>
            <w:pPr>
              <w:ind w:left="160"/>
              <w:spacing w:after="0"/>
              <w:rPr>
                <w:sz w:val="20"/>
                <w:szCs w:val="20"/>
                <w:color w:val="auto"/>
              </w:rPr>
            </w:pPr>
            <w:r>
              <w:rPr>
                <w:rFonts w:ascii="Arial" w:cs="Arial" w:eastAsia="Arial" w:hAnsi="Arial"/>
                <w:sz w:val="16"/>
                <w:szCs w:val="16"/>
                <w:b w:val="1"/>
                <w:bCs w:val="1"/>
                <w:color w:val="auto"/>
              </w:rPr>
              <w:t>directors with or without cause by the</w:t>
            </w:r>
          </w:p>
        </w:tc>
        <w:tc>
          <w:tcPr>
            <w:tcW w:w="1180" w:type="dxa"/>
            <w:vAlign w:val="bottom"/>
          </w:tcPr>
          <w:p>
            <w:pPr>
              <w:spacing w:after="0"/>
              <w:rPr>
                <w:sz w:val="16"/>
                <w:szCs w:val="16"/>
                <w:color w:val="auto"/>
              </w:rPr>
            </w:pPr>
          </w:p>
        </w:tc>
      </w:tr>
      <w:tr>
        <w:trPr>
          <w:trHeight w:val="195"/>
        </w:trPr>
        <w:tc>
          <w:tcPr>
            <w:tcW w:w="3600" w:type="dxa"/>
            <w:vAlign w:val="bottom"/>
          </w:tcPr>
          <w:p>
            <w:pPr>
              <w:ind w:left="160"/>
              <w:spacing w:after="0"/>
              <w:rPr>
                <w:sz w:val="20"/>
                <w:szCs w:val="20"/>
                <w:color w:val="auto"/>
              </w:rPr>
            </w:pPr>
            <w:r>
              <w:rPr>
                <w:rFonts w:ascii="Arial" w:cs="Arial" w:eastAsia="Arial" w:hAnsi="Arial"/>
                <w:sz w:val="16"/>
                <w:szCs w:val="16"/>
                <w:b w:val="1"/>
                <w:bCs w:val="1"/>
                <w:color w:val="auto"/>
                <w:w w:val="98"/>
              </w:rPr>
              <w:t>affirmative vote of holders of a majority of the</w:t>
            </w:r>
          </w:p>
        </w:tc>
        <w:tc>
          <w:tcPr>
            <w:tcW w:w="1180" w:type="dxa"/>
            <w:vAlign w:val="bottom"/>
          </w:tcPr>
          <w:p>
            <w:pPr>
              <w:spacing w:after="0"/>
              <w:rPr>
                <w:sz w:val="16"/>
                <w:szCs w:val="16"/>
                <w:color w:val="auto"/>
              </w:rPr>
            </w:pPr>
          </w:p>
        </w:tc>
      </w:tr>
      <w:tr>
        <w:trPr>
          <w:trHeight w:val="203"/>
        </w:trPr>
        <w:tc>
          <w:tcPr>
            <w:tcW w:w="3600" w:type="dxa"/>
            <w:vAlign w:val="bottom"/>
          </w:tcPr>
          <w:p>
            <w:pPr>
              <w:ind w:left="160"/>
              <w:spacing w:after="0"/>
              <w:rPr>
                <w:sz w:val="20"/>
                <w:szCs w:val="20"/>
                <w:color w:val="auto"/>
              </w:rPr>
            </w:pPr>
            <w:r>
              <w:rPr>
                <w:rFonts w:ascii="Arial" w:cs="Arial" w:eastAsia="Arial" w:hAnsi="Arial"/>
                <w:sz w:val="16"/>
                <w:szCs w:val="16"/>
                <w:b w:val="1"/>
                <w:bCs w:val="1"/>
                <w:color w:val="auto"/>
              </w:rPr>
              <w:t>total outstanding shares of common stock</w:t>
            </w:r>
          </w:p>
        </w:tc>
        <w:tc>
          <w:tcPr>
            <w:tcW w:w="1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-491490</wp:posOffset>
            </wp:positionV>
            <wp:extent cx="148590" cy="148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Required vote: Affirmative vote of at least 66 2/3% of the outstanding shares of our common stock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135255</wp:posOffset>
            </wp:positionV>
            <wp:extent cx="45104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328" w:lineRule="exact"/>
        <w:rPr>
          <w:sz w:val="20"/>
          <w:szCs w:val="20"/>
          <w:color w:val="auto"/>
        </w:rPr>
      </w:pPr>
    </w:p>
    <w:p>
      <w:pPr>
        <w:ind w:left="320" w:right="480" w:firstLine="1"/>
        <w:spacing w:after="0" w:line="252" w:lineRule="auto"/>
        <w:tabs>
          <w:tab w:leader="none" w:pos="418" w:val="left"/>
        </w:tabs>
        <w:numPr>
          <w:ilvl w:val="0"/>
          <w:numId w:val="7"/>
        </w:numPr>
        <w:rPr>
          <w:rFonts w:ascii="Arial" w:cs="Arial" w:eastAsia="Arial" w:hAnsi="Arial"/>
          <w:sz w:val="13"/>
          <w:szCs w:val="13"/>
          <w:color w:val="auto"/>
        </w:rPr>
      </w:pPr>
      <w:r>
        <w:rPr>
          <w:rFonts w:ascii="Arial" w:cs="Arial" w:eastAsia="Arial" w:hAnsi="Arial"/>
          <w:sz w:val="13"/>
          <w:szCs w:val="13"/>
          <w:color w:val="auto"/>
        </w:rPr>
        <w:t>Virtual attendance at our Annual Meeting will constitute presence in person for purposes of quorum and voting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259080</wp:posOffset>
            </wp:positionV>
            <wp:extent cx="2015490" cy="2907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15490" cy="290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color w:val="FB4E0B"/>
        </w:rPr>
        <w:t>Annual meeting information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Time and date:</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8:30 AM (Eastern Time)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June 20, 2023</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Record date:</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April 21, 2023</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Place:</w:t>
      </w:r>
    </w:p>
    <w:p>
      <w:pPr>
        <w:spacing w:after="0" w:line="47" w:lineRule="exact"/>
        <w:rPr>
          <w:sz w:val="20"/>
          <w:szCs w:val="20"/>
          <w:color w:val="auto"/>
        </w:rPr>
      </w:pPr>
    </w:p>
    <w:p>
      <w:pPr>
        <w:ind w:left="340" w:right="1060"/>
        <w:spacing w:after="0" w:line="274" w:lineRule="auto"/>
        <w:rPr>
          <w:sz w:val="20"/>
          <w:szCs w:val="20"/>
          <w:color w:val="auto"/>
        </w:rPr>
      </w:pPr>
      <w:r>
        <w:rPr>
          <w:rFonts w:ascii="Arial" w:cs="Arial" w:eastAsia="Arial" w:hAnsi="Arial"/>
          <w:sz w:val="16"/>
          <w:szCs w:val="16"/>
          <w:color w:val="auto"/>
        </w:rPr>
        <w:t>Virtual format only via live audio webcast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Voting:</w:t>
      </w:r>
    </w:p>
    <w:p>
      <w:pPr>
        <w:spacing w:after="0" w:line="47" w:lineRule="exact"/>
        <w:rPr>
          <w:sz w:val="20"/>
          <w:szCs w:val="20"/>
          <w:color w:val="auto"/>
        </w:rPr>
      </w:pPr>
    </w:p>
    <w:p>
      <w:pPr>
        <w:ind w:left="340" w:right="1240"/>
        <w:spacing w:after="0" w:line="264" w:lineRule="auto"/>
        <w:rPr>
          <w:sz w:val="20"/>
          <w:szCs w:val="20"/>
          <w:color w:val="auto"/>
        </w:rPr>
      </w:pPr>
      <w:r>
        <w:rPr>
          <w:rFonts w:ascii="Arial" w:cs="Arial" w:eastAsia="Arial" w:hAnsi="Arial"/>
          <w:sz w:val="16"/>
          <w:szCs w:val="16"/>
          <w:color w:val="auto"/>
        </w:rPr>
        <w:t>Stockholders as of the Record Date are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447040</wp:posOffset>
            </wp:positionV>
            <wp:extent cx="2015490" cy="3477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15490" cy="347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b w:val="1"/>
          <w:bCs w:val="1"/>
          <w:color w:val="FB4E0B"/>
        </w:rPr>
        <w:t>Voting methods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Internet (pre-meeting):</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www.proxyvote.com</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Mail:</w:t>
      </w:r>
    </w:p>
    <w:p>
      <w:pPr>
        <w:spacing w:after="0" w:line="47" w:lineRule="exact"/>
        <w:rPr>
          <w:sz w:val="20"/>
          <w:szCs w:val="20"/>
          <w:color w:val="auto"/>
        </w:rPr>
      </w:pPr>
    </w:p>
    <w:p>
      <w:pPr>
        <w:ind w:left="340" w:right="1120"/>
        <w:spacing w:after="0" w:line="274" w:lineRule="auto"/>
        <w:rPr>
          <w:sz w:val="20"/>
          <w:szCs w:val="20"/>
          <w:color w:val="auto"/>
        </w:rPr>
      </w:pPr>
      <w:r>
        <w:rPr>
          <w:rFonts w:ascii="Arial" w:cs="Arial" w:eastAsia="Arial" w:hAnsi="Arial"/>
          <w:sz w:val="16"/>
          <w:szCs w:val="16"/>
          <w:color w:val="auto"/>
        </w:rPr>
        <w:t>Follow instructions on the Internet notice</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Phone:</w:t>
      </w:r>
    </w:p>
    <w:p>
      <w:pPr>
        <w:spacing w:after="0" w:line="47" w:lineRule="exact"/>
        <w:rPr>
          <w:sz w:val="20"/>
          <w:szCs w:val="20"/>
          <w:color w:val="auto"/>
        </w:rPr>
      </w:pPr>
    </w:p>
    <w:p>
      <w:pPr>
        <w:ind w:left="340" w:right="960"/>
        <w:spacing w:after="0" w:line="274" w:lineRule="auto"/>
        <w:rPr>
          <w:sz w:val="20"/>
          <w:szCs w:val="20"/>
          <w:color w:val="auto"/>
        </w:rPr>
      </w:pPr>
      <w:r>
        <w:rPr>
          <w:rFonts w:ascii="Arial" w:cs="Arial" w:eastAsia="Arial" w:hAnsi="Arial"/>
          <w:sz w:val="16"/>
          <w:szCs w:val="16"/>
          <w:color w:val="auto"/>
        </w:rPr>
        <w:t>Call the number listed on the Internet notice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Electronically:</w:t>
      </w:r>
    </w:p>
    <w:p>
      <w:pPr>
        <w:spacing w:after="0" w:line="47" w:lineRule="exact"/>
        <w:rPr>
          <w:sz w:val="20"/>
          <w:szCs w:val="20"/>
          <w:color w:val="auto"/>
        </w:rPr>
      </w:pPr>
    </w:p>
    <w:p>
      <w:pPr>
        <w:ind w:left="340" w:right="1040"/>
        <w:spacing w:after="0" w:line="347" w:lineRule="auto"/>
        <w:rPr>
          <w:sz w:val="20"/>
          <w:szCs w:val="20"/>
          <w:color w:val="auto"/>
        </w:rPr>
      </w:pPr>
      <w:r>
        <w:rPr>
          <w:rFonts w:ascii="Arial" w:cs="Arial" w:eastAsia="Arial" w:hAnsi="Arial"/>
          <w:sz w:val="14"/>
          <w:szCs w:val="14"/>
          <w:color w:val="auto"/>
        </w:rPr>
        <w:t>Attend the Annual Meeting and vote electronically</w:t>
      </w:r>
    </w:p>
    <w:p>
      <w:pPr>
        <w:spacing w:after="0" w:line="160" w:lineRule="exact"/>
        <w:rPr>
          <w:sz w:val="20"/>
          <w:szCs w:val="20"/>
          <w:color w:val="auto"/>
        </w:rPr>
      </w:pPr>
    </w:p>
    <w:p>
      <w:pPr>
        <w:ind w:right="260"/>
        <w:spacing w:after="0" w:line="257" w:lineRule="auto"/>
        <w:rPr>
          <w:sz w:val="20"/>
          <w:szCs w:val="20"/>
          <w:color w:val="auto"/>
        </w:rPr>
      </w:pPr>
      <w:r>
        <w:rPr>
          <w:rFonts w:ascii="Arial" w:cs="Arial" w:eastAsia="Arial" w:hAnsi="Arial"/>
          <w:sz w:val="12"/>
          <w:szCs w:val="12"/>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See page 129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361"/>
        </w:trPr>
        <w:tc>
          <w:tcPr>
            <w:tcW w:w="1920" w:type="dxa"/>
            <w:vAlign w:val="bottom"/>
          </w:tcPr>
          <w:p>
            <w:pPr>
              <w:spacing w:after="0"/>
              <w:rPr>
                <w:sz w:val="20"/>
                <w:szCs w:val="20"/>
                <w:color w:val="auto"/>
              </w:rPr>
            </w:pPr>
            <w:r>
              <w:rPr>
                <w:rFonts w:ascii="Arial" w:cs="Arial" w:eastAsia="Arial" w:hAnsi="Arial"/>
                <w:sz w:val="13"/>
                <w:szCs w:val="13"/>
                <w:color w:val="auto"/>
              </w:rPr>
              <w:t>EXL 2023 Proxy Statement</w:t>
            </w:r>
            <w:r>
              <w:rPr>
                <w:rFonts w:ascii="Arial" w:cs="Arial" w:eastAsia="Arial" w:hAnsi="Arial"/>
                <w:sz w:val="28"/>
                <w:szCs w:val="28"/>
                <w:b w:val="1"/>
                <w:bCs w:val="1"/>
                <w:color w:val="FB4E0B"/>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bl>
    <w:p>
      <w:pPr>
        <w:sectPr>
          <w:pgSz w:w="11900" w:h="16838" w:orient="portrait"/>
          <w:cols w:equalWidth="0" w:num="2">
            <w:col w:w="7420" w:space="420"/>
            <w:col w:w="3100"/>
          </w:cols>
          <w:pgMar w:left="320" w:top="473" w:right="6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2023 Proxy Statement summary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Our business</w:t>
      </w:r>
    </w:p>
    <w:p>
      <w:pPr>
        <w:spacing w:after="0" w:line="117" w:lineRule="exact"/>
        <w:rPr>
          <w:sz w:val="20"/>
          <w:szCs w:val="20"/>
          <w:color w:val="auto"/>
        </w:rPr>
      </w:pPr>
    </w:p>
    <w:p>
      <w:pPr>
        <w:ind w:left="320" w:right="20"/>
        <w:spacing w:after="0" w:line="261" w:lineRule="auto"/>
        <w:rPr>
          <w:sz w:val="20"/>
          <w:szCs w:val="20"/>
          <w:color w:val="auto"/>
        </w:rPr>
      </w:pPr>
      <w:r>
        <w:rPr>
          <w:rFonts w:ascii="Arial" w:cs="Arial" w:eastAsia="Arial" w:hAnsi="Arial"/>
          <w:sz w:val="17"/>
          <w:szCs w:val="17"/>
          <w:color w:val="auto"/>
        </w:rPr>
        <w:t>We are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 making and transforming operating models, EXL was founded on the core values of innovation, collaboration, excellence, integrity and respect. Headquartered in New York, our team is over 45,400 strong, with more than 50 offices spanning six continents.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B4E0B"/>
        </w:rPr>
        <w:t>Company 3 year performance</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10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gridSpan w:val="4"/>
          </w:tcPr>
          <w:p>
            <w:pPr>
              <w:ind w:left="80"/>
              <w:spacing w:after="0"/>
              <w:rPr>
                <w:sz w:val="20"/>
                <w:szCs w:val="20"/>
                <w:color w:val="auto"/>
              </w:rPr>
            </w:pPr>
            <w:r>
              <w:rPr>
                <w:rFonts w:ascii="Arial" w:cs="Arial" w:eastAsia="Arial" w:hAnsi="Arial"/>
                <w:sz w:val="17"/>
                <w:szCs w:val="17"/>
                <w:b w:val="1"/>
                <w:bCs w:val="1"/>
                <w:color w:val="FB4E0B"/>
                <w:w w:val="92"/>
              </w:rPr>
              <w:t>Revenue (Year-over-year growth %)</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14"/>
        </w:trPr>
        <w:tc>
          <w:tcPr>
            <w:tcW w:w="4020" w:type="dxa"/>
            <w:vAlign w:val="bottom"/>
            <w:tcBorders>
              <w:bottom w:val="single" w:sz="8" w:color="BABABA"/>
            </w:tcBorders>
            <w:gridSpan w:val="2"/>
          </w:tcPr>
          <w:p>
            <w:pPr>
              <w:ind w:left="40"/>
              <w:spacing w:after="0"/>
              <w:rPr>
                <w:sz w:val="20"/>
                <w:szCs w:val="20"/>
                <w:color w:val="auto"/>
              </w:rPr>
            </w:pPr>
            <w:r>
              <w:rPr>
                <w:rFonts w:ascii="Arial" w:cs="Arial" w:eastAsia="Arial" w:hAnsi="Arial"/>
                <w:sz w:val="14"/>
                <w:szCs w:val="14"/>
                <w:b w:val="1"/>
                <w:bCs w:val="1"/>
                <w:i w:val="1"/>
                <w:iCs w:val="1"/>
                <w:color w:val="auto"/>
              </w:rPr>
              <w:t>Revenue by segment information ($ in millions)</w:t>
            </w:r>
          </w:p>
        </w:tc>
        <w:tc>
          <w:tcPr>
            <w:tcW w:w="1960" w:type="dxa"/>
            <w:vAlign w:val="bottom"/>
            <w:tcBorders>
              <w:bottom w:val="single" w:sz="8" w:color="BABABA"/>
            </w:tcBorders>
            <w:gridSpan w:val="2"/>
          </w:tcPr>
          <w:p>
            <w:pPr>
              <w:jc w:val="right"/>
              <w:ind w:right="293"/>
              <w:spacing w:after="0"/>
              <w:rPr>
                <w:sz w:val="20"/>
                <w:szCs w:val="20"/>
                <w:color w:val="auto"/>
              </w:rPr>
            </w:pPr>
            <w:r>
              <w:rPr>
                <w:rFonts w:ascii="Arial" w:cs="Arial" w:eastAsia="Arial" w:hAnsi="Arial"/>
                <w:sz w:val="17"/>
                <w:szCs w:val="17"/>
                <w:b w:val="1"/>
                <w:bCs w:val="1"/>
                <w:color w:val="auto"/>
              </w:rPr>
              <w:t>2020 YOY%</w:t>
            </w:r>
          </w:p>
        </w:tc>
        <w:tc>
          <w:tcPr>
            <w:tcW w:w="120" w:type="dxa"/>
            <w:vAlign w:val="bottom"/>
            <w:tcBorders>
              <w:bottom w:val="single" w:sz="8" w:color="BABABA"/>
            </w:tcBorders>
          </w:tcPr>
          <w:p>
            <w:pPr>
              <w:spacing w:after="0"/>
              <w:rPr>
                <w:sz w:val="24"/>
                <w:szCs w:val="24"/>
                <w:color w:val="auto"/>
              </w:rPr>
            </w:pPr>
          </w:p>
        </w:tc>
        <w:tc>
          <w:tcPr>
            <w:tcW w:w="2640" w:type="dxa"/>
            <w:vAlign w:val="bottom"/>
            <w:tcBorders>
              <w:bottom w:val="single" w:sz="8" w:color="BABABA"/>
            </w:tcBorders>
            <w:gridSpan w:val="3"/>
          </w:tcPr>
          <w:p>
            <w:pPr>
              <w:ind w:left="720"/>
              <w:spacing w:after="0"/>
              <w:rPr>
                <w:sz w:val="20"/>
                <w:szCs w:val="20"/>
                <w:color w:val="auto"/>
              </w:rPr>
            </w:pPr>
            <w:r>
              <w:rPr>
                <w:rFonts w:ascii="Arial" w:cs="Arial" w:eastAsia="Arial" w:hAnsi="Arial"/>
                <w:sz w:val="17"/>
                <w:szCs w:val="17"/>
                <w:b w:val="1"/>
                <w:bCs w:val="1"/>
                <w:color w:val="auto"/>
              </w:rPr>
              <w:t>2021 YOY%</w:t>
            </w:r>
          </w:p>
        </w:tc>
        <w:tc>
          <w:tcPr>
            <w:tcW w:w="1880" w:type="dxa"/>
            <w:vAlign w:val="bottom"/>
            <w:tcBorders>
              <w:bottom w:val="single" w:sz="8" w:color="BABABA"/>
            </w:tcBorders>
            <w:gridSpan w:val="2"/>
          </w:tcPr>
          <w:p>
            <w:pPr>
              <w:jc w:val="right"/>
              <w:ind w:right="493"/>
              <w:spacing w:after="0"/>
              <w:rPr>
                <w:sz w:val="20"/>
                <w:szCs w:val="20"/>
                <w:color w:val="auto"/>
              </w:rPr>
            </w:pPr>
            <w:r>
              <w:rPr>
                <w:rFonts w:ascii="Arial" w:cs="Arial" w:eastAsia="Arial" w:hAnsi="Arial"/>
                <w:sz w:val="17"/>
                <w:szCs w:val="17"/>
                <w:b w:val="1"/>
                <w:bCs w:val="1"/>
                <w:color w:val="auto"/>
              </w:rPr>
              <w:t>2022 YOY%</w:t>
            </w:r>
          </w:p>
        </w:tc>
      </w:tr>
      <w:tr>
        <w:trPr>
          <w:trHeight w:val="220"/>
        </w:trPr>
        <w:tc>
          <w:tcPr>
            <w:tcW w:w="1040" w:type="dxa"/>
            <w:vAlign w:val="bottom"/>
          </w:tcPr>
          <w:p>
            <w:pPr>
              <w:ind w:left="40"/>
              <w:spacing w:after="0"/>
              <w:rPr>
                <w:sz w:val="20"/>
                <w:szCs w:val="20"/>
                <w:color w:val="auto"/>
              </w:rPr>
            </w:pPr>
            <w:r>
              <w:rPr>
                <w:rFonts w:ascii="Arial" w:cs="Arial" w:eastAsia="Arial" w:hAnsi="Arial"/>
                <w:sz w:val="17"/>
                <w:szCs w:val="17"/>
                <w:color w:val="auto"/>
              </w:rPr>
              <w:t>Insurance</w:t>
            </w:r>
          </w:p>
        </w:tc>
        <w:tc>
          <w:tcPr>
            <w:tcW w:w="2980" w:type="dxa"/>
            <w:vAlign w:val="bottom"/>
            <w:tcBorders>
              <w:right w:val="single" w:sz="8" w:color="BABABA"/>
            </w:tcBorders>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7"/>
                <w:szCs w:val="17"/>
                <w:color w:val="auto"/>
              </w:rPr>
              <w:t>$341.8</w:t>
            </w: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BABABA"/>
            </w:tcBorders>
          </w:tcPr>
          <w:p>
            <w:pPr>
              <w:spacing w:after="0"/>
              <w:rPr>
                <w:sz w:val="19"/>
                <w:szCs w:val="19"/>
                <w:color w:val="auto"/>
              </w:rPr>
            </w:pPr>
          </w:p>
        </w:tc>
        <w:tc>
          <w:tcPr>
            <w:tcW w:w="1280" w:type="dxa"/>
            <w:vAlign w:val="bottom"/>
          </w:tcPr>
          <w:p>
            <w:pPr>
              <w:jc w:val="right"/>
              <w:ind w:right="213"/>
              <w:spacing w:after="0"/>
              <w:rPr>
                <w:sz w:val="20"/>
                <w:szCs w:val="20"/>
                <w:color w:val="auto"/>
              </w:rPr>
            </w:pPr>
            <w:r>
              <w:rPr>
                <w:rFonts w:ascii="Arial" w:cs="Arial" w:eastAsia="Arial" w:hAnsi="Arial"/>
                <w:sz w:val="17"/>
                <w:szCs w:val="17"/>
                <w:color w:val="auto"/>
              </w:rPr>
              <w:t>$382.0</w:t>
            </w:r>
          </w:p>
        </w:tc>
        <w:tc>
          <w:tcPr>
            <w:tcW w:w="960" w:type="dxa"/>
            <w:vAlign w:val="bottom"/>
            <w:tcBorders>
              <w:right w:val="single" w:sz="8" w:color="BABABA"/>
            </w:tcBorders>
          </w:tcPr>
          <w:p>
            <w:pPr>
              <w:jc w:val="right"/>
              <w:ind w:right="93"/>
              <w:spacing w:after="0"/>
              <w:rPr>
                <w:sz w:val="20"/>
                <w:szCs w:val="20"/>
                <w:color w:val="auto"/>
              </w:rPr>
            </w:pPr>
            <w:r>
              <w:rPr>
                <w:rFonts w:ascii="Arial" w:cs="Arial" w:eastAsia="Arial" w:hAnsi="Arial"/>
                <w:sz w:val="17"/>
                <w:szCs w:val="17"/>
                <w:color w:val="auto"/>
              </w:rPr>
              <w:t>11.8%</w:t>
            </w:r>
          </w:p>
        </w:tc>
        <w:tc>
          <w:tcPr>
            <w:tcW w:w="40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$448.7</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17.5%</w:t>
            </w:r>
          </w:p>
        </w:tc>
      </w:tr>
      <w:tr>
        <w:trPr>
          <w:trHeight w:val="248"/>
        </w:trPr>
        <w:tc>
          <w:tcPr>
            <w:tcW w:w="1040" w:type="dxa"/>
            <w:vAlign w:val="bottom"/>
          </w:tcPr>
          <w:p>
            <w:pPr>
              <w:ind w:left="40"/>
              <w:spacing w:after="0"/>
              <w:rPr>
                <w:sz w:val="20"/>
                <w:szCs w:val="20"/>
                <w:color w:val="auto"/>
              </w:rPr>
            </w:pPr>
            <w:r>
              <w:rPr>
                <w:rFonts w:ascii="Arial" w:cs="Arial" w:eastAsia="Arial" w:hAnsi="Arial"/>
                <w:sz w:val="17"/>
                <w:szCs w:val="17"/>
                <w:color w:val="auto"/>
              </w:rPr>
              <w:t>Healthcare</w:t>
            </w:r>
          </w:p>
        </w:tc>
        <w:tc>
          <w:tcPr>
            <w:tcW w:w="2980" w:type="dxa"/>
            <w:vAlign w:val="bottom"/>
            <w:tcBorders>
              <w:right w:val="single" w:sz="8" w:color="BABABA"/>
            </w:tcBorders>
          </w:tcPr>
          <w:p>
            <w:pPr>
              <w:spacing w:after="0"/>
              <w:rPr>
                <w:sz w:val="21"/>
                <w:szCs w:val="21"/>
                <w:color w:val="auto"/>
              </w:rPr>
            </w:pPr>
          </w:p>
        </w:tc>
        <w:tc>
          <w:tcPr>
            <w:tcW w:w="1120" w:type="dxa"/>
            <w:vAlign w:val="bottom"/>
          </w:tcPr>
          <w:p>
            <w:pPr>
              <w:jc w:val="right"/>
              <w:ind w:right="173"/>
              <w:spacing w:after="0"/>
              <w:rPr>
                <w:sz w:val="20"/>
                <w:szCs w:val="20"/>
                <w:color w:val="auto"/>
              </w:rPr>
            </w:pPr>
            <w:r>
              <w:rPr>
                <w:rFonts w:ascii="Arial" w:cs="Arial" w:eastAsia="Arial" w:hAnsi="Arial"/>
                <w:sz w:val="17"/>
                <w:szCs w:val="17"/>
                <w:color w:val="auto"/>
              </w:rPr>
              <w:t>101.2</w:t>
            </w:r>
          </w:p>
        </w:tc>
        <w:tc>
          <w:tcPr>
            <w:tcW w:w="84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right w:val="single" w:sz="8" w:color="BABABA"/>
            </w:tcBorders>
          </w:tcPr>
          <w:p>
            <w:pPr>
              <w:spacing w:after="0"/>
              <w:rPr>
                <w:sz w:val="21"/>
                <w:szCs w:val="21"/>
                <w:color w:val="auto"/>
              </w:rPr>
            </w:pPr>
          </w:p>
        </w:tc>
        <w:tc>
          <w:tcPr>
            <w:tcW w:w="1280" w:type="dxa"/>
            <w:vAlign w:val="bottom"/>
          </w:tcPr>
          <w:p>
            <w:pPr>
              <w:jc w:val="right"/>
              <w:ind w:right="213"/>
              <w:spacing w:after="0"/>
              <w:rPr>
                <w:sz w:val="20"/>
                <w:szCs w:val="20"/>
                <w:color w:val="auto"/>
              </w:rPr>
            </w:pPr>
            <w:r>
              <w:rPr>
                <w:rFonts w:ascii="Arial" w:cs="Arial" w:eastAsia="Arial" w:hAnsi="Arial"/>
                <w:sz w:val="17"/>
                <w:szCs w:val="17"/>
                <w:color w:val="auto"/>
              </w:rPr>
              <w:t>112.4</w:t>
            </w:r>
          </w:p>
        </w:tc>
        <w:tc>
          <w:tcPr>
            <w:tcW w:w="960" w:type="dxa"/>
            <w:vAlign w:val="bottom"/>
            <w:tcBorders>
              <w:right w:val="single" w:sz="8" w:color="BABABA"/>
            </w:tcBorders>
          </w:tcPr>
          <w:p>
            <w:pPr>
              <w:jc w:val="right"/>
              <w:ind w:right="93"/>
              <w:spacing w:after="0"/>
              <w:rPr>
                <w:sz w:val="20"/>
                <w:szCs w:val="20"/>
                <w:color w:val="auto"/>
              </w:rPr>
            </w:pPr>
            <w:r>
              <w:rPr>
                <w:rFonts w:ascii="Arial" w:cs="Arial" w:eastAsia="Arial" w:hAnsi="Arial"/>
                <w:sz w:val="17"/>
                <w:szCs w:val="17"/>
                <w:color w:val="auto"/>
              </w:rPr>
              <w:t>10.9%</w:t>
            </w:r>
          </w:p>
        </w:tc>
        <w:tc>
          <w:tcPr>
            <w:tcW w:w="400" w:type="dxa"/>
            <w:vAlign w:val="bottom"/>
          </w:tcPr>
          <w:p>
            <w:pPr>
              <w:spacing w:after="0"/>
              <w:rPr>
                <w:sz w:val="21"/>
                <w:szCs w:val="21"/>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97.4</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-13.4%</w:t>
            </w:r>
          </w:p>
        </w:tc>
      </w:tr>
      <w:tr>
        <w:trPr>
          <w:trHeight w:val="260"/>
        </w:trPr>
        <w:tc>
          <w:tcPr>
            <w:tcW w:w="4020" w:type="dxa"/>
            <w:vAlign w:val="bottom"/>
            <w:tcBorders>
              <w:right w:val="single" w:sz="8" w:color="BABABA"/>
            </w:tcBorders>
            <w:gridSpan w:val="2"/>
          </w:tcPr>
          <w:p>
            <w:pPr>
              <w:ind w:left="40"/>
              <w:spacing w:after="0"/>
              <w:rPr>
                <w:sz w:val="20"/>
                <w:szCs w:val="20"/>
                <w:color w:val="auto"/>
              </w:rPr>
            </w:pPr>
            <w:r>
              <w:rPr>
                <w:rFonts w:ascii="Arial" w:cs="Arial" w:eastAsia="Arial" w:hAnsi="Arial"/>
                <w:sz w:val="17"/>
                <w:szCs w:val="17"/>
                <w:color w:val="auto"/>
              </w:rPr>
              <w:t>Emerging Business</w:t>
            </w:r>
          </w:p>
        </w:tc>
        <w:tc>
          <w:tcPr>
            <w:tcW w:w="1120" w:type="dxa"/>
            <w:vAlign w:val="bottom"/>
          </w:tcPr>
          <w:p>
            <w:pPr>
              <w:jc w:val="right"/>
              <w:ind w:right="173"/>
              <w:spacing w:after="0"/>
              <w:rPr>
                <w:sz w:val="20"/>
                <w:szCs w:val="20"/>
                <w:color w:val="auto"/>
              </w:rPr>
            </w:pPr>
            <w:r>
              <w:rPr>
                <w:rFonts w:ascii="Arial" w:cs="Arial" w:eastAsia="Arial" w:hAnsi="Arial"/>
                <w:sz w:val="17"/>
                <w:szCs w:val="17"/>
                <w:color w:val="auto"/>
              </w:rPr>
              <w:t>152.7</w:t>
            </w:r>
          </w:p>
        </w:tc>
        <w:tc>
          <w:tcPr>
            <w:tcW w:w="840" w:type="dxa"/>
            <w:vAlign w:val="bottom"/>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Borders>
              <w:right w:val="single" w:sz="8" w:color="BABABA"/>
            </w:tcBorders>
          </w:tcPr>
          <w:p>
            <w:pPr>
              <w:spacing w:after="0"/>
              <w:rPr>
                <w:sz w:val="22"/>
                <w:szCs w:val="22"/>
                <w:color w:val="auto"/>
              </w:rPr>
            </w:pPr>
          </w:p>
        </w:tc>
        <w:tc>
          <w:tcPr>
            <w:tcW w:w="1280" w:type="dxa"/>
            <w:vAlign w:val="bottom"/>
          </w:tcPr>
          <w:p>
            <w:pPr>
              <w:jc w:val="right"/>
              <w:ind w:right="213"/>
              <w:spacing w:after="0"/>
              <w:rPr>
                <w:sz w:val="20"/>
                <w:szCs w:val="20"/>
                <w:color w:val="auto"/>
              </w:rPr>
            </w:pPr>
            <w:r>
              <w:rPr>
                <w:rFonts w:ascii="Arial" w:cs="Arial" w:eastAsia="Arial" w:hAnsi="Arial"/>
                <w:sz w:val="17"/>
                <w:szCs w:val="17"/>
                <w:color w:val="auto"/>
              </w:rPr>
              <w:t>167.2</w:t>
            </w:r>
          </w:p>
        </w:tc>
        <w:tc>
          <w:tcPr>
            <w:tcW w:w="960" w:type="dxa"/>
            <w:vAlign w:val="bottom"/>
            <w:tcBorders>
              <w:right w:val="single" w:sz="8" w:color="BABABA"/>
            </w:tcBorders>
          </w:tcPr>
          <w:p>
            <w:pPr>
              <w:jc w:val="right"/>
              <w:ind w:right="93"/>
              <w:spacing w:after="0"/>
              <w:rPr>
                <w:sz w:val="20"/>
                <w:szCs w:val="20"/>
                <w:color w:val="auto"/>
              </w:rPr>
            </w:pPr>
            <w:r>
              <w:rPr>
                <w:rFonts w:ascii="Arial" w:cs="Arial" w:eastAsia="Arial" w:hAnsi="Arial"/>
                <w:sz w:val="17"/>
                <w:szCs w:val="17"/>
                <w:color w:val="auto"/>
              </w:rPr>
              <w:t>9.5%</w:t>
            </w:r>
          </w:p>
        </w:tc>
        <w:tc>
          <w:tcPr>
            <w:tcW w:w="400" w:type="dxa"/>
            <w:vAlign w:val="bottom"/>
          </w:tcPr>
          <w:p>
            <w:pPr>
              <w:spacing w:after="0"/>
              <w:rPr>
                <w:sz w:val="22"/>
                <w:szCs w:val="22"/>
                <w:color w:val="auto"/>
              </w:rPr>
            </w:pPr>
          </w:p>
        </w:tc>
        <w:tc>
          <w:tcPr>
            <w:tcW w:w="900" w:type="dxa"/>
            <w:vAlign w:val="bottom"/>
          </w:tcPr>
          <w:p>
            <w:pPr>
              <w:jc w:val="right"/>
              <w:ind w:right="213"/>
              <w:spacing w:after="0"/>
              <w:rPr>
                <w:sz w:val="20"/>
                <w:szCs w:val="20"/>
                <w:color w:val="auto"/>
              </w:rPr>
            </w:pPr>
            <w:r>
              <w:rPr>
                <w:rFonts w:ascii="Arial" w:cs="Arial" w:eastAsia="Arial" w:hAnsi="Arial"/>
                <w:sz w:val="17"/>
                <w:szCs w:val="17"/>
                <w:color w:val="auto"/>
              </w:rPr>
              <w:t>218.6</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30.7%</w:t>
            </w:r>
          </w:p>
        </w:tc>
      </w:tr>
      <w:tr>
        <w:trPr>
          <w:trHeight w:val="260"/>
        </w:trPr>
        <w:tc>
          <w:tcPr>
            <w:tcW w:w="1040" w:type="dxa"/>
            <w:vAlign w:val="bottom"/>
          </w:tcPr>
          <w:p>
            <w:pPr>
              <w:ind w:left="40"/>
              <w:spacing w:after="0"/>
              <w:rPr>
                <w:sz w:val="20"/>
                <w:szCs w:val="20"/>
                <w:color w:val="auto"/>
              </w:rPr>
            </w:pPr>
            <w:r>
              <w:rPr>
                <w:rFonts w:ascii="Arial" w:cs="Arial" w:eastAsia="Arial" w:hAnsi="Arial"/>
                <w:sz w:val="17"/>
                <w:szCs w:val="17"/>
                <w:color w:val="auto"/>
              </w:rPr>
              <w:t>Analytics</w:t>
            </w:r>
          </w:p>
        </w:tc>
        <w:tc>
          <w:tcPr>
            <w:tcW w:w="2980" w:type="dxa"/>
            <w:vAlign w:val="bottom"/>
            <w:tcBorders>
              <w:right w:val="single" w:sz="8" w:color="BABABA"/>
            </w:tcBorders>
          </w:tcPr>
          <w:p>
            <w:pPr>
              <w:spacing w:after="0"/>
              <w:rPr>
                <w:sz w:val="22"/>
                <w:szCs w:val="22"/>
                <w:color w:val="auto"/>
              </w:rPr>
            </w:pPr>
          </w:p>
        </w:tc>
        <w:tc>
          <w:tcPr>
            <w:tcW w:w="1120" w:type="dxa"/>
            <w:vAlign w:val="bottom"/>
          </w:tcPr>
          <w:p>
            <w:pPr>
              <w:jc w:val="right"/>
              <w:ind w:right="173"/>
              <w:spacing w:after="0"/>
              <w:rPr>
                <w:sz w:val="20"/>
                <w:szCs w:val="20"/>
                <w:color w:val="auto"/>
              </w:rPr>
            </w:pPr>
            <w:r>
              <w:rPr>
                <w:rFonts w:ascii="Arial" w:cs="Arial" w:eastAsia="Arial" w:hAnsi="Arial"/>
                <w:sz w:val="17"/>
                <w:szCs w:val="17"/>
                <w:color w:val="auto"/>
              </w:rPr>
              <w:t>362.7</w:t>
            </w: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right w:val="single" w:sz="8" w:color="BABABA"/>
            </w:tcBorders>
          </w:tcPr>
          <w:p>
            <w:pPr>
              <w:spacing w:after="0"/>
              <w:rPr>
                <w:sz w:val="22"/>
                <w:szCs w:val="22"/>
                <w:color w:val="auto"/>
              </w:rPr>
            </w:pPr>
          </w:p>
        </w:tc>
        <w:tc>
          <w:tcPr>
            <w:tcW w:w="1280" w:type="dxa"/>
            <w:vAlign w:val="bottom"/>
          </w:tcPr>
          <w:p>
            <w:pPr>
              <w:jc w:val="right"/>
              <w:ind w:right="213"/>
              <w:spacing w:after="0"/>
              <w:rPr>
                <w:sz w:val="20"/>
                <w:szCs w:val="20"/>
                <w:color w:val="auto"/>
              </w:rPr>
            </w:pPr>
            <w:r>
              <w:rPr>
                <w:rFonts w:ascii="Arial" w:cs="Arial" w:eastAsia="Arial" w:hAnsi="Arial"/>
                <w:sz w:val="17"/>
                <w:szCs w:val="17"/>
                <w:color w:val="auto"/>
              </w:rPr>
              <w:t>460.7</w:t>
            </w:r>
          </w:p>
        </w:tc>
        <w:tc>
          <w:tcPr>
            <w:tcW w:w="960" w:type="dxa"/>
            <w:vAlign w:val="bottom"/>
            <w:tcBorders>
              <w:right w:val="single" w:sz="8" w:color="BABABA"/>
            </w:tcBorders>
          </w:tcPr>
          <w:p>
            <w:pPr>
              <w:jc w:val="right"/>
              <w:ind w:right="93"/>
              <w:spacing w:after="0"/>
              <w:rPr>
                <w:sz w:val="20"/>
                <w:szCs w:val="20"/>
                <w:color w:val="auto"/>
              </w:rPr>
            </w:pPr>
            <w:r>
              <w:rPr>
                <w:rFonts w:ascii="Arial" w:cs="Arial" w:eastAsia="Arial" w:hAnsi="Arial"/>
                <w:sz w:val="17"/>
                <w:szCs w:val="17"/>
                <w:color w:val="auto"/>
              </w:rPr>
              <w:t>27.0%</w:t>
            </w:r>
          </w:p>
        </w:tc>
        <w:tc>
          <w:tcPr>
            <w:tcW w:w="400" w:type="dxa"/>
            <w:vAlign w:val="bottom"/>
          </w:tcPr>
          <w:p>
            <w:pPr>
              <w:spacing w:after="0"/>
              <w:rPr>
                <w:sz w:val="22"/>
                <w:szCs w:val="22"/>
                <w:color w:val="auto"/>
              </w:rPr>
            </w:pPr>
          </w:p>
        </w:tc>
        <w:tc>
          <w:tcPr>
            <w:tcW w:w="900" w:type="dxa"/>
            <w:vAlign w:val="bottom"/>
          </w:tcPr>
          <w:p>
            <w:pPr>
              <w:jc w:val="right"/>
              <w:ind w:right="213"/>
              <w:spacing w:after="0"/>
              <w:rPr>
                <w:sz w:val="20"/>
                <w:szCs w:val="20"/>
                <w:color w:val="auto"/>
              </w:rPr>
            </w:pPr>
            <w:r>
              <w:rPr>
                <w:rFonts w:ascii="Arial" w:cs="Arial" w:eastAsia="Arial" w:hAnsi="Arial"/>
                <w:sz w:val="17"/>
                <w:szCs w:val="17"/>
                <w:color w:val="auto"/>
              </w:rPr>
              <w:t>647.3</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40.5%</w:t>
            </w:r>
          </w:p>
        </w:tc>
      </w:tr>
      <w:tr>
        <w:trPr>
          <w:trHeight w:val="52"/>
        </w:trPr>
        <w:tc>
          <w:tcPr>
            <w:tcW w:w="1040" w:type="dxa"/>
            <w:vAlign w:val="bottom"/>
            <w:tcBorders>
              <w:bottom w:val="single" w:sz="8" w:color="BABABA"/>
            </w:tcBorders>
          </w:tcPr>
          <w:p>
            <w:pPr>
              <w:spacing w:after="0"/>
              <w:rPr>
                <w:sz w:val="4"/>
                <w:szCs w:val="4"/>
                <w:color w:val="auto"/>
              </w:rPr>
            </w:pPr>
          </w:p>
        </w:tc>
        <w:tc>
          <w:tcPr>
            <w:tcW w:w="2980" w:type="dxa"/>
            <w:vAlign w:val="bottom"/>
            <w:tcBorders>
              <w:bottom w:val="single" w:sz="8" w:color="BABABA"/>
              <w:right w:val="single" w:sz="8" w:color="BABABA"/>
            </w:tcBorders>
          </w:tcPr>
          <w:p>
            <w:pPr>
              <w:spacing w:after="0"/>
              <w:rPr>
                <w:sz w:val="4"/>
                <w:szCs w:val="4"/>
                <w:color w:val="auto"/>
              </w:rPr>
            </w:pPr>
          </w:p>
        </w:tc>
        <w:tc>
          <w:tcPr>
            <w:tcW w:w="1120" w:type="dxa"/>
            <w:vAlign w:val="bottom"/>
            <w:tcBorders>
              <w:bottom w:val="single" w:sz="8" w:color="BABABA"/>
            </w:tcBorders>
          </w:tcPr>
          <w:p>
            <w:pPr>
              <w:spacing w:after="0"/>
              <w:rPr>
                <w:sz w:val="4"/>
                <w:szCs w:val="4"/>
                <w:color w:val="auto"/>
              </w:rPr>
            </w:pPr>
          </w:p>
        </w:tc>
        <w:tc>
          <w:tcPr>
            <w:tcW w:w="840" w:type="dxa"/>
            <w:vAlign w:val="bottom"/>
            <w:tcBorders>
              <w:bottom w:val="single" w:sz="8" w:color="BABABA"/>
            </w:tcBorders>
          </w:tcPr>
          <w:p>
            <w:pPr>
              <w:spacing w:after="0"/>
              <w:rPr>
                <w:sz w:val="4"/>
                <w:szCs w:val="4"/>
                <w:color w:val="auto"/>
              </w:rPr>
            </w:pPr>
          </w:p>
        </w:tc>
        <w:tc>
          <w:tcPr>
            <w:tcW w:w="120" w:type="dxa"/>
            <w:vAlign w:val="bottom"/>
            <w:tcBorders>
              <w:bottom w:val="single" w:sz="8" w:color="BABABA"/>
              <w:right w:val="single" w:sz="8" w:color="BABABA"/>
            </w:tcBorders>
          </w:tcPr>
          <w:p>
            <w:pPr>
              <w:spacing w:after="0"/>
              <w:rPr>
                <w:sz w:val="4"/>
                <w:szCs w:val="4"/>
                <w:color w:val="auto"/>
              </w:rPr>
            </w:pPr>
          </w:p>
        </w:tc>
        <w:tc>
          <w:tcPr>
            <w:tcW w:w="1280" w:type="dxa"/>
            <w:vAlign w:val="bottom"/>
            <w:tcBorders>
              <w:bottom w:val="single" w:sz="8" w:color="BABABA"/>
            </w:tcBorders>
          </w:tcPr>
          <w:p>
            <w:pPr>
              <w:spacing w:after="0"/>
              <w:rPr>
                <w:sz w:val="4"/>
                <w:szCs w:val="4"/>
                <w:color w:val="auto"/>
              </w:rPr>
            </w:pPr>
          </w:p>
        </w:tc>
        <w:tc>
          <w:tcPr>
            <w:tcW w:w="960" w:type="dxa"/>
            <w:vAlign w:val="bottom"/>
            <w:tcBorders>
              <w:bottom w:val="single" w:sz="8" w:color="BABABA"/>
              <w:right w:val="single" w:sz="8" w:color="BABABA"/>
            </w:tcBorders>
          </w:tcPr>
          <w:p>
            <w:pPr>
              <w:spacing w:after="0"/>
              <w:rPr>
                <w:sz w:val="4"/>
                <w:szCs w:val="4"/>
                <w:color w:val="auto"/>
              </w:rPr>
            </w:pPr>
          </w:p>
        </w:tc>
        <w:tc>
          <w:tcPr>
            <w:tcW w:w="400" w:type="dxa"/>
            <w:vAlign w:val="bottom"/>
            <w:tcBorders>
              <w:bottom w:val="single" w:sz="8" w:color="BABABA"/>
            </w:tcBorders>
          </w:tcPr>
          <w:p>
            <w:pPr>
              <w:spacing w:after="0"/>
              <w:rPr>
                <w:sz w:val="4"/>
                <w:szCs w:val="4"/>
                <w:color w:val="auto"/>
              </w:rPr>
            </w:pPr>
          </w:p>
        </w:tc>
        <w:tc>
          <w:tcPr>
            <w:tcW w:w="900" w:type="dxa"/>
            <w:vAlign w:val="bottom"/>
            <w:tcBorders>
              <w:bottom w:val="single" w:sz="8" w:color="BABABA"/>
            </w:tcBorders>
          </w:tcPr>
          <w:p>
            <w:pPr>
              <w:spacing w:after="0"/>
              <w:rPr>
                <w:sz w:val="4"/>
                <w:szCs w:val="4"/>
                <w:color w:val="auto"/>
              </w:rPr>
            </w:pPr>
          </w:p>
        </w:tc>
        <w:tc>
          <w:tcPr>
            <w:tcW w:w="980" w:type="dxa"/>
            <w:vAlign w:val="bottom"/>
            <w:tcBorders>
              <w:bottom w:val="single" w:sz="8" w:color="BABABA"/>
            </w:tcBorders>
          </w:tcPr>
          <w:p>
            <w:pPr>
              <w:spacing w:after="0"/>
              <w:rPr>
                <w:sz w:val="4"/>
                <w:szCs w:val="4"/>
                <w:color w:val="auto"/>
              </w:rPr>
            </w:pPr>
          </w:p>
        </w:tc>
      </w:tr>
      <w:tr>
        <w:trPr>
          <w:trHeight w:val="220"/>
        </w:trPr>
        <w:tc>
          <w:tcPr>
            <w:tcW w:w="1040" w:type="dxa"/>
            <w:vAlign w:val="bottom"/>
          </w:tcPr>
          <w:p>
            <w:pPr>
              <w:ind w:left="40"/>
              <w:spacing w:after="0"/>
              <w:rPr>
                <w:sz w:val="20"/>
                <w:szCs w:val="20"/>
                <w:color w:val="auto"/>
              </w:rPr>
            </w:pPr>
            <w:r>
              <w:rPr>
                <w:rFonts w:ascii="Arial" w:cs="Arial" w:eastAsia="Arial" w:hAnsi="Arial"/>
                <w:sz w:val="17"/>
                <w:szCs w:val="17"/>
                <w:b w:val="1"/>
                <w:bCs w:val="1"/>
                <w:color w:val="auto"/>
                <w:w w:val="90"/>
              </w:rPr>
              <w:t>Consolidated</w:t>
            </w:r>
          </w:p>
        </w:tc>
        <w:tc>
          <w:tcPr>
            <w:tcW w:w="298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7"/>
                <w:szCs w:val="17"/>
                <w:b w:val="1"/>
                <w:bCs w:val="1"/>
                <w:color w:val="auto"/>
              </w:rPr>
              <w:t>$958.4</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-3.3%</w:t>
            </w:r>
          </w:p>
        </w:tc>
        <w:tc>
          <w:tcPr>
            <w:tcW w:w="140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$1,112.3</w:t>
            </w:r>
          </w:p>
        </w:tc>
        <w:tc>
          <w:tcPr>
            <w:tcW w:w="960" w:type="dxa"/>
            <w:vAlign w:val="bottom"/>
          </w:tcPr>
          <w:p>
            <w:pPr>
              <w:jc w:val="right"/>
              <w:ind w:right="93"/>
              <w:spacing w:after="0"/>
              <w:rPr>
                <w:sz w:val="20"/>
                <w:szCs w:val="20"/>
                <w:color w:val="auto"/>
              </w:rPr>
            </w:pPr>
            <w:r>
              <w:rPr>
                <w:rFonts w:ascii="Arial" w:cs="Arial" w:eastAsia="Arial" w:hAnsi="Arial"/>
                <w:sz w:val="17"/>
                <w:szCs w:val="17"/>
                <w:b w:val="1"/>
                <w:bCs w:val="1"/>
                <w:color w:val="auto"/>
              </w:rPr>
              <w:t>17.1%</w:t>
            </w:r>
          </w:p>
        </w:tc>
        <w:tc>
          <w:tcPr>
            <w:tcW w:w="40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b w:val="1"/>
                <w:bCs w:val="1"/>
                <w:color w:val="auto"/>
                <w:w w:val="90"/>
              </w:rPr>
              <w:t>$1,412.0</w:t>
            </w:r>
          </w:p>
        </w:tc>
        <w:tc>
          <w:tcPr>
            <w:tcW w:w="980" w:type="dxa"/>
            <w:vAlign w:val="bottom"/>
          </w:tcPr>
          <w:p>
            <w:pPr>
              <w:jc w:val="right"/>
              <w:ind w:right="93"/>
              <w:spacing w:after="0"/>
              <w:rPr>
                <w:sz w:val="20"/>
                <w:szCs w:val="20"/>
                <w:color w:val="auto"/>
              </w:rPr>
            </w:pPr>
            <w:r>
              <w:rPr>
                <w:rFonts w:ascii="Arial" w:cs="Arial" w:eastAsia="Arial" w:hAnsi="Arial"/>
                <w:sz w:val="17"/>
                <w:szCs w:val="17"/>
                <w:b w:val="1"/>
                <w:bCs w:val="1"/>
                <w:color w:val="auto"/>
              </w:rPr>
              <w:t>25.8%</w:t>
            </w:r>
          </w:p>
        </w:tc>
      </w:tr>
      <w:tr>
        <w:trPr>
          <w:trHeight w:val="506"/>
        </w:trPr>
        <w:tc>
          <w:tcPr>
            <w:tcW w:w="1040" w:type="dxa"/>
            <w:vAlign w:val="bottom"/>
          </w:tcPr>
          <w:p>
            <w:pPr>
              <w:ind w:left="700"/>
              <w:spacing w:after="0"/>
              <w:rPr>
                <w:sz w:val="20"/>
                <w:szCs w:val="20"/>
                <w:color w:val="auto"/>
              </w:rPr>
            </w:pPr>
            <w:r>
              <w:rPr>
                <w:rFonts w:ascii="Arial" w:cs="Arial" w:eastAsia="Arial" w:hAnsi="Arial"/>
                <w:sz w:val="17"/>
                <w:szCs w:val="17"/>
                <w:b w:val="1"/>
                <w:bCs w:val="1"/>
                <w:color w:val="auto"/>
              </w:rPr>
              <w:t>8</w:t>
            </w:r>
          </w:p>
        </w:tc>
        <w:tc>
          <w:tcPr>
            <w:tcW w:w="2980" w:type="dxa"/>
            <w:vAlign w:val="bottom"/>
          </w:tcPr>
          <w:p>
            <w:pPr>
              <w:ind w:left="20"/>
              <w:spacing w:after="0"/>
              <w:rPr>
                <w:sz w:val="20"/>
                <w:szCs w:val="20"/>
                <w:color w:val="auto"/>
              </w:rPr>
            </w:pPr>
            <w:r>
              <w:rPr>
                <w:rFonts w:ascii="Arial" w:cs="Arial" w:eastAsia="Arial" w:hAnsi="Arial"/>
                <w:sz w:val="28"/>
                <w:szCs w:val="28"/>
                <w:b w:val="1"/>
                <w:bCs w:val="1"/>
                <w:color w:val="FB4E0B"/>
              </w:rPr>
              <w:t xml:space="preserve">/  </w:t>
            </w:r>
            <w:r>
              <w:rPr>
                <w:rFonts w:ascii="Arial" w:cs="Arial" w:eastAsia="Arial" w:hAnsi="Arial"/>
                <w:sz w:val="13"/>
                <w:szCs w:val="13"/>
                <w:color w:val="000000"/>
              </w:rPr>
              <w:t>EXL 2023 Proxy Statement</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5328285" cy="6806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28285" cy="6806565"/>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260"/>
        <w:spacing w:after="0"/>
        <w:tabs>
          <w:tab w:leader="none" w:pos="10280" w:val="left"/>
          <w:tab w:leader="none" w:pos="106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4"/>
          <w:szCs w:val="14"/>
          <w:b w:val="1"/>
          <w:bCs w:val="1"/>
          <w:color w:val="auto"/>
        </w:rPr>
        <w:t>9</w:t>
      </w:r>
    </w:p>
    <w:p>
      <w:pPr>
        <w:sectPr>
          <w:pgSz w:w="11900" w:h="16838" w:orient="portrait"/>
          <w:cols w:equalWidth="0" w:num="1">
            <w:col w:w="10940"/>
          </w:cols>
          <w:pgMar w:left="320" w:top="473" w:right="6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5328285" cy="6806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28285"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139"/>
          </w:cols>
          <w:pgMar w:left="320" w:top="473" w:right="1440"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Total stockholder return</w:t>
      </w:r>
    </w:p>
    <w:p>
      <w:pPr>
        <w:spacing w:after="0" w:line="117"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The graphs below compare our 1-year, 3-year and 5-year cumulative total stockholder return (“TSR”) as of December 31, 2022 with the median TSR for companies comprising Nasdaq, S&amp;P 600 and our peer group.</w:t>
      </w:r>
    </w:p>
    <w:p>
      <w:pPr>
        <w:spacing w:after="0" w:line="179" w:lineRule="exact"/>
        <w:rPr>
          <w:sz w:val="20"/>
          <w:szCs w:val="20"/>
          <w:color w:val="auto"/>
        </w:rPr>
      </w:pPr>
    </w:p>
    <w:p>
      <w:pPr>
        <w:ind w:left="1740"/>
        <w:spacing w:after="0"/>
        <w:tabs>
          <w:tab w:leader="none" w:pos="5400" w:val="left"/>
          <w:tab w:leader="none" w:pos="8840" w:val="left"/>
        </w:tabs>
        <w:rPr>
          <w:sz w:val="20"/>
          <w:szCs w:val="20"/>
          <w:color w:val="auto"/>
        </w:rPr>
      </w:pPr>
      <w:r>
        <w:rPr>
          <w:rFonts w:ascii="Arial" w:cs="Arial" w:eastAsia="Arial" w:hAnsi="Arial"/>
          <w:sz w:val="17"/>
          <w:szCs w:val="17"/>
          <w:b w:val="1"/>
          <w:bCs w:val="1"/>
          <w:color w:val="auto"/>
        </w:rPr>
        <w:t>1-Year TSR</w:t>
      </w:r>
      <w:r>
        <w:rPr>
          <w:sz w:val="20"/>
          <w:szCs w:val="20"/>
          <w:color w:val="auto"/>
        </w:rPr>
        <w:tab/>
      </w:r>
      <w:r>
        <w:rPr>
          <w:rFonts w:ascii="Arial" w:cs="Arial" w:eastAsia="Arial" w:hAnsi="Arial"/>
          <w:sz w:val="17"/>
          <w:szCs w:val="17"/>
          <w:b w:val="1"/>
          <w:bCs w:val="1"/>
          <w:color w:val="auto"/>
        </w:rPr>
        <w:t>3-Year TSR</w:t>
      </w:r>
      <w:r>
        <w:rPr>
          <w:sz w:val="20"/>
          <w:szCs w:val="20"/>
          <w:color w:val="auto"/>
        </w:rPr>
        <w:tab/>
      </w:r>
      <w:r>
        <w:rPr>
          <w:rFonts w:ascii="Arial" w:cs="Arial" w:eastAsia="Arial" w:hAnsi="Arial"/>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168275</wp:posOffset>
            </wp:positionV>
            <wp:extent cx="6146165" cy="1255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4616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000" w:type="dxa"/>
        <w:tblCellMar>
          <w:top w:w="0" w:type="dxa"/>
          <w:left w:w="0" w:type="dxa"/>
          <w:bottom w:w="0" w:type="dxa"/>
          <w:right w:w="0" w:type="dxa"/>
        </w:tblCellMar>
      </w:tblPr>
      <w:tr>
        <w:trPr>
          <w:trHeight w:val="361"/>
        </w:trPr>
        <w:tc>
          <w:tcPr>
            <w:tcW w:w="1900" w:type="dxa"/>
            <w:vAlign w:val="bottom"/>
          </w:tcPr>
          <w:p>
            <w:pPr>
              <w:spacing w:after="0"/>
              <w:rPr>
                <w:sz w:val="20"/>
                <w:szCs w:val="20"/>
                <w:color w:val="auto"/>
              </w:rPr>
            </w:pPr>
            <w:r>
              <w:rPr>
                <w:rFonts w:ascii="Arial" w:cs="Arial" w:eastAsia="Arial" w:hAnsi="Arial"/>
                <w:sz w:val="13"/>
                <w:szCs w:val="13"/>
                <w:color w:val="auto"/>
              </w:rPr>
              <w:t>EXL 2023 Proxy Statement</w:t>
            </w:r>
            <w:r>
              <w:rPr>
                <w:rFonts w:ascii="Arial" w:cs="Arial" w:eastAsia="Arial" w:hAnsi="Arial"/>
                <w:sz w:val="28"/>
                <w:szCs w:val="28"/>
                <w:b w:val="1"/>
                <w:bCs w:val="1"/>
                <w:color w:val="FB4E0B"/>
              </w:rPr>
              <w:t>/</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11</w:t>
            </w:r>
          </w:p>
        </w:tc>
      </w:tr>
    </w:tbl>
    <w:p>
      <w:pPr>
        <w:sectPr>
          <w:pgSz w:w="11900" w:h="16838" w:orient="portrait"/>
          <w:cols w:equalWidth="0" w:num="1">
            <w:col w:w="10940"/>
          </w:cols>
          <w:pgMar w:left="320" w:top="473" w:right="6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2023 Proxy Statement summary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Corporate governance highlights</w:t>
      </w:r>
    </w:p>
    <w:p>
      <w:pPr>
        <w:spacing w:after="0" w:line="117"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The following information is based on our board profile immediately following our Annual Meeting (assuming the election of our seven director nominees), and reflects current 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4708525" cy="6014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08525" cy="601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360"/>
          </w:cols>
          <w:pgMar w:left="320" w:top="473" w:right="12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5006340" cy="6740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06340" cy="6740525"/>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13</w:t>
      </w:r>
    </w:p>
    <w:p>
      <w:pPr>
        <w:sectPr>
          <w:pgSz w:w="11900" w:h="16838" w:orient="portrait"/>
          <w:cols w:equalWidth="0" w:num="1">
            <w:col w:w="10940"/>
          </w:cols>
          <w:pgMar w:left="320" w:top="473" w:right="6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2023 Proxy Statement summary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Nominees for election as directors</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720" w:type="dxa"/>
            <w:vAlign w:val="bottom"/>
          </w:tcPr>
          <w:p>
            <w:pPr>
              <w:spacing w:after="0"/>
              <w:rPr>
                <w:sz w:val="18"/>
                <w:szCs w:val="18"/>
                <w:color w:val="auto"/>
              </w:rPr>
            </w:pPr>
          </w:p>
        </w:tc>
        <w:tc>
          <w:tcPr>
            <w:tcW w:w="1500" w:type="dxa"/>
            <w:vAlign w:val="bottom"/>
          </w:tcPr>
          <w:p>
            <w:pPr>
              <w:jc w:val="center"/>
              <w:ind w:left="1"/>
              <w:spacing w:after="0"/>
              <w:rPr>
                <w:sz w:val="20"/>
                <w:szCs w:val="20"/>
                <w:color w:val="auto"/>
              </w:rPr>
            </w:pPr>
            <w:r>
              <w:rPr>
                <w:rFonts w:ascii="Arial" w:cs="Arial" w:eastAsia="Arial" w:hAnsi="Arial"/>
                <w:sz w:val="17"/>
                <w:szCs w:val="17"/>
                <w:b w:val="1"/>
                <w:bCs w:val="1"/>
                <w:color w:val="FB4E0B"/>
                <w:w w:val="95"/>
              </w:rPr>
              <w:t>Director</w:t>
            </w:r>
          </w:p>
        </w:tc>
        <w:tc>
          <w:tcPr>
            <w:tcW w:w="5080" w:type="dxa"/>
            <w:vAlign w:val="bottom"/>
          </w:tcPr>
          <w:p>
            <w:pPr>
              <w:spacing w:after="0"/>
              <w:rPr>
                <w:sz w:val="18"/>
                <w:szCs w:val="18"/>
                <w:color w:val="auto"/>
              </w:rPr>
            </w:pPr>
          </w:p>
        </w:tc>
        <w:tc>
          <w:tcPr>
            <w:tcW w:w="2320" w:type="dxa"/>
            <w:vAlign w:val="bottom"/>
          </w:tcPr>
          <w:p>
            <w:pPr>
              <w:ind w:left="800"/>
              <w:spacing w:after="0"/>
              <w:rPr>
                <w:sz w:val="20"/>
                <w:szCs w:val="20"/>
                <w:color w:val="auto"/>
              </w:rPr>
            </w:pPr>
            <w:r>
              <w:rPr>
                <w:rFonts w:ascii="Arial" w:cs="Arial" w:eastAsia="Arial" w:hAnsi="Arial"/>
                <w:sz w:val="17"/>
                <w:szCs w:val="17"/>
                <w:b w:val="1"/>
                <w:bCs w:val="1"/>
                <w:color w:val="FB4E0B"/>
              </w:rPr>
              <w:t>Committee</w:t>
            </w:r>
          </w:p>
        </w:tc>
      </w:tr>
      <w:tr>
        <w:trPr>
          <w:trHeight w:val="227"/>
        </w:trPr>
        <w:tc>
          <w:tcPr>
            <w:tcW w:w="1720" w:type="dxa"/>
            <w:vAlign w:val="bottom"/>
          </w:tcPr>
          <w:p>
            <w:pPr>
              <w:jc w:val="center"/>
              <w:spacing w:after="0"/>
              <w:rPr>
                <w:sz w:val="20"/>
                <w:szCs w:val="20"/>
                <w:color w:val="auto"/>
              </w:rPr>
            </w:pPr>
            <w:r>
              <w:rPr>
                <w:rFonts w:ascii="Arial" w:cs="Arial" w:eastAsia="Arial" w:hAnsi="Arial"/>
                <w:sz w:val="17"/>
                <w:szCs w:val="17"/>
                <w:b w:val="1"/>
                <w:bCs w:val="1"/>
                <w:color w:val="FB4E0B"/>
                <w:w w:val="90"/>
              </w:rPr>
              <w:t>Name</w:t>
            </w:r>
          </w:p>
        </w:tc>
        <w:tc>
          <w:tcPr>
            <w:tcW w:w="1500" w:type="dxa"/>
            <w:vAlign w:val="bottom"/>
          </w:tcPr>
          <w:p>
            <w:pPr>
              <w:jc w:val="center"/>
              <w:ind w:left="1"/>
              <w:spacing w:after="0"/>
              <w:rPr>
                <w:sz w:val="20"/>
                <w:szCs w:val="20"/>
                <w:color w:val="auto"/>
              </w:rPr>
            </w:pPr>
            <w:r>
              <w:rPr>
                <w:rFonts w:ascii="Arial" w:cs="Arial" w:eastAsia="Arial" w:hAnsi="Arial"/>
                <w:sz w:val="17"/>
                <w:szCs w:val="17"/>
                <w:b w:val="1"/>
                <w:bCs w:val="1"/>
                <w:color w:val="FB4E0B"/>
                <w:w w:val="87"/>
              </w:rPr>
              <w:t>since</w:t>
            </w:r>
          </w:p>
        </w:tc>
        <w:tc>
          <w:tcPr>
            <w:tcW w:w="5080" w:type="dxa"/>
            <w:vAlign w:val="bottom"/>
          </w:tcPr>
          <w:p>
            <w:pPr>
              <w:ind w:left="1780"/>
              <w:spacing w:after="0"/>
              <w:rPr>
                <w:sz w:val="20"/>
                <w:szCs w:val="20"/>
                <w:color w:val="auto"/>
              </w:rPr>
            </w:pPr>
            <w:r>
              <w:rPr>
                <w:rFonts w:ascii="Arial" w:cs="Arial" w:eastAsia="Arial" w:hAnsi="Arial"/>
                <w:sz w:val="17"/>
                <w:szCs w:val="17"/>
                <w:b w:val="1"/>
                <w:bCs w:val="1"/>
                <w:color w:val="FB4E0B"/>
              </w:rPr>
              <w:t>Business Experience*</w:t>
            </w:r>
          </w:p>
        </w:tc>
        <w:tc>
          <w:tcPr>
            <w:tcW w:w="2320" w:type="dxa"/>
            <w:vAlign w:val="bottom"/>
          </w:tcPr>
          <w:p>
            <w:pPr>
              <w:ind w:left="740"/>
              <w:spacing w:after="0"/>
              <w:rPr>
                <w:sz w:val="20"/>
                <w:szCs w:val="20"/>
                <w:color w:val="auto"/>
              </w:rPr>
            </w:pPr>
            <w:r>
              <w:rPr>
                <w:rFonts w:ascii="Arial" w:cs="Arial" w:eastAsia="Arial" w:hAnsi="Arial"/>
                <w:sz w:val="17"/>
                <w:szCs w:val="17"/>
                <w:b w:val="1"/>
                <w:bCs w:val="1"/>
                <w:color w:val="FB4E0B"/>
              </w:rPr>
              <w:t>membership</w:t>
            </w:r>
          </w:p>
        </w:tc>
      </w:tr>
      <w:tr>
        <w:trPr>
          <w:trHeight w:val="71"/>
        </w:trPr>
        <w:tc>
          <w:tcPr>
            <w:tcW w:w="1720" w:type="dxa"/>
            <w:vAlign w:val="bottom"/>
            <w:tcBorders>
              <w:bottom w:val="single" w:sz="8" w:color="FB4E0B"/>
            </w:tcBorders>
          </w:tcPr>
          <w:p>
            <w:pPr>
              <w:spacing w:after="0"/>
              <w:rPr>
                <w:sz w:val="6"/>
                <w:szCs w:val="6"/>
                <w:color w:val="auto"/>
              </w:rPr>
            </w:pPr>
          </w:p>
        </w:tc>
        <w:tc>
          <w:tcPr>
            <w:tcW w:w="1500" w:type="dxa"/>
            <w:vAlign w:val="bottom"/>
            <w:tcBorders>
              <w:bottom w:val="single" w:sz="8" w:color="FB4E0B"/>
            </w:tcBorders>
          </w:tcPr>
          <w:p>
            <w:pPr>
              <w:spacing w:after="0"/>
              <w:rPr>
                <w:sz w:val="6"/>
                <w:szCs w:val="6"/>
                <w:color w:val="auto"/>
              </w:rPr>
            </w:pPr>
          </w:p>
        </w:tc>
        <w:tc>
          <w:tcPr>
            <w:tcW w:w="5080" w:type="dxa"/>
            <w:vAlign w:val="bottom"/>
            <w:tcBorders>
              <w:bottom w:val="single" w:sz="8" w:color="FB4E0B"/>
            </w:tcBorders>
          </w:tcPr>
          <w:p>
            <w:pPr>
              <w:spacing w:after="0"/>
              <w:rPr>
                <w:sz w:val="6"/>
                <w:szCs w:val="6"/>
                <w:color w:val="auto"/>
              </w:rPr>
            </w:pPr>
          </w:p>
        </w:tc>
        <w:tc>
          <w:tcPr>
            <w:tcW w:w="2320" w:type="dxa"/>
            <w:vAlign w:val="bottom"/>
            <w:tcBorders>
              <w:bottom w:val="single" w:sz="8" w:color="FB4E0B"/>
            </w:tcBorders>
          </w:tcPr>
          <w:p>
            <w:pPr>
              <w:spacing w:after="0"/>
              <w:rPr>
                <w:sz w:val="6"/>
                <w:szCs w:val="6"/>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7"/>
              </w:rPr>
              <w:t>October</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2"/>
              </w:rPr>
              <w:t>Chairman and Chief Executive Officer of Orogen Group; former Chairman of</w:t>
            </w:r>
          </w:p>
        </w:tc>
        <w:tc>
          <w:tcPr>
            <w:tcW w:w="2320" w:type="dxa"/>
            <w:vAlign w:val="bottom"/>
          </w:tcPr>
          <w:p>
            <w:pPr>
              <w:ind w:left="80"/>
              <w:spacing w:after="0"/>
              <w:rPr>
                <w:sz w:val="20"/>
                <w:szCs w:val="20"/>
                <w:color w:val="auto"/>
              </w:rPr>
            </w:pPr>
            <w:r>
              <w:rPr>
                <w:rFonts w:ascii="Arial" w:cs="Arial" w:eastAsia="Arial" w:hAnsi="Arial"/>
                <w:sz w:val="16"/>
                <w:szCs w:val="16"/>
                <w:color w:val="auto"/>
              </w:rPr>
              <w:t>Compensation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2018</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TGG Group and former Chief Executive Officer of Citigroup Inc.</w:t>
            </w:r>
          </w:p>
        </w:tc>
        <w:tc>
          <w:tcPr>
            <w:tcW w:w="2320" w:type="dxa"/>
            <w:vAlign w:val="bottom"/>
          </w:tcPr>
          <w:p>
            <w:pPr>
              <w:ind w:left="80"/>
              <w:spacing w:after="0"/>
              <w:rPr>
                <w:sz w:val="20"/>
                <w:szCs w:val="20"/>
                <w:color w:val="auto"/>
              </w:rPr>
            </w:pPr>
            <w:r>
              <w:rPr>
                <w:rFonts w:ascii="Arial" w:cs="Arial" w:eastAsia="Arial" w:hAnsi="Arial"/>
                <w:sz w:val="16"/>
                <w:szCs w:val="16"/>
                <w:color w:val="auto"/>
              </w:rPr>
              <w:t>Management Committee;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Committee</w:t>
            </w:r>
          </w:p>
        </w:tc>
      </w:tr>
      <w:tr>
        <w:trPr>
          <w:trHeight w:val="438"/>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Vikram Pandit</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99"/>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9"/>
              </w:rPr>
              <w:t>Chairman</w:t>
            </w: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2320" w:type="dxa"/>
            <w:vAlign w:val="bottom"/>
          </w:tcPr>
          <w:p>
            <w:pPr>
              <w:spacing w:after="0"/>
              <w:rPr>
                <w:sz w:val="17"/>
                <w:szCs w:val="17"/>
                <w:color w:val="auto"/>
              </w:rPr>
            </w:pPr>
          </w:p>
        </w:tc>
      </w:tr>
      <w:tr>
        <w:trPr>
          <w:trHeight w:val="84"/>
        </w:trPr>
        <w:tc>
          <w:tcPr>
            <w:tcW w:w="17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r>
        <w:trPr>
          <w:trHeight w:val="230"/>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November</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1"/>
              </w:rPr>
              <w:t>Co-founded the Company in 1999; Vice Chairman and CEO of the Company</w:t>
            </w:r>
          </w:p>
        </w:tc>
        <w:tc>
          <w:tcPr>
            <w:tcW w:w="2320" w:type="dxa"/>
            <w:vAlign w:val="bottom"/>
          </w:tcPr>
          <w:p>
            <w:pPr>
              <w:ind w:left="80"/>
              <w:spacing w:after="0"/>
              <w:rPr>
                <w:sz w:val="20"/>
                <w:szCs w:val="20"/>
                <w:color w:val="auto"/>
              </w:rPr>
            </w:pPr>
            <w:r>
              <w:rPr>
                <w:rFonts w:ascii="Arial" w:cs="Arial" w:eastAsia="Arial" w:hAnsi="Arial"/>
                <w:sz w:val="16"/>
                <w:szCs w:val="16"/>
                <w:color w:val="auto"/>
              </w:rPr>
              <w:t>None</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2002</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2012</w:t>
            </w:r>
          </w:p>
        </w:tc>
        <w:tc>
          <w:tcPr>
            <w:tcW w:w="2320" w:type="dxa"/>
            <w:vAlign w:val="bottom"/>
          </w:tcPr>
          <w:p>
            <w:pPr>
              <w:spacing w:after="0"/>
              <w:rPr>
                <w:sz w:val="17"/>
                <w:szCs w:val="17"/>
                <w:color w:val="auto"/>
              </w:rPr>
            </w:pPr>
          </w:p>
        </w:tc>
      </w:tr>
      <w:tr>
        <w:trPr>
          <w:trHeight w:val="829"/>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Rohit Kapoor</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99"/>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8"/>
              </w:rPr>
              <w:t>Vice Chairman</w:t>
            </w: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2320" w:type="dxa"/>
            <w:vAlign w:val="bottom"/>
          </w:tcPr>
          <w:p>
            <w:pPr>
              <w:spacing w:after="0"/>
              <w:rPr>
                <w:sz w:val="17"/>
                <w:szCs w:val="17"/>
                <w:color w:val="auto"/>
              </w:rPr>
            </w:pPr>
          </w:p>
        </w:tc>
      </w:tr>
      <w:tr>
        <w:trPr>
          <w:trHeight w:val="84"/>
        </w:trPr>
        <w:tc>
          <w:tcPr>
            <w:tcW w:w="17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r>
        <w:trPr>
          <w:trHeight w:val="230"/>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January 2023</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Former Chairman and CEO of International Flavors &amp; Fragrances</w:t>
            </w:r>
          </w:p>
        </w:tc>
        <w:tc>
          <w:tcPr>
            <w:tcW w:w="2320" w:type="dxa"/>
            <w:vAlign w:val="bottom"/>
          </w:tcPr>
          <w:p>
            <w:pPr>
              <w:ind w:left="80"/>
              <w:spacing w:after="0"/>
              <w:rPr>
                <w:sz w:val="20"/>
                <w:szCs w:val="20"/>
                <w:color w:val="auto"/>
              </w:rPr>
            </w:pPr>
            <w:r>
              <w:rPr>
                <w:rFonts w:ascii="Arial" w:cs="Arial" w:eastAsia="Arial" w:hAnsi="Arial"/>
                <w:sz w:val="16"/>
                <w:szCs w:val="16"/>
                <w:color w:val="auto"/>
                <w:w w:val="92"/>
              </w:rPr>
              <w:t>Audit Committee; Nominating and</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Governance Committee</w:t>
            </w:r>
          </w:p>
        </w:tc>
      </w:tr>
      <w:tr>
        <w:trPr>
          <w:trHeight w:val="833"/>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Andreas Fibig</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84"/>
        </w:trPr>
        <w:tc>
          <w:tcPr>
            <w:tcW w:w="17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r>
        <w:trPr>
          <w:trHeight w:val="230"/>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December</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1"/>
              </w:rPr>
              <w:t>Former Chairman and President of NASSCOM; various corporate leadership</w:t>
            </w:r>
          </w:p>
        </w:tc>
        <w:tc>
          <w:tcPr>
            <w:tcW w:w="2320" w:type="dxa"/>
            <w:vAlign w:val="bottom"/>
          </w:tcPr>
          <w:p>
            <w:pPr>
              <w:ind w:left="80"/>
              <w:spacing w:after="0"/>
              <w:rPr>
                <w:sz w:val="20"/>
                <w:szCs w:val="20"/>
                <w:color w:val="auto"/>
              </w:rPr>
            </w:pPr>
            <w:r>
              <w:rPr>
                <w:rFonts w:ascii="Arial" w:cs="Arial" w:eastAsia="Arial" w:hAnsi="Arial"/>
                <w:sz w:val="16"/>
                <w:szCs w:val="16"/>
                <w:color w:val="auto"/>
              </w:rPr>
              <w:t>Compensation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2013</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roles in the IT industry including at Wipro, Compaq,</w:t>
            </w:r>
          </w:p>
        </w:tc>
        <w:tc>
          <w:tcPr>
            <w:tcW w:w="2320" w:type="dxa"/>
            <w:vAlign w:val="bottom"/>
          </w:tcPr>
          <w:p>
            <w:pPr>
              <w:ind w:left="80"/>
              <w:spacing w:after="0"/>
              <w:rPr>
                <w:sz w:val="20"/>
                <w:szCs w:val="20"/>
                <w:color w:val="auto"/>
              </w:rPr>
            </w:pPr>
            <w:r>
              <w:rPr>
                <w:rFonts w:ascii="Arial" w:cs="Arial" w:eastAsia="Arial" w:hAnsi="Arial"/>
                <w:sz w:val="16"/>
                <w:szCs w:val="16"/>
                <w:color w:val="auto"/>
              </w:rPr>
              <w:t>Management Committee;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Digital and HP</w:t>
            </w:r>
          </w:p>
        </w:tc>
        <w:tc>
          <w:tcPr>
            <w:tcW w:w="232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Committee</w:t>
            </w:r>
          </w:p>
        </w:tc>
      </w:tr>
      <w:tr>
        <w:trPr>
          <w:trHeight w:val="442"/>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Som Mittal</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84"/>
        </w:trPr>
        <w:tc>
          <w:tcPr>
            <w:tcW w:w="17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r>
        <w:trPr>
          <w:trHeight w:val="230"/>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4"/>
              </w:rPr>
              <w:t>January</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0"/>
              </w:rPr>
              <w:t>Former Chief Financial Officer of Deloitte Consulting; various leadership roles</w:t>
            </w:r>
          </w:p>
        </w:tc>
        <w:tc>
          <w:tcPr>
            <w:tcW w:w="2320" w:type="dxa"/>
            <w:vAlign w:val="bottom"/>
          </w:tcPr>
          <w:p>
            <w:pPr>
              <w:ind w:left="80"/>
              <w:spacing w:after="0"/>
              <w:rPr>
                <w:sz w:val="20"/>
                <w:szCs w:val="20"/>
                <w:color w:val="auto"/>
              </w:rPr>
            </w:pPr>
            <w:r>
              <w:rPr>
                <w:rFonts w:ascii="Arial" w:cs="Arial" w:eastAsia="Arial" w:hAnsi="Arial"/>
                <w:sz w:val="16"/>
                <w:szCs w:val="16"/>
                <w:color w:val="auto"/>
              </w:rPr>
              <w:t>Audit Committee (Chair);</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2021</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2"/>
              </w:rPr>
              <w:t>in the financial services industry, including at Transamerica Life Companies</w:t>
            </w:r>
          </w:p>
        </w:tc>
        <w:tc>
          <w:tcPr>
            <w:tcW w:w="2320" w:type="dxa"/>
            <w:vAlign w:val="bottom"/>
          </w:tcPr>
          <w:p>
            <w:pPr>
              <w:ind w:left="80"/>
              <w:spacing w:after="0"/>
              <w:rPr>
                <w:sz w:val="20"/>
                <w:szCs w:val="20"/>
                <w:color w:val="auto"/>
              </w:rPr>
            </w:pPr>
            <w:r>
              <w:rPr>
                <w:rFonts w:ascii="Arial" w:cs="Arial" w:eastAsia="Arial" w:hAnsi="Arial"/>
                <w:sz w:val="16"/>
                <w:szCs w:val="16"/>
                <w:color w:val="auto"/>
              </w:rPr>
              <w:t>Compensation and Talent</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First Interstate Bank of California</w:t>
            </w:r>
          </w:p>
        </w:tc>
        <w:tc>
          <w:tcPr>
            <w:tcW w:w="2320" w:type="dxa"/>
            <w:vAlign w:val="bottom"/>
          </w:tcPr>
          <w:p>
            <w:pPr>
              <w:ind w:left="80"/>
              <w:spacing w:after="0"/>
              <w:rPr>
                <w:sz w:val="20"/>
                <w:szCs w:val="20"/>
                <w:color w:val="auto"/>
              </w:rPr>
            </w:pPr>
            <w:r>
              <w:rPr>
                <w:rFonts w:ascii="Arial" w:cs="Arial" w:eastAsia="Arial" w:hAnsi="Arial"/>
                <w:sz w:val="16"/>
                <w:szCs w:val="16"/>
                <w:color w:val="auto"/>
              </w:rPr>
              <w:t>Management Committee</w:t>
            </w:r>
          </w:p>
        </w:tc>
      </w:tr>
      <w:tr>
        <w:trPr>
          <w:trHeight w:val="637"/>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Kristy Pipes</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84"/>
        </w:trPr>
        <w:tc>
          <w:tcPr>
            <w:tcW w:w="17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r>
        <w:trPr>
          <w:trHeight w:val="230"/>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4"/>
              </w:rPr>
              <w:t>January</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3"/>
              </w:rPr>
              <w:t>Founder and Chief Executive Officer of Pharmacord, LLC; former President</w:t>
            </w:r>
          </w:p>
        </w:tc>
        <w:tc>
          <w:tcPr>
            <w:tcW w:w="232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2016</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CEO of Omnicare Inc.</w:t>
            </w:r>
          </w:p>
        </w:tc>
        <w:tc>
          <w:tcPr>
            <w:tcW w:w="2320" w:type="dxa"/>
            <w:vAlign w:val="bottom"/>
          </w:tcPr>
          <w:p>
            <w:pPr>
              <w:ind w:left="80"/>
              <w:spacing w:after="0"/>
              <w:rPr>
                <w:sz w:val="20"/>
                <w:szCs w:val="20"/>
                <w:color w:val="auto"/>
              </w:rPr>
            </w:pPr>
            <w:r>
              <w:rPr>
                <w:rFonts w:ascii="Arial" w:cs="Arial" w:eastAsia="Arial" w:hAnsi="Arial"/>
                <w:sz w:val="16"/>
                <w:szCs w:val="16"/>
                <w:color w:val="auto"/>
              </w:rPr>
              <w:t>Committee (Chair); Audit</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Committee</w:t>
            </w:r>
          </w:p>
        </w:tc>
      </w:tr>
      <w:tr>
        <w:trPr>
          <w:trHeight w:val="637"/>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Nitin Sahney</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84"/>
        </w:trPr>
        <w:tc>
          <w:tcPr>
            <w:tcW w:w="172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r>
        <w:trPr>
          <w:trHeight w:val="230"/>
        </w:trPr>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September</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0"/>
              </w:rPr>
              <w:t>Former Chief Operating Officer of Overture Services, Inc.; former President &amp;</w:t>
            </w:r>
          </w:p>
        </w:tc>
        <w:tc>
          <w:tcPr>
            <w:tcW w:w="2320" w:type="dxa"/>
            <w:vAlign w:val="bottom"/>
          </w:tcPr>
          <w:p>
            <w:pPr>
              <w:ind w:left="80"/>
              <w:spacing w:after="0"/>
              <w:rPr>
                <w:sz w:val="20"/>
                <w:szCs w:val="20"/>
                <w:color w:val="auto"/>
              </w:rPr>
            </w:pPr>
            <w:r>
              <w:rPr>
                <w:rFonts w:ascii="Arial" w:cs="Arial" w:eastAsia="Arial" w:hAnsi="Arial"/>
                <w:sz w:val="16"/>
                <w:szCs w:val="16"/>
                <w:color w:val="auto"/>
              </w:rPr>
              <w:t>Compensation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4"/>
              </w:rPr>
              <w:t>2018</w:t>
            </w: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Chief Operating Officer, PayMyBills; former Executive</w:t>
            </w:r>
          </w:p>
        </w:tc>
        <w:tc>
          <w:tcPr>
            <w:tcW w:w="2320" w:type="dxa"/>
            <w:vAlign w:val="bottom"/>
          </w:tcPr>
          <w:p>
            <w:pPr>
              <w:ind w:left="80"/>
              <w:spacing w:after="0"/>
              <w:rPr>
                <w:sz w:val="20"/>
                <w:szCs w:val="20"/>
                <w:color w:val="auto"/>
              </w:rPr>
            </w:pPr>
            <w:r>
              <w:rPr>
                <w:rFonts w:ascii="Arial" w:cs="Arial" w:eastAsia="Arial" w:hAnsi="Arial"/>
                <w:sz w:val="16"/>
                <w:szCs w:val="16"/>
                <w:color w:val="auto"/>
                <w:w w:val="95"/>
              </w:rPr>
              <w:t>Management Committee (Chair);</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87"/>
              </w:rPr>
              <w:t>Vice President and Head of Consumer and Business Banking for First Interstate</w:t>
            </w:r>
          </w:p>
        </w:tc>
        <w:tc>
          <w:tcPr>
            <w:tcW w:w="2320" w:type="dxa"/>
            <w:vAlign w:val="bottom"/>
          </w:tcPr>
          <w:p>
            <w:pPr>
              <w:ind w:left="80"/>
              <w:spacing w:after="0"/>
              <w:rPr>
                <w:sz w:val="20"/>
                <w:szCs w:val="20"/>
                <w:color w:val="auto"/>
              </w:rPr>
            </w:pPr>
            <w:r>
              <w:rPr>
                <w:rFonts w:ascii="Arial" w:cs="Arial" w:eastAsia="Arial" w:hAnsi="Arial"/>
                <w:sz w:val="16"/>
                <w:szCs w:val="16"/>
                <w:color w:val="auto"/>
              </w:rPr>
              <w:t>Audit Committee</w:t>
            </w:r>
          </w:p>
        </w:tc>
      </w:tr>
      <w:tr>
        <w:trPr>
          <w:trHeight w:val="199"/>
        </w:trPr>
        <w:tc>
          <w:tcPr>
            <w:tcW w:w="17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California</w:t>
            </w:r>
          </w:p>
        </w:tc>
        <w:tc>
          <w:tcPr>
            <w:tcW w:w="2320" w:type="dxa"/>
            <w:vAlign w:val="bottom"/>
          </w:tcPr>
          <w:p>
            <w:pPr>
              <w:spacing w:after="0"/>
              <w:rPr>
                <w:sz w:val="17"/>
                <w:szCs w:val="17"/>
                <w:color w:val="auto"/>
              </w:rPr>
            </w:pPr>
          </w:p>
        </w:tc>
      </w:tr>
      <w:tr>
        <w:trPr>
          <w:trHeight w:val="442"/>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Jaynie Studenmund</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29"/>
        </w:trPr>
        <w:tc>
          <w:tcPr>
            <w:tcW w:w="1720" w:type="dxa"/>
            <w:vAlign w:val="bottom"/>
            <w:tcBorders>
              <w:bottom w:val="single" w:sz="8" w:color="FB4E0B"/>
              <w:right w:val="single" w:sz="8" w:color="auto"/>
            </w:tcBorders>
          </w:tcPr>
          <w:p>
            <w:pPr>
              <w:spacing w:after="0"/>
              <w:rPr>
                <w:sz w:val="11"/>
                <w:szCs w:val="11"/>
                <w:color w:val="auto"/>
              </w:rPr>
            </w:pPr>
          </w:p>
        </w:tc>
        <w:tc>
          <w:tcPr>
            <w:tcW w:w="1500" w:type="dxa"/>
            <w:vAlign w:val="bottom"/>
            <w:tcBorders>
              <w:bottom w:val="single" w:sz="8" w:color="FB4E0B"/>
              <w:right w:val="single" w:sz="8" w:color="auto"/>
            </w:tcBorders>
          </w:tcPr>
          <w:p>
            <w:pPr>
              <w:spacing w:after="0"/>
              <w:rPr>
                <w:sz w:val="11"/>
                <w:szCs w:val="11"/>
                <w:color w:val="auto"/>
              </w:rPr>
            </w:pPr>
          </w:p>
        </w:tc>
        <w:tc>
          <w:tcPr>
            <w:tcW w:w="5080" w:type="dxa"/>
            <w:vAlign w:val="bottom"/>
            <w:tcBorders>
              <w:bottom w:val="single" w:sz="8" w:color="FB4E0B"/>
              <w:right w:val="single" w:sz="8" w:color="auto"/>
            </w:tcBorders>
          </w:tcPr>
          <w:p>
            <w:pPr>
              <w:spacing w:after="0"/>
              <w:rPr>
                <w:sz w:val="11"/>
                <w:szCs w:val="11"/>
                <w:color w:val="auto"/>
              </w:rPr>
            </w:pPr>
          </w:p>
        </w:tc>
        <w:tc>
          <w:tcPr>
            <w:tcW w:w="232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-6318885</wp:posOffset>
            </wp:positionV>
            <wp:extent cx="661035" cy="652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-5327650</wp:posOffset>
            </wp:positionV>
            <wp:extent cx="661035" cy="652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-4336415</wp:posOffset>
            </wp:positionV>
            <wp:extent cx="661035" cy="652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-3469005</wp:posOffset>
            </wp:positionV>
            <wp:extent cx="661035" cy="652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-2601595</wp:posOffset>
            </wp:positionV>
            <wp:extent cx="661035" cy="652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-1734185</wp:posOffset>
            </wp:positionV>
            <wp:extent cx="661035" cy="652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-866775</wp:posOffset>
            </wp:positionV>
            <wp:extent cx="661035" cy="652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035" cy="652780"/>
                    </a:xfrm>
                    <a:prstGeom prst="rect">
                      <a:avLst/>
                    </a:prstGeom>
                    <a:noFill/>
                  </pic:spPr>
                </pic:pic>
              </a:graphicData>
            </a:graphic>
          </wp:anchor>
        </w:drawing>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A complete list of each nominee’s business experience and directorships is listed below beginning on page 20.</w:t>
      </w:r>
    </w:p>
    <w:p>
      <w:pPr>
        <w:spacing w:after="0" w:line="126"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Director nominees -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148590</wp:posOffset>
            </wp:positionV>
            <wp:extent cx="231140" cy="231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148590</wp:posOffset>
            </wp:positionV>
            <wp:extent cx="247650" cy="231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173355</wp:posOffset>
            </wp:positionV>
            <wp:extent cx="132080"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214630</wp:posOffset>
            </wp:positionV>
            <wp:extent cx="255905" cy="165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905" cy="16510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165100</wp:posOffset>
            </wp:positionV>
            <wp:extent cx="21463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165100</wp:posOffset>
            </wp:positionV>
            <wp:extent cx="239395"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395" cy="21463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140335</wp:posOffset>
            </wp:positionV>
            <wp:extent cx="239395" cy="239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148590</wp:posOffset>
            </wp:positionV>
            <wp:extent cx="231140" cy="231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165100</wp:posOffset>
            </wp:positionV>
            <wp:extent cx="23114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165100</wp:posOffset>
            </wp:positionV>
            <wp:extent cx="206375"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375" cy="21463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181610</wp:posOffset>
            </wp:positionV>
            <wp:extent cx="231140" cy="198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140" cy="198120"/>
                    </a:xfrm>
                    <a:prstGeom prst="rect">
                      <a:avLst/>
                    </a:prstGeom>
                    <a:noFill/>
                  </pic:spPr>
                </pic:pic>
              </a:graphicData>
            </a:graphic>
          </wp:anchor>
        </w:drawing>
        <w:drawing>
          <wp:anchor simplePos="0" relativeHeight="251657728" behindDoc="1" locked="0" layoutInCell="0" allowOverlap="1">
            <wp:simplePos x="0" y="0"/>
            <wp:positionH relativeFrom="column">
              <wp:posOffset>6627495</wp:posOffset>
            </wp:positionH>
            <wp:positionV relativeFrom="paragraph">
              <wp:posOffset>173355</wp:posOffset>
            </wp:positionV>
            <wp:extent cx="231140" cy="206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1200" w:type="dxa"/>
            <w:vAlign w:val="bottom"/>
          </w:tcPr>
          <w:p>
            <w:pPr>
              <w:spacing w:after="0"/>
              <w:rPr>
                <w:sz w:val="11"/>
                <w:szCs w:val="11"/>
                <w:color w:val="auto"/>
              </w:rPr>
            </w:pPr>
          </w:p>
        </w:tc>
        <w:tc>
          <w:tcPr>
            <w:tcW w:w="1380" w:type="dxa"/>
            <w:vAlign w:val="bottom"/>
          </w:tcPr>
          <w:p>
            <w:pPr>
              <w:jc w:val="center"/>
              <w:ind w:left="572"/>
              <w:spacing w:after="0"/>
              <w:rPr>
                <w:sz w:val="20"/>
                <w:szCs w:val="20"/>
                <w:color w:val="auto"/>
              </w:rPr>
            </w:pPr>
            <w:r>
              <w:rPr>
                <w:rFonts w:ascii="Arial" w:cs="Arial" w:eastAsia="Arial" w:hAnsi="Arial"/>
                <w:sz w:val="11"/>
                <w:szCs w:val="11"/>
                <w:b w:val="1"/>
                <w:bCs w:val="1"/>
                <w:color w:val="auto"/>
                <w:w w:val="91"/>
              </w:rPr>
              <w:t>Finance</w:t>
            </w:r>
          </w:p>
        </w:tc>
        <w:tc>
          <w:tcPr>
            <w:tcW w:w="7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0"/>
              </w:rPr>
              <w:t>Public</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Digital</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4"/>
              </w:rPr>
              <w:t>Risk</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Information</w:t>
            </w:r>
          </w:p>
        </w:tc>
        <w:tc>
          <w:tcPr>
            <w:tcW w:w="460" w:type="dxa"/>
            <w:vAlign w:val="bottom"/>
          </w:tcPr>
          <w:p>
            <w:pPr>
              <w:spacing w:after="0"/>
              <w:rPr>
                <w:sz w:val="11"/>
                <w:szCs w:val="11"/>
                <w:color w:val="auto"/>
              </w:rPr>
            </w:pPr>
          </w:p>
        </w:tc>
        <w:tc>
          <w:tcPr>
            <w:tcW w:w="720" w:type="dxa"/>
            <w:vAlign w:val="bottom"/>
          </w:tcPr>
          <w:p>
            <w:pPr>
              <w:jc w:val="center"/>
              <w:ind w:left="16"/>
              <w:spacing w:after="0"/>
              <w:rPr>
                <w:sz w:val="20"/>
                <w:szCs w:val="20"/>
                <w:color w:val="auto"/>
              </w:rPr>
            </w:pPr>
            <w:r>
              <w:rPr>
                <w:rFonts w:ascii="Arial" w:cs="Arial" w:eastAsia="Arial" w:hAnsi="Arial"/>
                <w:sz w:val="11"/>
                <w:szCs w:val="11"/>
                <w:b w:val="1"/>
                <w:bCs w:val="1"/>
                <w:color w:val="auto"/>
                <w:w w:val="93"/>
              </w:rPr>
              <w:t>Mergers</w:t>
            </w:r>
          </w:p>
        </w:tc>
      </w:tr>
      <w:tr>
        <w:trPr>
          <w:trHeight w:val="130"/>
        </w:trPr>
        <w:tc>
          <w:tcPr>
            <w:tcW w:w="1200" w:type="dxa"/>
            <w:vAlign w:val="bottom"/>
          </w:tcPr>
          <w:p>
            <w:pPr>
              <w:spacing w:after="0"/>
              <w:rPr>
                <w:sz w:val="11"/>
                <w:szCs w:val="11"/>
                <w:color w:val="auto"/>
              </w:rPr>
            </w:pPr>
          </w:p>
        </w:tc>
        <w:tc>
          <w:tcPr>
            <w:tcW w:w="1380" w:type="dxa"/>
            <w:vAlign w:val="bottom"/>
          </w:tcPr>
          <w:p>
            <w:pPr>
              <w:jc w:val="center"/>
              <w:ind w:left="572"/>
              <w:spacing w:after="0"/>
              <w:rPr>
                <w:sz w:val="20"/>
                <w:szCs w:val="20"/>
                <w:color w:val="auto"/>
              </w:rPr>
            </w:pPr>
            <w:r>
              <w:rPr>
                <w:rFonts w:ascii="Arial" w:cs="Arial" w:eastAsia="Arial" w:hAnsi="Arial"/>
                <w:sz w:val="11"/>
                <w:szCs w:val="11"/>
                <w:b w:val="1"/>
                <w:bCs w:val="1"/>
                <w:color w:val="auto"/>
                <w:w w:val="91"/>
              </w:rPr>
              <w:t>and</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9"/>
              </w:rPr>
              <w:t>Executive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1"/>
              </w:rPr>
              <w:t>company</w:t>
            </w:r>
          </w:p>
        </w:tc>
        <w:tc>
          <w:tcPr>
            <w:tcW w:w="58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3"/>
              </w:rPr>
              <w:t>Human capital</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8"/>
              </w:rPr>
              <w:t>operations</w:t>
            </w:r>
          </w:p>
        </w:tc>
        <w:tc>
          <w:tcPr>
            <w:tcW w:w="6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3"/>
              </w:rPr>
              <w:t>Global</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1"/>
              </w:rPr>
              <w:t>oversight and</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and cyber</w:t>
            </w:r>
          </w:p>
        </w:tc>
        <w:tc>
          <w:tcPr>
            <w:tcW w:w="460" w:type="dxa"/>
            <w:vAlign w:val="bottom"/>
          </w:tcPr>
          <w:p>
            <w:pPr>
              <w:spacing w:after="0"/>
              <w:rPr>
                <w:sz w:val="11"/>
                <w:szCs w:val="11"/>
                <w:color w:val="auto"/>
              </w:rPr>
            </w:pPr>
          </w:p>
        </w:tc>
        <w:tc>
          <w:tcPr>
            <w:tcW w:w="720" w:type="dxa"/>
            <w:vAlign w:val="bottom"/>
          </w:tcPr>
          <w:p>
            <w:pPr>
              <w:jc w:val="center"/>
              <w:ind w:left="16"/>
              <w:spacing w:after="0"/>
              <w:rPr>
                <w:sz w:val="20"/>
                <w:szCs w:val="20"/>
                <w:color w:val="auto"/>
              </w:rPr>
            </w:pPr>
            <w:r>
              <w:rPr>
                <w:rFonts w:ascii="Arial" w:cs="Arial" w:eastAsia="Arial" w:hAnsi="Arial"/>
                <w:sz w:val="11"/>
                <w:szCs w:val="11"/>
                <w:b w:val="1"/>
                <w:bCs w:val="1"/>
                <w:color w:val="auto"/>
              </w:rPr>
              <w:t>and</w:t>
            </w:r>
          </w:p>
        </w:tc>
      </w:tr>
      <w:tr>
        <w:trPr>
          <w:trHeight w:val="159"/>
        </w:trPr>
        <w:tc>
          <w:tcPr>
            <w:tcW w:w="1200" w:type="dxa"/>
            <w:vAlign w:val="bottom"/>
          </w:tcPr>
          <w:p>
            <w:pPr>
              <w:spacing w:after="0"/>
              <w:rPr>
                <w:sz w:val="13"/>
                <w:szCs w:val="13"/>
                <w:color w:val="auto"/>
              </w:rPr>
            </w:pPr>
          </w:p>
        </w:tc>
        <w:tc>
          <w:tcPr>
            <w:tcW w:w="1380" w:type="dxa"/>
            <w:vAlign w:val="bottom"/>
          </w:tcPr>
          <w:p>
            <w:pPr>
              <w:jc w:val="center"/>
              <w:ind w:left="572"/>
              <w:spacing w:after="0"/>
              <w:rPr>
                <w:sz w:val="20"/>
                <w:szCs w:val="20"/>
                <w:color w:val="auto"/>
              </w:rPr>
            </w:pPr>
            <w:r>
              <w:rPr>
                <w:rFonts w:ascii="Arial" w:cs="Arial" w:eastAsia="Arial" w:hAnsi="Arial"/>
                <w:sz w:val="11"/>
                <w:szCs w:val="11"/>
                <w:b w:val="1"/>
                <w:bCs w:val="1"/>
                <w:color w:val="auto"/>
                <w:w w:val="91"/>
              </w:rPr>
              <w:t>accounting</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0"/>
              </w:rPr>
              <w:t>leadership</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governance</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9"/>
              </w:rPr>
              <w:t>Analytics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1"/>
              </w:rPr>
              <w:t>management</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9"/>
              </w:rPr>
              <w:t>and solutions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9"/>
              </w:rPr>
              <w:t>Marketing</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0"/>
              </w:rPr>
              <w:t>experience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1"/>
              </w:rPr>
              <w:t>management</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9"/>
              </w:rPr>
              <w:t>security</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rPr>
              <w:t>ESG</w:t>
            </w:r>
          </w:p>
        </w:tc>
        <w:tc>
          <w:tcPr>
            <w:tcW w:w="720" w:type="dxa"/>
            <w:vAlign w:val="bottom"/>
          </w:tcPr>
          <w:p>
            <w:pPr>
              <w:jc w:val="center"/>
              <w:ind w:left="16"/>
              <w:spacing w:after="0"/>
              <w:rPr>
                <w:sz w:val="20"/>
                <w:szCs w:val="20"/>
                <w:color w:val="auto"/>
              </w:rPr>
            </w:pPr>
            <w:r>
              <w:rPr>
                <w:rFonts w:ascii="Arial" w:cs="Arial" w:eastAsia="Arial" w:hAnsi="Arial"/>
                <w:sz w:val="11"/>
                <w:szCs w:val="11"/>
                <w:b w:val="1"/>
                <w:bCs w:val="1"/>
                <w:color w:val="auto"/>
                <w:w w:val="87"/>
              </w:rPr>
              <w:t>acquisitions</w:t>
            </w:r>
          </w:p>
        </w:tc>
      </w:tr>
      <w:tr>
        <w:trPr>
          <w:trHeight w:val="63"/>
        </w:trPr>
        <w:tc>
          <w:tcPr>
            <w:tcW w:w="1200" w:type="dxa"/>
            <w:vAlign w:val="bottom"/>
            <w:tcBorders>
              <w:bottom w:val="single" w:sz="8" w:color="FB4E0B"/>
            </w:tcBorders>
          </w:tcPr>
          <w:p>
            <w:pPr>
              <w:spacing w:after="0"/>
              <w:rPr>
                <w:sz w:val="5"/>
                <w:szCs w:val="5"/>
                <w:color w:val="auto"/>
              </w:rPr>
            </w:pPr>
          </w:p>
        </w:tc>
        <w:tc>
          <w:tcPr>
            <w:tcW w:w="1380" w:type="dxa"/>
            <w:vAlign w:val="bottom"/>
            <w:tcBorders>
              <w:bottom w:val="single" w:sz="8" w:color="FB4E0B"/>
            </w:tcBorders>
          </w:tcPr>
          <w:p>
            <w:pPr>
              <w:spacing w:after="0"/>
              <w:rPr>
                <w:sz w:val="5"/>
                <w:szCs w:val="5"/>
                <w:color w:val="auto"/>
              </w:rPr>
            </w:pPr>
          </w:p>
        </w:tc>
        <w:tc>
          <w:tcPr>
            <w:tcW w:w="720" w:type="dxa"/>
            <w:vAlign w:val="bottom"/>
            <w:tcBorders>
              <w:bottom w:val="single" w:sz="8" w:color="FB4E0B"/>
            </w:tcBorders>
          </w:tcPr>
          <w:p>
            <w:pPr>
              <w:spacing w:after="0"/>
              <w:rPr>
                <w:sz w:val="5"/>
                <w:szCs w:val="5"/>
                <w:color w:val="auto"/>
              </w:rPr>
            </w:pPr>
          </w:p>
        </w:tc>
        <w:tc>
          <w:tcPr>
            <w:tcW w:w="760" w:type="dxa"/>
            <w:vAlign w:val="bottom"/>
            <w:tcBorders>
              <w:bottom w:val="single" w:sz="8" w:color="FB4E0B"/>
            </w:tcBorders>
          </w:tcPr>
          <w:p>
            <w:pPr>
              <w:spacing w:after="0"/>
              <w:rPr>
                <w:sz w:val="5"/>
                <w:szCs w:val="5"/>
                <w:color w:val="auto"/>
              </w:rPr>
            </w:pPr>
          </w:p>
        </w:tc>
        <w:tc>
          <w:tcPr>
            <w:tcW w:w="580" w:type="dxa"/>
            <w:vAlign w:val="bottom"/>
            <w:tcBorders>
              <w:bottom w:val="single" w:sz="8" w:color="FB4E0B"/>
            </w:tcBorders>
          </w:tcPr>
          <w:p>
            <w:pPr>
              <w:spacing w:after="0"/>
              <w:rPr>
                <w:sz w:val="5"/>
                <w:szCs w:val="5"/>
                <w:color w:val="auto"/>
              </w:rPr>
            </w:pPr>
          </w:p>
        </w:tc>
        <w:tc>
          <w:tcPr>
            <w:tcW w:w="940" w:type="dxa"/>
            <w:vAlign w:val="bottom"/>
            <w:tcBorders>
              <w:bottom w:val="single" w:sz="8" w:color="FB4E0B"/>
            </w:tcBorders>
          </w:tcPr>
          <w:p>
            <w:pPr>
              <w:spacing w:after="0"/>
              <w:rPr>
                <w:sz w:val="5"/>
                <w:szCs w:val="5"/>
                <w:color w:val="auto"/>
              </w:rPr>
            </w:pPr>
          </w:p>
        </w:tc>
        <w:tc>
          <w:tcPr>
            <w:tcW w:w="820" w:type="dxa"/>
            <w:vAlign w:val="bottom"/>
            <w:tcBorders>
              <w:bottom w:val="single" w:sz="8" w:color="FB4E0B"/>
            </w:tcBorders>
          </w:tcPr>
          <w:p>
            <w:pPr>
              <w:spacing w:after="0"/>
              <w:rPr>
                <w:sz w:val="5"/>
                <w:szCs w:val="5"/>
                <w:color w:val="auto"/>
              </w:rPr>
            </w:pPr>
          </w:p>
        </w:tc>
        <w:tc>
          <w:tcPr>
            <w:tcW w:w="680" w:type="dxa"/>
            <w:vAlign w:val="bottom"/>
            <w:tcBorders>
              <w:bottom w:val="single" w:sz="8" w:color="FB4E0B"/>
            </w:tcBorders>
          </w:tcPr>
          <w:p>
            <w:pPr>
              <w:spacing w:after="0"/>
              <w:rPr>
                <w:sz w:val="5"/>
                <w:szCs w:val="5"/>
                <w:color w:val="auto"/>
              </w:rPr>
            </w:pPr>
          </w:p>
        </w:tc>
        <w:tc>
          <w:tcPr>
            <w:tcW w:w="700" w:type="dxa"/>
            <w:vAlign w:val="bottom"/>
            <w:tcBorders>
              <w:bottom w:val="single" w:sz="8" w:color="FB4E0B"/>
            </w:tcBorders>
          </w:tcPr>
          <w:p>
            <w:pPr>
              <w:spacing w:after="0"/>
              <w:rPr>
                <w:sz w:val="5"/>
                <w:szCs w:val="5"/>
                <w:color w:val="auto"/>
              </w:rPr>
            </w:pPr>
          </w:p>
        </w:tc>
        <w:tc>
          <w:tcPr>
            <w:tcW w:w="860" w:type="dxa"/>
            <w:vAlign w:val="bottom"/>
            <w:tcBorders>
              <w:bottom w:val="single" w:sz="8" w:color="FB4E0B"/>
            </w:tcBorders>
          </w:tcPr>
          <w:p>
            <w:pPr>
              <w:spacing w:after="0"/>
              <w:rPr>
                <w:sz w:val="5"/>
                <w:szCs w:val="5"/>
                <w:color w:val="auto"/>
              </w:rPr>
            </w:pPr>
          </w:p>
        </w:tc>
        <w:tc>
          <w:tcPr>
            <w:tcW w:w="800" w:type="dxa"/>
            <w:vAlign w:val="bottom"/>
            <w:tcBorders>
              <w:bottom w:val="single" w:sz="8" w:color="FB4E0B"/>
            </w:tcBorders>
          </w:tcPr>
          <w:p>
            <w:pPr>
              <w:spacing w:after="0"/>
              <w:rPr>
                <w:sz w:val="5"/>
                <w:szCs w:val="5"/>
                <w:color w:val="auto"/>
              </w:rPr>
            </w:pPr>
          </w:p>
        </w:tc>
        <w:tc>
          <w:tcPr>
            <w:tcW w:w="460" w:type="dxa"/>
            <w:vAlign w:val="bottom"/>
            <w:tcBorders>
              <w:bottom w:val="single" w:sz="8" w:color="FB4E0B"/>
            </w:tcBorders>
          </w:tcPr>
          <w:p>
            <w:pPr>
              <w:spacing w:after="0"/>
              <w:rPr>
                <w:sz w:val="5"/>
                <w:szCs w:val="5"/>
                <w:color w:val="auto"/>
              </w:rPr>
            </w:pPr>
          </w:p>
        </w:tc>
        <w:tc>
          <w:tcPr>
            <w:tcW w:w="720" w:type="dxa"/>
            <w:vAlign w:val="bottom"/>
            <w:tcBorders>
              <w:bottom w:val="single" w:sz="8" w:color="FB4E0B"/>
            </w:tcBorders>
          </w:tcPr>
          <w:p>
            <w:pPr>
              <w:spacing w:after="0"/>
              <w:rPr>
                <w:sz w:val="5"/>
                <w:szCs w:val="5"/>
                <w:color w:val="auto"/>
              </w:rPr>
            </w:pPr>
          </w:p>
        </w:tc>
      </w:tr>
      <w:tr>
        <w:trPr>
          <w:trHeight w:val="238"/>
        </w:trPr>
        <w:tc>
          <w:tcPr>
            <w:tcW w:w="1200" w:type="dxa"/>
            <w:vAlign w:val="bottom"/>
          </w:tcPr>
          <w:p>
            <w:pPr>
              <w:spacing w:after="0"/>
              <w:rPr>
                <w:sz w:val="20"/>
                <w:szCs w:val="20"/>
                <w:color w:val="auto"/>
              </w:rPr>
            </w:pPr>
            <w:r>
              <w:rPr>
                <w:rFonts w:ascii="Arial" w:cs="Arial" w:eastAsia="Arial" w:hAnsi="Arial"/>
                <w:sz w:val="14"/>
                <w:szCs w:val="14"/>
                <w:b w:val="1"/>
                <w:bCs w:val="1"/>
                <w:color w:val="auto"/>
              </w:rPr>
              <w:t>Vikram Pandit</w:t>
            </w:r>
          </w:p>
        </w:tc>
        <w:tc>
          <w:tcPr>
            <w:tcW w:w="1380" w:type="dxa"/>
            <w:vAlign w:val="bottom"/>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center"/>
              <w:ind w:left="1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200" w:type="dxa"/>
            <w:vAlign w:val="bottom"/>
            <w:tcBorders>
              <w:bottom w:val="single" w:sz="8" w:color="B2B2B2"/>
            </w:tcBorders>
          </w:tcPr>
          <w:p>
            <w:pPr>
              <w:spacing w:after="0"/>
              <w:rPr>
                <w:sz w:val="4"/>
                <w:szCs w:val="4"/>
                <w:color w:val="auto"/>
              </w:rPr>
            </w:pPr>
          </w:p>
        </w:tc>
        <w:tc>
          <w:tcPr>
            <w:tcW w:w="13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82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4"/>
                <w:szCs w:val="14"/>
                <w:b w:val="1"/>
                <w:bCs w:val="1"/>
                <w:color w:val="auto"/>
              </w:rPr>
              <w:t>Rohit Kapoor</w:t>
            </w:r>
          </w:p>
        </w:tc>
        <w:tc>
          <w:tcPr>
            <w:tcW w:w="1380" w:type="dxa"/>
            <w:vAlign w:val="bottom"/>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center"/>
              <w:ind w:left="1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200" w:type="dxa"/>
            <w:vAlign w:val="bottom"/>
            <w:tcBorders>
              <w:bottom w:val="single" w:sz="8" w:color="B2B2B2"/>
            </w:tcBorders>
          </w:tcPr>
          <w:p>
            <w:pPr>
              <w:spacing w:after="0"/>
              <w:rPr>
                <w:sz w:val="4"/>
                <w:szCs w:val="4"/>
                <w:color w:val="auto"/>
              </w:rPr>
            </w:pPr>
          </w:p>
        </w:tc>
        <w:tc>
          <w:tcPr>
            <w:tcW w:w="13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82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4"/>
                <w:szCs w:val="14"/>
                <w:b w:val="1"/>
                <w:bCs w:val="1"/>
                <w:color w:val="auto"/>
              </w:rPr>
              <w:t>Andreas Fibig</w:t>
            </w:r>
          </w:p>
        </w:tc>
        <w:tc>
          <w:tcPr>
            <w:tcW w:w="13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spacing w:after="0"/>
              <w:rPr>
                <w:sz w:val="20"/>
                <w:szCs w:val="20"/>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spacing w:after="0"/>
              <w:rPr>
                <w:sz w:val="20"/>
                <w:szCs w:val="20"/>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1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200" w:type="dxa"/>
            <w:vAlign w:val="bottom"/>
            <w:tcBorders>
              <w:bottom w:val="single" w:sz="8" w:color="B2B2B2"/>
            </w:tcBorders>
          </w:tcPr>
          <w:p>
            <w:pPr>
              <w:spacing w:after="0"/>
              <w:rPr>
                <w:sz w:val="4"/>
                <w:szCs w:val="4"/>
                <w:color w:val="auto"/>
              </w:rPr>
            </w:pPr>
          </w:p>
        </w:tc>
        <w:tc>
          <w:tcPr>
            <w:tcW w:w="13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82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4"/>
                <w:szCs w:val="14"/>
                <w:b w:val="1"/>
                <w:bCs w:val="1"/>
                <w:color w:val="auto"/>
              </w:rPr>
              <w:t>Som Mittal</w:t>
            </w:r>
          </w:p>
        </w:tc>
        <w:tc>
          <w:tcPr>
            <w:tcW w:w="1380" w:type="dxa"/>
            <w:vAlign w:val="bottom"/>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spacing w:after="0"/>
              <w:rPr>
                <w:sz w:val="20"/>
                <w:szCs w:val="20"/>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20"/>
                <w:szCs w:val="20"/>
                <w:color w:val="auto"/>
              </w:rPr>
            </w:pPr>
          </w:p>
        </w:tc>
      </w:tr>
      <w:tr>
        <w:trPr>
          <w:trHeight w:val="48"/>
        </w:trPr>
        <w:tc>
          <w:tcPr>
            <w:tcW w:w="1200" w:type="dxa"/>
            <w:vAlign w:val="bottom"/>
            <w:tcBorders>
              <w:bottom w:val="single" w:sz="8" w:color="B2B2B2"/>
            </w:tcBorders>
          </w:tcPr>
          <w:p>
            <w:pPr>
              <w:spacing w:after="0"/>
              <w:rPr>
                <w:sz w:val="4"/>
                <w:szCs w:val="4"/>
                <w:color w:val="auto"/>
              </w:rPr>
            </w:pPr>
          </w:p>
        </w:tc>
        <w:tc>
          <w:tcPr>
            <w:tcW w:w="13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82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4"/>
                <w:szCs w:val="14"/>
                <w:b w:val="1"/>
                <w:bCs w:val="1"/>
                <w:color w:val="auto"/>
              </w:rPr>
              <w:t>Kristy Pipes</w:t>
            </w:r>
          </w:p>
        </w:tc>
        <w:tc>
          <w:tcPr>
            <w:tcW w:w="1380" w:type="dxa"/>
            <w:vAlign w:val="bottom"/>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8"/>
        </w:trPr>
        <w:tc>
          <w:tcPr>
            <w:tcW w:w="1200" w:type="dxa"/>
            <w:vAlign w:val="bottom"/>
            <w:tcBorders>
              <w:bottom w:val="single" w:sz="8" w:color="B2B2B2"/>
            </w:tcBorders>
          </w:tcPr>
          <w:p>
            <w:pPr>
              <w:spacing w:after="0"/>
              <w:rPr>
                <w:sz w:val="4"/>
                <w:szCs w:val="4"/>
                <w:color w:val="auto"/>
              </w:rPr>
            </w:pPr>
          </w:p>
        </w:tc>
        <w:tc>
          <w:tcPr>
            <w:tcW w:w="13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82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4"/>
                <w:szCs w:val="14"/>
                <w:b w:val="1"/>
                <w:bCs w:val="1"/>
                <w:color w:val="auto"/>
              </w:rPr>
              <w:t>Nitin Sahney</w:t>
            </w:r>
          </w:p>
        </w:tc>
        <w:tc>
          <w:tcPr>
            <w:tcW w:w="1380" w:type="dxa"/>
            <w:vAlign w:val="bottom"/>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center"/>
              <w:ind w:left="1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200" w:type="dxa"/>
            <w:vAlign w:val="bottom"/>
            <w:tcBorders>
              <w:bottom w:val="single" w:sz="8" w:color="B2B2B2"/>
            </w:tcBorders>
          </w:tcPr>
          <w:p>
            <w:pPr>
              <w:spacing w:after="0"/>
              <w:rPr>
                <w:sz w:val="4"/>
                <w:szCs w:val="4"/>
                <w:color w:val="auto"/>
              </w:rPr>
            </w:pPr>
          </w:p>
        </w:tc>
        <w:tc>
          <w:tcPr>
            <w:tcW w:w="13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82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4"/>
                <w:szCs w:val="14"/>
                <w:b w:val="1"/>
                <w:bCs w:val="1"/>
                <w:color w:val="auto"/>
                <w:w w:val="88"/>
              </w:rPr>
              <w:t>Jaynie Studenmund</w:t>
            </w:r>
          </w:p>
        </w:tc>
        <w:tc>
          <w:tcPr>
            <w:tcW w:w="1380" w:type="dxa"/>
            <w:vAlign w:val="bottom"/>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1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4"/>
        </w:trPr>
        <w:tc>
          <w:tcPr>
            <w:tcW w:w="2580" w:type="dxa"/>
            <w:vAlign w:val="bottom"/>
            <w:tcBorders>
              <w:bottom w:val="single" w:sz="8" w:color="FB4E0B"/>
            </w:tcBorders>
            <w:gridSpan w:val="2"/>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760" w:type="dxa"/>
            <w:vAlign w:val="bottom"/>
            <w:tcBorders>
              <w:bottom w:val="single" w:sz="8" w:color="FB4E0B"/>
            </w:tcBorders>
          </w:tcPr>
          <w:p>
            <w:pPr>
              <w:spacing w:after="0"/>
              <w:rPr>
                <w:sz w:val="4"/>
                <w:szCs w:val="4"/>
                <w:color w:val="auto"/>
              </w:rPr>
            </w:pPr>
          </w:p>
        </w:tc>
        <w:tc>
          <w:tcPr>
            <w:tcW w:w="580" w:type="dxa"/>
            <w:vAlign w:val="bottom"/>
            <w:tcBorders>
              <w:bottom w:val="single" w:sz="8" w:color="FB4E0B"/>
            </w:tcBorders>
          </w:tcPr>
          <w:p>
            <w:pPr>
              <w:spacing w:after="0"/>
              <w:rPr>
                <w:sz w:val="4"/>
                <w:szCs w:val="4"/>
                <w:color w:val="auto"/>
              </w:rPr>
            </w:pPr>
          </w:p>
        </w:tc>
        <w:tc>
          <w:tcPr>
            <w:tcW w:w="940" w:type="dxa"/>
            <w:vAlign w:val="bottom"/>
            <w:tcBorders>
              <w:bottom w:val="single" w:sz="8" w:color="FB4E0B"/>
            </w:tcBorders>
          </w:tcPr>
          <w:p>
            <w:pPr>
              <w:spacing w:after="0"/>
              <w:rPr>
                <w:sz w:val="4"/>
                <w:szCs w:val="4"/>
                <w:color w:val="auto"/>
              </w:rPr>
            </w:pPr>
          </w:p>
        </w:tc>
        <w:tc>
          <w:tcPr>
            <w:tcW w:w="820" w:type="dxa"/>
            <w:vAlign w:val="bottom"/>
            <w:tcBorders>
              <w:bottom w:val="single" w:sz="8" w:color="FB4E0B"/>
            </w:tcBorders>
          </w:tcPr>
          <w:p>
            <w:pPr>
              <w:spacing w:after="0"/>
              <w:rPr>
                <w:sz w:val="4"/>
                <w:szCs w:val="4"/>
                <w:color w:val="auto"/>
              </w:rPr>
            </w:pPr>
          </w:p>
        </w:tc>
        <w:tc>
          <w:tcPr>
            <w:tcW w:w="680" w:type="dxa"/>
            <w:vAlign w:val="bottom"/>
            <w:tcBorders>
              <w:bottom w:val="single" w:sz="8" w:color="FB4E0B"/>
            </w:tcBorders>
          </w:tcPr>
          <w:p>
            <w:pPr>
              <w:spacing w:after="0"/>
              <w:rPr>
                <w:sz w:val="4"/>
                <w:szCs w:val="4"/>
                <w:color w:val="auto"/>
              </w:rPr>
            </w:pPr>
          </w:p>
        </w:tc>
        <w:tc>
          <w:tcPr>
            <w:tcW w:w="700" w:type="dxa"/>
            <w:vAlign w:val="bottom"/>
            <w:tcBorders>
              <w:bottom w:val="single" w:sz="8" w:color="FB4E0B"/>
            </w:tcBorders>
          </w:tcPr>
          <w:p>
            <w:pPr>
              <w:spacing w:after="0"/>
              <w:rPr>
                <w:sz w:val="4"/>
                <w:szCs w:val="4"/>
                <w:color w:val="auto"/>
              </w:rPr>
            </w:pPr>
          </w:p>
        </w:tc>
        <w:tc>
          <w:tcPr>
            <w:tcW w:w="860" w:type="dxa"/>
            <w:vAlign w:val="bottom"/>
            <w:tcBorders>
              <w:bottom w:val="single" w:sz="8" w:color="FB4E0B"/>
            </w:tcBorders>
          </w:tcPr>
          <w:p>
            <w:pPr>
              <w:spacing w:after="0"/>
              <w:rPr>
                <w:sz w:val="4"/>
                <w:szCs w:val="4"/>
                <w:color w:val="auto"/>
              </w:rPr>
            </w:pPr>
          </w:p>
        </w:tc>
        <w:tc>
          <w:tcPr>
            <w:tcW w:w="800" w:type="dxa"/>
            <w:vAlign w:val="bottom"/>
            <w:tcBorders>
              <w:bottom w:val="single" w:sz="8" w:color="FB4E0B"/>
            </w:tcBorders>
          </w:tcPr>
          <w:p>
            <w:pPr>
              <w:spacing w:after="0"/>
              <w:rPr>
                <w:sz w:val="4"/>
                <w:szCs w:val="4"/>
                <w:color w:val="auto"/>
              </w:rPr>
            </w:pPr>
          </w:p>
        </w:tc>
        <w:tc>
          <w:tcPr>
            <w:tcW w:w="460" w:type="dxa"/>
            <w:vAlign w:val="bottom"/>
            <w:tcBorders>
              <w:bottom w:val="single" w:sz="8" w:color="FB4E0B"/>
            </w:tcBorders>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r>
      <w:tr>
        <w:trPr>
          <w:trHeight w:val="433"/>
        </w:trPr>
        <w:tc>
          <w:tcPr>
            <w:tcW w:w="2580" w:type="dxa"/>
            <w:vAlign w:val="bottom"/>
            <w:gridSpan w:val="2"/>
          </w:tcPr>
          <w:p>
            <w:pPr>
              <w:spacing w:after="0"/>
              <w:rPr>
                <w:sz w:val="20"/>
                <w:szCs w:val="20"/>
                <w:color w:val="auto"/>
              </w:rPr>
            </w:pPr>
            <w:r>
              <w:rPr>
                <w:rFonts w:ascii="Arial" w:cs="Arial" w:eastAsia="Arial" w:hAnsi="Arial"/>
                <w:sz w:val="19"/>
                <w:szCs w:val="19"/>
                <w:b w:val="1"/>
                <w:bCs w:val="1"/>
                <w:color w:val="FB4E0B"/>
              </w:rPr>
              <w:t>Board statistics*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5"/>
        </w:trPr>
        <w:tc>
          <w:tcPr>
            <w:tcW w:w="12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9"/>
                <w:szCs w:val="19"/>
                <w:b w:val="1"/>
                <w:bCs w:val="1"/>
                <w:color w:val="FB4E0B"/>
              </w:rPr>
              <w:t>Board tenure</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9"/>
                <w:szCs w:val="19"/>
                <w:b w:val="1"/>
                <w:bCs w:val="1"/>
                <w:color w:val="FB4E0B"/>
              </w:rPr>
              <w:t>Gender diversity</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gridSpan w:val="3"/>
          </w:tcPr>
          <w:p>
            <w:pPr>
              <w:ind w:left="460"/>
              <w:spacing w:after="0"/>
              <w:rPr>
                <w:sz w:val="20"/>
                <w:szCs w:val="20"/>
                <w:color w:val="auto"/>
              </w:rPr>
            </w:pPr>
            <w:r>
              <w:rPr>
                <w:rFonts w:ascii="Arial" w:cs="Arial" w:eastAsia="Arial" w:hAnsi="Arial"/>
                <w:sz w:val="19"/>
                <w:szCs w:val="19"/>
                <w:b w:val="1"/>
                <w:bCs w:val="1"/>
                <w:color w:val="FB4E0B"/>
              </w:rPr>
              <w:t>Age distribution</w:t>
            </w: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146050</wp:posOffset>
            </wp:positionV>
            <wp:extent cx="1073785" cy="1073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3785" cy="107378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146050</wp:posOffset>
            </wp:positionV>
            <wp:extent cx="1057275" cy="1057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146050</wp:posOffset>
            </wp:positionV>
            <wp:extent cx="2098040" cy="1668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8040" cy="166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0"/>
        <w:spacing w:after="0"/>
        <w:tabs>
          <w:tab w:leader="none" w:pos="6380" w:val="left"/>
        </w:tabs>
        <w:rPr>
          <w:sz w:val="20"/>
          <w:szCs w:val="20"/>
          <w:color w:val="auto"/>
        </w:rPr>
      </w:pPr>
      <w:r>
        <w:rPr>
          <w:rFonts w:ascii="Arial" w:cs="Arial" w:eastAsia="Arial" w:hAnsi="Arial"/>
          <w:sz w:val="19"/>
          <w:szCs w:val="19"/>
          <w:b w:val="1"/>
          <w:bCs w:val="1"/>
          <w:color w:val="FB4E0B"/>
        </w:rPr>
        <w:t>Board independence</w:t>
      </w:r>
      <w:r>
        <w:rPr>
          <w:sz w:val="20"/>
          <w:szCs w:val="20"/>
          <w:color w:val="auto"/>
        </w:rPr>
        <w:tab/>
      </w:r>
      <w:r>
        <w:rPr>
          <w:rFonts w:ascii="Arial" w:cs="Arial" w:eastAsia="Arial" w:hAnsi="Arial"/>
          <w:sz w:val="17"/>
          <w:szCs w:val="17"/>
          <w:b w:val="1"/>
          <w:bCs w:val="1"/>
          <w:color w:val="FB4E0B"/>
        </w:rPr>
        <w:t>Racial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165100</wp:posOffset>
            </wp:positionV>
            <wp:extent cx="1462405" cy="313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2405" cy="31369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165100</wp:posOffset>
            </wp:positionV>
            <wp:extent cx="1057275" cy="1057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Following our Annual Meeting, assuming election of all nominees</w:t>
      </w:r>
    </w:p>
    <w:p>
      <w:pPr>
        <w:spacing w:after="0" w:line="25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15</w:t>
      </w:r>
    </w:p>
    <w:p>
      <w:pPr>
        <w:sectPr>
          <w:pgSz w:w="11900" w:h="16838" w:orient="portrait"/>
          <w:cols w:equalWidth="0" w:num="1">
            <w:col w:w="10940"/>
          </w:cols>
          <w:pgMar w:left="320" w:top="473" w:right="6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2023 Proxy Statement summary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239395</wp:posOffset>
            </wp:positionV>
            <wp:extent cx="4055745" cy="2437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55745"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Sustainability</w:t>
      </w:r>
    </w:p>
    <w:p>
      <w:pPr>
        <w:spacing w:after="0" w:line="91"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At EXL, we believe that there is always a better way; we look deeper, find it, and make it happen. This purpose informs our corporate culture, which, in turn, is rooted in our five core values. In line with our purpose, values and culture, we are committed to finding a better way through sustainability initiatives that are key to our long-term strategy and benefit our stockholders, clients, employees and communities. See “Sustainability” beginning on page 48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120650</wp:posOffset>
            </wp:positionV>
            <wp:extent cx="4055745" cy="2858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55745" cy="285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60"/>
          </w:cols>
          <w:pgMar w:left="320" w:top="473" w:right="71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2022 Compensation highlights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Named Executive Officers</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200" w:type="dxa"/>
            <w:vAlign w:val="bottom"/>
          </w:tcPr>
          <w:p>
            <w:pPr>
              <w:ind w:left="40"/>
              <w:spacing w:after="0"/>
              <w:rPr>
                <w:sz w:val="20"/>
                <w:szCs w:val="20"/>
                <w:color w:val="auto"/>
              </w:rPr>
            </w:pPr>
            <w:r>
              <w:rPr>
                <w:rFonts w:ascii="Arial" w:cs="Arial" w:eastAsia="Arial" w:hAnsi="Arial"/>
                <w:sz w:val="17"/>
                <w:szCs w:val="17"/>
                <w:b w:val="1"/>
                <w:bCs w:val="1"/>
                <w:color w:val="FB4E0B"/>
              </w:rPr>
              <w:t>Name</w:t>
            </w:r>
          </w:p>
        </w:tc>
        <w:tc>
          <w:tcPr>
            <w:tcW w:w="7420" w:type="dxa"/>
            <w:vAlign w:val="bottom"/>
          </w:tcPr>
          <w:p>
            <w:pPr>
              <w:ind w:left="80"/>
              <w:spacing w:after="0"/>
              <w:rPr>
                <w:sz w:val="20"/>
                <w:szCs w:val="20"/>
                <w:color w:val="auto"/>
              </w:rPr>
            </w:pPr>
            <w:r>
              <w:rPr>
                <w:rFonts w:ascii="Arial" w:cs="Arial" w:eastAsia="Arial" w:hAnsi="Arial"/>
                <w:sz w:val="17"/>
                <w:szCs w:val="17"/>
                <w:b w:val="1"/>
                <w:bCs w:val="1"/>
                <w:color w:val="FB4E0B"/>
              </w:rPr>
              <w:t>Title</w:t>
            </w:r>
          </w:p>
        </w:tc>
      </w:tr>
      <w:tr>
        <w:trPr>
          <w:trHeight w:val="58"/>
        </w:trPr>
        <w:tc>
          <w:tcPr>
            <w:tcW w:w="3200" w:type="dxa"/>
            <w:vAlign w:val="bottom"/>
            <w:tcBorders>
              <w:bottom w:val="single" w:sz="8" w:color="FB4E0B"/>
            </w:tcBorders>
          </w:tcPr>
          <w:p>
            <w:pPr>
              <w:spacing w:after="0"/>
              <w:rPr>
                <w:sz w:val="5"/>
                <w:szCs w:val="5"/>
                <w:color w:val="auto"/>
              </w:rPr>
            </w:pPr>
          </w:p>
        </w:tc>
        <w:tc>
          <w:tcPr>
            <w:tcW w:w="7420" w:type="dxa"/>
            <w:vAlign w:val="bottom"/>
            <w:tcBorders>
              <w:bottom w:val="single" w:sz="8" w:color="FB4E0B"/>
            </w:tcBorders>
          </w:tcPr>
          <w:p>
            <w:pPr>
              <w:spacing w:after="0"/>
              <w:rPr>
                <w:sz w:val="5"/>
                <w:szCs w:val="5"/>
                <w:color w:val="auto"/>
              </w:rPr>
            </w:pPr>
          </w:p>
        </w:tc>
      </w:tr>
      <w:tr>
        <w:trPr>
          <w:trHeight w:val="299"/>
        </w:trPr>
        <w:tc>
          <w:tcPr>
            <w:tcW w:w="32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Rohit Kapoor</w:t>
            </w:r>
          </w:p>
        </w:tc>
        <w:tc>
          <w:tcPr>
            <w:tcW w:w="7420" w:type="dxa"/>
            <w:vAlign w:val="bottom"/>
          </w:tcPr>
          <w:p>
            <w:pPr>
              <w:ind w:left="80"/>
              <w:spacing w:after="0"/>
              <w:rPr>
                <w:sz w:val="20"/>
                <w:szCs w:val="20"/>
                <w:color w:val="auto"/>
              </w:rPr>
            </w:pPr>
            <w:r>
              <w:rPr>
                <w:rFonts w:ascii="Arial" w:cs="Arial" w:eastAsia="Arial" w:hAnsi="Arial"/>
                <w:sz w:val="17"/>
                <w:szCs w:val="17"/>
                <w:color w:val="auto"/>
              </w:rPr>
              <w:t>Vice Chairman and CEO</w:t>
            </w:r>
          </w:p>
        </w:tc>
      </w:tr>
      <w:tr>
        <w:trPr>
          <w:trHeight w:val="52"/>
        </w:trPr>
        <w:tc>
          <w:tcPr>
            <w:tcW w:w="3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r>
      <w:tr>
        <w:trPr>
          <w:trHeight w:val="292"/>
        </w:trPr>
        <w:tc>
          <w:tcPr>
            <w:tcW w:w="32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Maurizio Nicolelli</w:t>
            </w:r>
          </w:p>
        </w:tc>
        <w:tc>
          <w:tcPr>
            <w:tcW w:w="7420" w:type="dxa"/>
            <w:vAlign w:val="bottom"/>
          </w:tcPr>
          <w:p>
            <w:pPr>
              <w:ind w:left="80"/>
              <w:spacing w:after="0"/>
              <w:rPr>
                <w:sz w:val="20"/>
                <w:szCs w:val="20"/>
                <w:color w:val="auto"/>
              </w:rPr>
            </w:pPr>
            <w:r>
              <w:rPr>
                <w:rFonts w:ascii="Arial" w:cs="Arial" w:eastAsia="Arial" w:hAnsi="Arial"/>
                <w:sz w:val="17"/>
                <w:szCs w:val="17"/>
                <w:color w:val="auto"/>
              </w:rPr>
              <w:t>Executive Vice President and CFO</w:t>
            </w:r>
          </w:p>
        </w:tc>
      </w:tr>
      <w:tr>
        <w:trPr>
          <w:trHeight w:val="52"/>
        </w:trPr>
        <w:tc>
          <w:tcPr>
            <w:tcW w:w="3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r>
      <w:tr>
        <w:trPr>
          <w:trHeight w:val="292"/>
        </w:trPr>
        <w:tc>
          <w:tcPr>
            <w:tcW w:w="32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Vikas Bhalla</w:t>
            </w:r>
          </w:p>
        </w:tc>
        <w:tc>
          <w:tcPr>
            <w:tcW w:w="7420" w:type="dxa"/>
            <w:vAlign w:val="bottom"/>
          </w:tcPr>
          <w:p>
            <w:pPr>
              <w:ind w:left="80"/>
              <w:spacing w:after="0"/>
              <w:rPr>
                <w:sz w:val="20"/>
                <w:szCs w:val="20"/>
                <w:color w:val="auto"/>
              </w:rPr>
            </w:pPr>
            <w:r>
              <w:rPr>
                <w:rFonts w:ascii="Arial" w:cs="Arial" w:eastAsia="Arial" w:hAnsi="Arial"/>
                <w:sz w:val="17"/>
                <w:szCs w:val="17"/>
                <w:color w:val="auto"/>
              </w:rPr>
              <w:t>Executive Vice President and Business Head, Insurance</w:t>
            </w:r>
          </w:p>
        </w:tc>
      </w:tr>
      <w:tr>
        <w:trPr>
          <w:trHeight w:val="52"/>
        </w:trPr>
        <w:tc>
          <w:tcPr>
            <w:tcW w:w="3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r>
      <w:tr>
        <w:trPr>
          <w:trHeight w:val="292"/>
        </w:trPr>
        <w:tc>
          <w:tcPr>
            <w:tcW w:w="32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Vivek Jetley</w:t>
            </w:r>
          </w:p>
        </w:tc>
        <w:tc>
          <w:tcPr>
            <w:tcW w:w="7420" w:type="dxa"/>
            <w:vAlign w:val="bottom"/>
          </w:tcPr>
          <w:p>
            <w:pPr>
              <w:ind w:left="80"/>
              <w:spacing w:after="0"/>
              <w:rPr>
                <w:sz w:val="20"/>
                <w:szCs w:val="20"/>
                <w:color w:val="auto"/>
              </w:rPr>
            </w:pPr>
            <w:r>
              <w:rPr>
                <w:rFonts w:ascii="Arial" w:cs="Arial" w:eastAsia="Arial" w:hAnsi="Arial"/>
                <w:sz w:val="17"/>
                <w:szCs w:val="17"/>
                <w:color w:val="auto"/>
              </w:rPr>
              <w:t>Executive Vice President and Business Head, Analytics</w:t>
            </w:r>
          </w:p>
        </w:tc>
      </w:tr>
      <w:tr>
        <w:trPr>
          <w:trHeight w:val="52"/>
        </w:trPr>
        <w:tc>
          <w:tcPr>
            <w:tcW w:w="3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r>
      <w:tr>
        <w:trPr>
          <w:trHeight w:val="344"/>
        </w:trPr>
        <w:tc>
          <w:tcPr>
            <w:tcW w:w="32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Ankor Rai</w:t>
            </w:r>
          </w:p>
        </w:tc>
        <w:tc>
          <w:tcPr>
            <w:tcW w:w="7420" w:type="dxa"/>
            <w:vAlign w:val="bottom"/>
          </w:tcPr>
          <w:p>
            <w:pPr>
              <w:ind w:left="80"/>
              <w:spacing w:after="0"/>
              <w:rPr>
                <w:sz w:val="20"/>
                <w:szCs w:val="20"/>
                <w:color w:val="auto"/>
              </w:rPr>
            </w:pPr>
            <w:r>
              <w:rPr>
                <w:rFonts w:ascii="Arial" w:cs="Arial" w:eastAsia="Arial" w:hAnsi="Arial"/>
                <w:sz w:val="17"/>
                <w:szCs w:val="17"/>
                <w:color w:val="auto"/>
              </w:rPr>
              <w:t>Executive Vice President and Chief Digital Officer</w:t>
            </w:r>
          </w:p>
        </w:tc>
      </w:tr>
      <w:tr>
        <w:trPr>
          <w:trHeight w:val="26"/>
        </w:trPr>
        <w:tc>
          <w:tcPr>
            <w:tcW w:w="3200" w:type="dxa"/>
            <w:vAlign w:val="bottom"/>
            <w:tcBorders>
              <w:right w:val="single" w:sz="8" w:color="FB4E0B"/>
            </w:tcBorders>
            <w:shd w:val="clear" w:color="auto" w:fill="FB4E0B"/>
          </w:tcPr>
          <w:p>
            <w:pPr>
              <w:spacing w:after="0"/>
              <w:rPr>
                <w:sz w:val="2"/>
                <w:szCs w:val="2"/>
                <w:color w:val="auto"/>
              </w:rPr>
            </w:pPr>
          </w:p>
        </w:tc>
        <w:tc>
          <w:tcPr>
            <w:tcW w:w="7420" w:type="dxa"/>
            <w:vAlign w:val="bottom"/>
            <w:shd w:val="clear" w:color="auto" w:fill="FB4E0B"/>
          </w:tcPr>
          <w:p>
            <w:pPr>
              <w:spacing w:after="0"/>
              <w:rPr>
                <w:sz w:val="2"/>
                <w:szCs w:val="2"/>
                <w:color w:val="auto"/>
              </w:rPr>
            </w:pPr>
          </w:p>
        </w:tc>
      </w:tr>
    </w:tbl>
    <w:p>
      <w:pPr>
        <w:spacing w:after="0" w:line="28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2022 Standard annual compensation</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FB4E0B"/>
              </w:rPr>
              <w:t>Rohit</w:t>
            </w:r>
          </w:p>
        </w:tc>
        <w:tc>
          <w:tcPr>
            <w:tcW w:w="1040" w:type="dxa"/>
            <w:vAlign w:val="bottom"/>
          </w:tcPr>
          <w:p>
            <w:pPr>
              <w:jc w:val="right"/>
              <w:ind w:right="133"/>
              <w:spacing w:after="0"/>
              <w:rPr>
                <w:sz w:val="20"/>
                <w:szCs w:val="20"/>
                <w:color w:val="auto"/>
              </w:rPr>
            </w:pPr>
            <w:r>
              <w:rPr>
                <w:rFonts w:ascii="Arial" w:cs="Arial" w:eastAsia="Arial" w:hAnsi="Arial"/>
                <w:sz w:val="17"/>
                <w:szCs w:val="17"/>
                <w:b w:val="1"/>
                <w:bCs w:val="1"/>
                <w:color w:val="FB4E0B"/>
              </w:rPr>
              <w:t>Maurizio</w:t>
            </w:r>
          </w:p>
        </w:tc>
        <w:tc>
          <w:tcPr>
            <w:tcW w:w="1040" w:type="dxa"/>
            <w:vAlign w:val="bottom"/>
          </w:tcPr>
          <w:p>
            <w:pPr>
              <w:jc w:val="right"/>
              <w:ind w:right="253"/>
              <w:spacing w:after="0"/>
              <w:rPr>
                <w:sz w:val="20"/>
                <w:szCs w:val="20"/>
                <w:color w:val="auto"/>
              </w:rPr>
            </w:pPr>
            <w:r>
              <w:rPr>
                <w:rFonts w:ascii="Arial" w:cs="Arial" w:eastAsia="Arial" w:hAnsi="Arial"/>
                <w:sz w:val="17"/>
                <w:szCs w:val="17"/>
                <w:b w:val="1"/>
                <w:bCs w:val="1"/>
                <w:color w:val="FB4E0B"/>
              </w:rPr>
              <w:t>Vikas</w:t>
            </w:r>
          </w:p>
        </w:tc>
        <w:tc>
          <w:tcPr>
            <w:tcW w:w="1040" w:type="dxa"/>
            <w:vAlign w:val="bottom"/>
          </w:tcPr>
          <w:p>
            <w:pPr>
              <w:jc w:val="right"/>
              <w:ind w:right="253"/>
              <w:spacing w:after="0"/>
              <w:rPr>
                <w:sz w:val="20"/>
                <w:szCs w:val="20"/>
                <w:color w:val="auto"/>
              </w:rPr>
            </w:pPr>
            <w:r>
              <w:rPr>
                <w:rFonts w:ascii="Arial" w:cs="Arial" w:eastAsia="Arial" w:hAnsi="Arial"/>
                <w:sz w:val="17"/>
                <w:szCs w:val="17"/>
                <w:b w:val="1"/>
                <w:bCs w:val="1"/>
                <w:color w:val="FB4E0B"/>
              </w:rPr>
              <w:t>Vivek</w:t>
            </w:r>
          </w:p>
        </w:tc>
        <w:tc>
          <w:tcPr>
            <w:tcW w:w="1060" w:type="dxa"/>
            <w:vAlign w:val="bottom"/>
          </w:tcPr>
          <w:p>
            <w:pPr>
              <w:spacing w:after="0"/>
              <w:rPr>
                <w:sz w:val="18"/>
                <w:szCs w:val="18"/>
                <w:color w:val="auto"/>
              </w:rPr>
            </w:pPr>
          </w:p>
        </w:tc>
      </w:tr>
      <w:tr>
        <w:trPr>
          <w:trHeight w:val="279"/>
        </w:trPr>
        <w:tc>
          <w:tcPr>
            <w:tcW w:w="5320" w:type="dxa"/>
            <w:vAlign w:val="bottom"/>
            <w:tcBorders>
              <w:bottom w:val="single" w:sz="8" w:color="BABABA"/>
            </w:tcBorders>
          </w:tcPr>
          <w:p>
            <w:pPr>
              <w:ind w:left="120"/>
              <w:spacing w:after="0"/>
              <w:rPr>
                <w:sz w:val="20"/>
                <w:szCs w:val="20"/>
                <w:color w:val="auto"/>
              </w:rPr>
            </w:pPr>
            <w:r>
              <w:rPr>
                <w:rFonts w:ascii="Arial" w:cs="Arial" w:eastAsia="Arial" w:hAnsi="Arial"/>
                <w:sz w:val="17"/>
                <w:szCs w:val="17"/>
                <w:b w:val="1"/>
                <w:bCs w:val="1"/>
                <w:color w:val="FB4E0B"/>
              </w:rPr>
              <w:t>Compensation component</w:t>
            </w:r>
          </w:p>
        </w:tc>
        <w:tc>
          <w:tcPr>
            <w:tcW w:w="1120" w:type="dxa"/>
            <w:vAlign w:val="bottom"/>
            <w:tcBorders>
              <w:bottom w:val="single" w:sz="8" w:color="BABABA"/>
            </w:tcBorders>
          </w:tcPr>
          <w:p>
            <w:pPr>
              <w:jc w:val="right"/>
              <w:ind w:right="233"/>
              <w:spacing w:after="0"/>
              <w:rPr>
                <w:sz w:val="20"/>
                <w:szCs w:val="20"/>
                <w:color w:val="auto"/>
              </w:rPr>
            </w:pPr>
            <w:r>
              <w:rPr>
                <w:rFonts w:ascii="Arial" w:cs="Arial" w:eastAsia="Arial" w:hAnsi="Arial"/>
                <w:sz w:val="17"/>
                <w:szCs w:val="17"/>
                <w:b w:val="1"/>
                <w:bCs w:val="1"/>
                <w:color w:val="FB4E0B"/>
              </w:rPr>
              <w:t>Kapoor</w:t>
            </w:r>
          </w:p>
        </w:tc>
        <w:tc>
          <w:tcPr>
            <w:tcW w:w="1040" w:type="dxa"/>
            <w:vAlign w:val="bottom"/>
            <w:tcBorders>
              <w:bottom w:val="single" w:sz="8" w:color="BABABA"/>
            </w:tcBorders>
          </w:tcPr>
          <w:p>
            <w:pPr>
              <w:jc w:val="right"/>
              <w:ind w:right="173"/>
              <w:spacing w:after="0"/>
              <w:rPr>
                <w:sz w:val="20"/>
                <w:szCs w:val="20"/>
                <w:color w:val="auto"/>
              </w:rPr>
            </w:pPr>
            <w:r>
              <w:rPr>
                <w:rFonts w:ascii="Arial" w:cs="Arial" w:eastAsia="Arial" w:hAnsi="Arial"/>
                <w:sz w:val="17"/>
                <w:szCs w:val="17"/>
                <w:b w:val="1"/>
                <w:bCs w:val="1"/>
                <w:color w:val="FB4E0B"/>
              </w:rPr>
              <w:t>Nicolelli</w:t>
            </w:r>
          </w:p>
        </w:tc>
        <w:tc>
          <w:tcPr>
            <w:tcW w:w="1040" w:type="dxa"/>
            <w:vAlign w:val="bottom"/>
            <w:tcBorders>
              <w:bottom w:val="single" w:sz="8" w:color="BABABA"/>
            </w:tcBorders>
          </w:tcPr>
          <w:p>
            <w:pPr>
              <w:jc w:val="right"/>
              <w:ind w:right="153"/>
              <w:spacing w:after="0" w:line="278" w:lineRule="exact"/>
              <w:rPr>
                <w:sz w:val="20"/>
                <w:szCs w:val="20"/>
                <w:color w:val="auto"/>
              </w:rPr>
            </w:pPr>
            <w:r>
              <w:rPr>
                <w:rFonts w:ascii="Arial" w:cs="Arial" w:eastAsia="Arial" w:hAnsi="Arial"/>
                <w:sz w:val="17"/>
                <w:szCs w:val="17"/>
                <w:b w:val="1"/>
                <w:bCs w:val="1"/>
                <w:color w:val="FB4E0B"/>
              </w:rPr>
              <w:t>Bhalla</w:t>
            </w:r>
            <w:r>
              <w:rPr>
                <w:rFonts w:ascii="Arial" w:cs="Arial" w:eastAsia="Arial" w:hAnsi="Arial"/>
                <w:sz w:val="26"/>
                <w:szCs w:val="26"/>
                <w:b w:val="1"/>
                <w:bCs w:val="1"/>
                <w:color w:val="FB4E0B"/>
                <w:vertAlign w:val="superscript"/>
              </w:rPr>
              <w:t>(3)</w:t>
            </w:r>
          </w:p>
        </w:tc>
        <w:tc>
          <w:tcPr>
            <w:tcW w:w="1040" w:type="dxa"/>
            <w:vAlign w:val="bottom"/>
            <w:tcBorders>
              <w:bottom w:val="single" w:sz="8" w:color="BABABA"/>
            </w:tcBorders>
          </w:tcPr>
          <w:p>
            <w:pPr>
              <w:jc w:val="right"/>
              <w:ind w:right="253"/>
              <w:spacing w:after="0"/>
              <w:rPr>
                <w:sz w:val="20"/>
                <w:szCs w:val="20"/>
                <w:color w:val="auto"/>
              </w:rPr>
            </w:pPr>
            <w:r>
              <w:rPr>
                <w:rFonts w:ascii="Arial" w:cs="Arial" w:eastAsia="Arial" w:hAnsi="Arial"/>
                <w:sz w:val="17"/>
                <w:szCs w:val="17"/>
                <w:b w:val="1"/>
                <w:bCs w:val="1"/>
                <w:color w:val="FB4E0B"/>
              </w:rPr>
              <w:t>Jetley</w:t>
            </w:r>
          </w:p>
        </w:tc>
        <w:tc>
          <w:tcPr>
            <w:tcW w:w="1060" w:type="dxa"/>
            <w:vAlign w:val="bottom"/>
            <w:tcBorders>
              <w:bottom w:val="single" w:sz="8" w:color="BABABA"/>
            </w:tcBorders>
          </w:tcPr>
          <w:p>
            <w:pPr>
              <w:jc w:val="right"/>
              <w:ind w:right="73"/>
              <w:spacing w:after="0"/>
              <w:rPr>
                <w:sz w:val="20"/>
                <w:szCs w:val="20"/>
                <w:color w:val="auto"/>
              </w:rPr>
            </w:pPr>
            <w:r>
              <w:rPr>
                <w:rFonts w:ascii="Arial" w:cs="Arial" w:eastAsia="Arial" w:hAnsi="Arial"/>
                <w:sz w:val="17"/>
                <w:szCs w:val="17"/>
                <w:b w:val="1"/>
                <w:bCs w:val="1"/>
                <w:color w:val="FB4E0B"/>
              </w:rPr>
              <w:t>Ankor Rai</w:t>
            </w:r>
          </w:p>
        </w:tc>
      </w:tr>
      <w:tr>
        <w:trPr>
          <w:trHeight w:val="240"/>
        </w:trPr>
        <w:tc>
          <w:tcPr>
            <w:tcW w:w="5320" w:type="dxa"/>
            <w:vAlign w:val="bottom"/>
            <w:tcBorders>
              <w:right w:val="single" w:sz="8" w:color="BABABA"/>
            </w:tcBorders>
          </w:tcPr>
          <w:p>
            <w:pPr>
              <w:ind w:left="140"/>
              <w:spacing w:after="0"/>
              <w:rPr>
                <w:sz w:val="20"/>
                <w:szCs w:val="20"/>
                <w:color w:val="auto"/>
              </w:rPr>
            </w:pPr>
            <w:r>
              <w:rPr>
                <w:rFonts w:ascii="Arial" w:cs="Arial" w:eastAsia="Arial" w:hAnsi="Arial"/>
                <w:sz w:val="17"/>
                <w:szCs w:val="17"/>
                <w:color w:val="auto"/>
              </w:rPr>
              <w:t>Salary</w:t>
            </w:r>
          </w:p>
        </w:tc>
        <w:tc>
          <w:tcPr>
            <w:tcW w:w="112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$766,384</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$483,822</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$265,432</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$440,164</w:t>
            </w: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$420,082</w:t>
            </w:r>
          </w:p>
        </w:tc>
      </w:tr>
      <w:tr>
        <w:trPr>
          <w:trHeight w:val="312"/>
        </w:trPr>
        <w:tc>
          <w:tcPr>
            <w:tcW w:w="5320" w:type="dxa"/>
            <w:vAlign w:val="bottom"/>
            <w:tcBorders>
              <w:right w:val="single" w:sz="8" w:color="BABABA"/>
            </w:tcBorders>
          </w:tcPr>
          <w:p>
            <w:pPr>
              <w:ind w:left="140"/>
              <w:spacing w:after="0"/>
              <w:rPr>
                <w:sz w:val="20"/>
                <w:szCs w:val="20"/>
                <w:color w:val="auto"/>
              </w:rPr>
            </w:pPr>
            <w:r>
              <w:rPr>
                <w:rFonts w:ascii="Arial" w:cs="Arial" w:eastAsia="Arial" w:hAnsi="Arial"/>
                <w:sz w:val="17"/>
                <w:szCs w:val="17"/>
                <w:color w:val="auto"/>
              </w:rPr>
              <w:t>Non-equity incentive plan compensation</w:t>
            </w:r>
          </w:p>
        </w:tc>
        <w:tc>
          <w:tcPr>
            <w:tcW w:w="112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1,829,887</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554,929</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357,340</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525,488</w:t>
            </w: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481,822</w:t>
            </w:r>
          </w:p>
        </w:tc>
      </w:tr>
      <w:tr>
        <w:trPr>
          <w:trHeight w:val="404"/>
        </w:trPr>
        <w:tc>
          <w:tcPr>
            <w:tcW w:w="5320" w:type="dxa"/>
            <w:vAlign w:val="bottom"/>
            <w:tcBorders>
              <w:right w:val="single" w:sz="8" w:color="BABABA"/>
            </w:tcBorders>
          </w:tcPr>
          <w:p>
            <w:pPr>
              <w:ind w:left="140"/>
              <w:spacing w:after="0"/>
              <w:rPr>
                <w:sz w:val="20"/>
                <w:szCs w:val="20"/>
                <w:color w:val="auto"/>
              </w:rPr>
            </w:pPr>
            <w:r>
              <w:rPr>
                <w:rFonts w:ascii="Arial" w:cs="Arial" w:eastAsia="Arial" w:hAnsi="Arial"/>
                <w:sz w:val="17"/>
                <w:szCs w:val="17"/>
                <w:color w:val="auto"/>
              </w:rPr>
              <w:t xml:space="preserve">Equity awards </w:t>
            </w:r>
            <w:r>
              <w:rPr>
                <w:rFonts w:ascii="Arial" w:cs="Arial" w:eastAsia="Arial" w:hAnsi="Arial"/>
                <w:sz w:val="26"/>
                <w:szCs w:val="26"/>
                <w:color w:val="auto"/>
                <w:vertAlign w:val="superscript"/>
              </w:rPr>
              <w:t>(1)</w:t>
            </w:r>
          </w:p>
        </w:tc>
        <w:tc>
          <w:tcPr>
            <w:tcW w:w="112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8,356,213</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1,810,865</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1,964,960</w:t>
            </w:r>
          </w:p>
        </w:tc>
        <w:tc>
          <w:tcPr>
            <w:tcW w:w="1040" w:type="dxa"/>
            <w:vAlign w:val="bottom"/>
            <w:tcBorders>
              <w:right w:val="single" w:sz="8" w:color="BABABA"/>
            </w:tcBorders>
          </w:tcPr>
          <w:p>
            <w:pPr>
              <w:jc w:val="right"/>
              <w:ind w:right="33"/>
              <w:spacing w:after="0"/>
              <w:rPr>
                <w:sz w:val="20"/>
                <w:szCs w:val="20"/>
                <w:color w:val="auto"/>
              </w:rPr>
            </w:pPr>
            <w:r>
              <w:rPr>
                <w:rFonts w:ascii="Arial" w:cs="Arial" w:eastAsia="Arial" w:hAnsi="Arial"/>
                <w:sz w:val="17"/>
                <w:szCs w:val="17"/>
                <w:color w:val="auto"/>
              </w:rPr>
              <w:t>1,862,689</w:t>
            </w: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1,553,192</w:t>
            </w:r>
          </w:p>
        </w:tc>
      </w:tr>
      <w:tr>
        <w:trPr>
          <w:trHeight w:val="273"/>
        </w:trPr>
        <w:tc>
          <w:tcPr>
            <w:tcW w:w="5320" w:type="dxa"/>
            <w:vAlign w:val="bottom"/>
            <w:tcBorders>
              <w:bottom w:val="single" w:sz="8" w:color="BABABA"/>
              <w:right w:val="single" w:sz="8" w:color="BABABA"/>
            </w:tcBorders>
          </w:tcPr>
          <w:p>
            <w:pPr>
              <w:ind w:left="140"/>
              <w:spacing w:after="0" w:line="272" w:lineRule="exact"/>
              <w:rPr>
                <w:sz w:val="20"/>
                <w:szCs w:val="20"/>
                <w:color w:val="auto"/>
              </w:rPr>
            </w:pPr>
            <w:r>
              <w:rPr>
                <w:rFonts w:ascii="Arial" w:cs="Arial" w:eastAsia="Arial" w:hAnsi="Arial"/>
                <w:sz w:val="17"/>
                <w:szCs w:val="17"/>
                <w:color w:val="auto"/>
              </w:rPr>
              <w:t xml:space="preserve">Other compensation </w:t>
            </w:r>
            <w:r>
              <w:rPr>
                <w:rFonts w:ascii="Arial" w:cs="Arial" w:eastAsia="Arial" w:hAnsi="Arial"/>
                <w:sz w:val="26"/>
                <w:szCs w:val="26"/>
                <w:color w:val="auto"/>
                <w:vertAlign w:val="superscript"/>
              </w:rPr>
              <w:t>(2)</w:t>
            </w:r>
          </w:p>
        </w:tc>
        <w:tc>
          <w:tcPr>
            <w:tcW w:w="1120" w:type="dxa"/>
            <w:vAlign w:val="bottom"/>
            <w:tcBorders>
              <w:bottom w:val="single" w:sz="8" w:color="BABABA"/>
              <w:right w:val="single" w:sz="8" w:color="BABABA"/>
            </w:tcBorders>
          </w:tcPr>
          <w:p>
            <w:pPr>
              <w:jc w:val="right"/>
              <w:ind w:right="33"/>
              <w:spacing w:after="0"/>
              <w:rPr>
                <w:sz w:val="20"/>
                <w:szCs w:val="20"/>
                <w:color w:val="auto"/>
              </w:rPr>
            </w:pPr>
            <w:r>
              <w:rPr>
                <w:rFonts w:ascii="Arial" w:cs="Arial" w:eastAsia="Arial" w:hAnsi="Arial"/>
                <w:sz w:val="17"/>
                <w:szCs w:val="17"/>
                <w:color w:val="auto"/>
              </w:rPr>
              <w:t>58,423</w:t>
            </w:r>
          </w:p>
        </w:tc>
        <w:tc>
          <w:tcPr>
            <w:tcW w:w="1040" w:type="dxa"/>
            <w:vAlign w:val="bottom"/>
            <w:tcBorders>
              <w:bottom w:val="single" w:sz="8" w:color="BABABA"/>
              <w:right w:val="single" w:sz="8" w:color="BABABA"/>
            </w:tcBorders>
          </w:tcPr>
          <w:p>
            <w:pPr>
              <w:jc w:val="right"/>
              <w:ind w:right="33"/>
              <w:spacing w:after="0"/>
              <w:rPr>
                <w:sz w:val="20"/>
                <w:szCs w:val="20"/>
                <w:color w:val="auto"/>
              </w:rPr>
            </w:pPr>
            <w:r>
              <w:rPr>
                <w:rFonts w:ascii="Arial" w:cs="Arial" w:eastAsia="Arial" w:hAnsi="Arial"/>
                <w:sz w:val="17"/>
                <w:szCs w:val="17"/>
                <w:color w:val="auto"/>
              </w:rPr>
              <w:t>9,654</w:t>
            </w:r>
          </w:p>
        </w:tc>
        <w:tc>
          <w:tcPr>
            <w:tcW w:w="1040" w:type="dxa"/>
            <w:vAlign w:val="bottom"/>
            <w:tcBorders>
              <w:bottom w:val="single" w:sz="8" w:color="BABABA"/>
              <w:right w:val="single" w:sz="8" w:color="BABABA"/>
            </w:tcBorders>
          </w:tcPr>
          <w:p>
            <w:pPr>
              <w:jc w:val="right"/>
              <w:ind w:right="33"/>
              <w:spacing w:after="0"/>
              <w:rPr>
                <w:sz w:val="20"/>
                <w:szCs w:val="20"/>
                <w:color w:val="auto"/>
              </w:rPr>
            </w:pPr>
            <w:r>
              <w:rPr>
                <w:rFonts w:ascii="Arial" w:cs="Arial" w:eastAsia="Arial" w:hAnsi="Arial"/>
                <w:sz w:val="17"/>
                <w:szCs w:val="17"/>
                <w:color w:val="auto"/>
              </w:rPr>
              <w:t>38,432</w:t>
            </w:r>
          </w:p>
        </w:tc>
        <w:tc>
          <w:tcPr>
            <w:tcW w:w="1040" w:type="dxa"/>
            <w:vAlign w:val="bottom"/>
            <w:tcBorders>
              <w:bottom w:val="single" w:sz="8" w:color="BABABA"/>
              <w:right w:val="single" w:sz="8" w:color="BABABA"/>
            </w:tcBorders>
          </w:tcPr>
          <w:p>
            <w:pPr>
              <w:jc w:val="right"/>
              <w:ind w:right="33"/>
              <w:spacing w:after="0"/>
              <w:rPr>
                <w:sz w:val="20"/>
                <w:szCs w:val="20"/>
                <w:color w:val="auto"/>
              </w:rPr>
            </w:pPr>
            <w:r>
              <w:rPr>
                <w:rFonts w:ascii="Arial" w:cs="Arial" w:eastAsia="Arial" w:hAnsi="Arial"/>
                <w:sz w:val="17"/>
                <w:szCs w:val="17"/>
                <w:color w:val="auto"/>
              </w:rPr>
              <w:t>9,654</w:t>
            </w:r>
          </w:p>
        </w:tc>
        <w:tc>
          <w:tcPr>
            <w:tcW w:w="1060" w:type="dxa"/>
            <w:vAlign w:val="bottom"/>
            <w:tcBorders>
              <w:bottom w:val="single" w:sz="8" w:color="BABABA"/>
            </w:tcBorders>
          </w:tcPr>
          <w:p>
            <w:pPr>
              <w:jc w:val="right"/>
              <w:ind w:right="33"/>
              <w:spacing w:after="0"/>
              <w:rPr>
                <w:sz w:val="20"/>
                <w:szCs w:val="20"/>
                <w:color w:val="auto"/>
              </w:rPr>
            </w:pPr>
            <w:r>
              <w:rPr>
                <w:rFonts w:ascii="Arial" w:cs="Arial" w:eastAsia="Arial" w:hAnsi="Arial"/>
                <w:sz w:val="17"/>
                <w:szCs w:val="17"/>
                <w:color w:val="auto"/>
              </w:rPr>
              <w:t>9,654</w:t>
            </w:r>
          </w:p>
        </w:tc>
      </w:tr>
      <w:tr>
        <w:trPr>
          <w:trHeight w:val="240"/>
        </w:trPr>
        <w:tc>
          <w:tcPr>
            <w:tcW w:w="5320" w:type="dxa"/>
            <w:vAlign w:val="bottom"/>
          </w:tcPr>
          <w:p>
            <w:pPr>
              <w:ind w:left="160"/>
              <w:spacing w:after="0"/>
              <w:rPr>
                <w:sz w:val="20"/>
                <w:szCs w:val="20"/>
                <w:color w:val="auto"/>
              </w:rPr>
            </w:pPr>
            <w:r>
              <w:rPr>
                <w:rFonts w:ascii="Arial" w:cs="Arial" w:eastAsia="Arial" w:hAnsi="Arial"/>
                <w:sz w:val="17"/>
                <w:szCs w:val="17"/>
                <w:b w:val="1"/>
                <w:bCs w:val="1"/>
                <w:color w:val="auto"/>
              </w:rPr>
              <w:t>Total</w:t>
            </w:r>
          </w:p>
        </w:tc>
        <w:tc>
          <w:tcPr>
            <w:tcW w:w="1120" w:type="dxa"/>
            <w:vAlign w:val="bottom"/>
          </w:tcPr>
          <w:p>
            <w:pPr>
              <w:jc w:val="right"/>
              <w:ind w:right="33"/>
              <w:spacing w:after="0"/>
              <w:rPr>
                <w:sz w:val="20"/>
                <w:szCs w:val="20"/>
                <w:color w:val="auto"/>
              </w:rPr>
            </w:pPr>
            <w:r>
              <w:rPr>
                <w:rFonts w:ascii="Arial" w:cs="Arial" w:eastAsia="Arial" w:hAnsi="Arial"/>
                <w:sz w:val="17"/>
                <w:szCs w:val="17"/>
                <w:b w:val="1"/>
                <w:bCs w:val="1"/>
                <w:color w:val="auto"/>
              </w:rPr>
              <w:t>$11,010,906</w:t>
            </w:r>
          </w:p>
        </w:tc>
        <w:tc>
          <w:tcPr>
            <w:tcW w:w="1040" w:type="dxa"/>
            <w:vAlign w:val="bottom"/>
          </w:tcPr>
          <w:p>
            <w:pPr>
              <w:jc w:val="right"/>
              <w:ind w:right="33"/>
              <w:spacing w:after="0"/>
              <w:rPr>
                <w:sz w:val="20"/>
                <w:szCs w:val="20"/>
                <w:color w:val="auto"/>
              </w:rPr>
            </w:pPr>
            <w:r>
              <w:rPr>
                <w:rFonts w:ascii="Arial" w:cs="Arial" w:eastAsia="Arial" w:hAnsi="Arial"/>
                <w:sz w:val="17"/>
                <w:szCs w:val="17"/>
                <w:b w:val="1"/>
                <w:bCs w:val="1"/>
                <w:color w:val="auto"/>
              </w:rPr>
              <w:t>$2,859,270</w:t>
            </w:r>
          </w:p>
        </w:tc>
        <w:tc>
          <w:tcPr>
            <w:tcW w:w="1040" w:type="dxa"/>
            <w:vAlign w:val="bottom"/>
          </w:tcPr>
          <w:p>
            <w:pPr>
              <w:jc w:val="right"/>
              <w:ind w:right="33"/>
              <w:spacing w:after="0"/>
              <w:rPr>
                <w:sz w:val="20"/>
                <w:szCs w:val="20"/>
                <w:color w:val="auto"/>
              </w:rPr>
            </w:pPr>
            <w:r>
              <w:rPr>
                <w:rFonts w:ascii="Arial" w:cs="Arial" w:eastAsia="Arial" w:hAnsi="Arial"/>
                <w:sz w:val="17"/>
                <w:szCs w:val="17"/>
                <w:b w:val="1"/>
                <w:bCs w:val="1"/>
                <w:color w:val="auto"/>
              </w:rPr>
              <w:t>$2,626,165</w:t>
            </w:r>
          </w:p>
        </w:tc>
        <w:tc>
          <w:tcPr>
            <w:tcW w:w="1040" w:type="dxa"/>
            <w:vAlign w:val="bottom"/>
          </w:tcPr>
          <w:p>
            <w:pPr>
              <w:jc w:val="right"/>
              <w:ind w:right="33"/>
              <w:spacing w:after="0"/>
              <w:rPr>
                <w:sz w:val="20"/>
                <w:szCs w:val="20"/>
                <w:color w:val="auto"/>
              </w:rPr>
            </w:pPr>
            <w:r>
              <w:rPr>
                <w:rFonts w:ascii="Arial" w:cs="Arial" w:eastAsia="Arial" w:hAnsi="Arial"/>
                <w:sz w:val="17"/>
                <w:szCs w:val="17"/>
                <w:b w:val="1"/>
                <w:bCs w:val="1"/>
                <w:color w:val="auto"/>
              </w:rPr>
              <w:t>$2,837,996</w:t>
            </w:r>
          </w:p>
        </w:tc>
        <w:tc>
          <w:tcPr>
            <w:tcW w:w="1060" w:type="dxa"/>
            <w:vAlign w:val="bottom"/>
          </w:tcPr>
          <w:p>
            <w:pPr>
              <w:jc w:val="right"/>
              <w:ind w:right="33"/>
              <w:spacing w:after="0"/>
              <w:rPr>
                <w:sz w:val="20"/>
                <w:szCs w:val="20"/>
                <w:color w:val="auto"/>
              </w:rPr>
            </w:pPr>
            <w:r>
              <w:rPr>
                <w:rFonts w:ascii="Arial" w:cs="Arial" w:eastAsia="Arial" w:hAnsi="Arial"/>
                <w:sz w:val="17"/>
                <w:szCs w:val="17"/>
                <w:b w:val="1"/>
                <w:bCs w:val="1"/>
                <w:color w:val="auto"/>
              </w:rPr>
              <w:t>$2,464,750</w:t>
            </w:r>
          </w:p>
        </w:tc>
      </w:tr>
    </w:tbl>
    <w:p>
      <w:pPr>
        <w:spacing w:after="0" w:line="147" w:lineRule="exact"/>
        <w:rPr>
          <w:sz w:val="20"/>
          <w:szCs w:val="20"/>
          <w:color w:val="auto"/>
        </w:rPr>
      </w:pPr>
    </w:p>
    <w:p>
      <w:pPr>
        <w:ind w:left="500" w:hanging="184"/>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Equity award values reflect equity grants in 2022 based on the grant date fair value of awards in accordance with FASB ASC Topic 718.</w:t>
      </w:r>
    </w:p>
    <w:p>
      <w:pPr>
        <w:spacing w:after="0" w:line="97" w:lineRule="exact"/>
        <w:rPr>
          <w:rFonts w:ascii="Arial" w:cs="Arial" w:eastAsia="Arial" w:hAnsi="Arial"/>
          <w:sz w:val="13"/>
          <w:szCs w:val="13"/>
          <w:color w:val="auto"/>
        </w:rPr>
      </w:pPr>
    </w:p>
    <w:p>
      <w:pPr>
        <w:ind w:left="320" w:right="140" w:hanging="4"/>
        <w:spacing w:after="0" w:line="241" w:lineRule="auto"/>
        <w:tabs>
          <w:tab w:leader="none" w:pos="504"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each named executive officer, this category includes, if applicable, his perquisites and personal benefits, hiring bonus, changes in pension value, Company-paid life insurance premiums and Company contributions to our 401(k) plan. A detailed discussion of the compensation components for each named executive officer for fiscal year 2022 is provided in the “Summary compensation table for fiscal year 2022” beginning on page 87.</w:t>
      </w:r>
    </w:p>
    <w:p>
      <w:pPr>
        <w:spacing w:after="0" w:line="83" w:lineRule="exact"/>
        <w:rPr>
          <w:rFonts w:ascii="Arial" w:cs="Arial" w:eastAsia="Arial" w:hAnsi="Arial"/>
          <w:sz w:val="13"/>
          <w:szCs w:val="13"/>
          <w:color w:val="auto"/>
        </w:rPr>
      </w:pPr>
    </w:p>
    <w:p>
      <w:pPr>
        <w:ind w:left="320" w:right="180" w:hanging="4"/>
        <w:spacing w:after="0" w:line="252" w:lineRule="auto"/>
        <w:tabs>
          <w:tab w:leader="none" w:pos="504"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Bhalla is based in India. Certain of his compensation components, as described herein, are paid in Indian rupees (INR), and are converted for comparison purposes at 82.72 INR to 1 U.S. Dollar (USD), which was the exchange rate on December 30, 2022.</w:t>
      </w:r>
    </w:p>
    <w:p>
      <w:pPr>
        <w:spacing w:after="0" w:line="200" w:lineRule="exact"/>
        <w:rPr>
          <w:sz w:val="20"/>
          <w:szCs w:val="20"/>
          <w:color w:val="auto"/>
        </w:rPr>
      </w:pPr>
    </w:p>
    <w:p>
      <w:pPr>
        <w:spacing w:after="0" w:line="224"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beginning on page 63 for a complete description of our 2022 compensation program.</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Below are a few highlights of our executive compensation:</w:t>
      </w:r>
    </w:p>
    <w:p>
      <w:pPr>
        <w:spacing w:after="0" w:line="241" w:lineRule="exact"/>
        <w:rPr>
          <w:sz w:val="20"/>
          <w:szCs w:val="20"/>
          <w:color w:val="auto"/>
        </w:rPr>
      </w:pPr>
    </w:p>
    <w:p>
      <w:pPr>
        <w:ind w:left="1140" w:hanging="407"/>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Our executive compensation philosophy is focused on pay-for-performance and is designed to reflect</w:t>
      </w:r>
    </w:p>
    <w:p>
      <w:pPr>
        <w:spacing w:after="0" w:line="42" w:lineRule="exact"/>
        <w:rPr>
          <w:rFonts w:ascii="Arial" w:cs="Arial" w:eastAsia="Arial" w:hAnsi="Arial"/>
          <w:sz w:val="16"/>
          <w:szCs w:val="16"/>
          <w:color w:val="auto"/>
        </w:rPr>
      </w:pPr>
    </w:p>
    <w:p>
      <w:pPr>
        <w:ind w:left="1140" w:right="280"/>
        <w:spacing w:after="0" w:line="314" w:lineRule="auto"/>
        <w:rPr>
          <w:rFonts w:ascii="Arial" w:cs="Arial" w:eastAsia="Arial" w:hAnsi="Arial"/>
          <w:sz w:val="16"/>
          <w:szCs w:val="16"/>
          <w:color w:val="auto"/>
        </w:rPr>
      </w:pPr>
      <w:r>
        <w:rPr>
          <w:rFonts w:ascii="Arial" w:cs="Arial" w:eastAsia="Arial" w:hAnsi="Arial"/>
          <w:sz w:val="15"/>
          <w:szCs w:val="15"/>
          <w:color w:val="auto"/>
        </w:rPr>
        <w:t>appropriate governance practices aligned with the needs of our business, and includes, among others, the following features: clawback policy; robust stock ownership guidelines for executives (and non-employee directors); limited perquisites; no tax gross-ups; and an anti-hedging and anti-pledging policy. See “Executive compensation program, practices and policies” beginning on page 69 below.</w:t>
      </w:r>
    </w:p>
    <w:p>
      <w:pPr>
        <w:spacing w:after="0" w:line="202"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17</w:t>
      </w:r>
    </w:p>
    <w:p>
      <w:pPr>
        <w:sectPr>
          <w:pgSz w:w="11900" w:h="16838" w:orient="portrait"/>
          <w:cols w:equalWidth="0" w:num="1">
            <w:col w:w="10940"/>
          </w:cols>
          <w:pgMar w:left="320" w:top="473" w:right="6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2023 Proxy Statement summary</w:t>
      </w:r>
    </w:p>
    <w:p>
      <w:pPr>
        <w:spacing w:after="0" w:line="337" w:lineRule="exact"/>
        <w:rPr>
          <w:sz w:val="20"/>
          <w:szCs w:val="20"/>
          <w:color w:val="auto"/>
        </w:rPr>
      </w:pPr>
    </w:p>
    <w:p>
      <w:pPr>
        <w:ind w:left="1140" w:right="220" w:hanging="407"/>
        <w:spacing w:after="0" w:line="274" w:lineRule="auto"/>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99% Say-on-Pay approval of 2021 compensation</w:t>
      </w:r>
      <w:r>
        <w:rPr>
          <w:rFonts w:ascii="Arial" w:cs="Arial" w:eastAsia="Arial" w:hAnsi="Arial"/>
          <w:sz w:val="17"/>
          <w:szCs w:val="17"/>
          <w:color w:val="auto"/>
        </w:rPr>
        <w:t>: At our 2022 Annual Meeting of Stockholders, our stockholders approved,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non-binding advisory basis, the compensation paid to our named executive officers for fiscal year 2021. Over 99% of the votes present in person or by proxy (excluding broker non-votes) voted in favor of fiscal year 2021 compensation.</w:t>
      </w:r>
    </w:p>
    <w:p>
      <w:pPr>
        <w:spacing w:after="0" w:line="19" w:lineRule="exact"/>
        <w:rPr>
          <w:rFonts w:ascii="Arial" w:cs="Arial" w:eastAsia="Arial" w:hAnsi="Arial"/>
          <w:sz w:val="17"/>
          <w:szCs w:val="17"/>
          <w:color w:val="auto"/>
        </w:rPr>
      </w:pPr>
    </w:p>
    <w:p>
      <w:pPr>
        <w:ind w:left="1140" w:hanging="407"/>
        <w:spacing w:after="0" w:line="317"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Annual incentive program based upon financial performance criteria</w:t>
      </w:r>
      <w:r>
        <w:rPr>
          <w:rFonts w:ascii="Arial" w:cs="Arial" w:eastAsia="Arial" w:hAnsi="Arial"/>
          <w:sz w:val="16"/>
          <w:szCs w:val="16"/>
          <w:color w:val="auto"/>
        </w:rPr>
        <w:t>: Our Compensation and Talent Management Committee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continued use of our annual incentive program, which was based upon the following performance criteria for 2022:</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6"/>
          <w:szCs w:val="16"/>
          <w:color w:val="auto"/>
        </w:rPr>
        <w:t>Company-wide metrics (75%)—Revenue and adjusted operating profit margin (“AOPM”)</w:t>
      </w:r>
    </w:p>
    <w:p>
      <w:pPr>
        <w:spacing w:after="0" w:line="77"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5"/>
          <w:szCs w:val="15"/>
          <w:color w:val="auto"/>
        </w:rPr>
        <w:t>Individual metrics (25%)—Linked to areas of performance that are specific to each executive</w:t>
      </w:r>
    </w:p>
    <w:p>
      <w:pPr>
        <w:spacing w:after="0" w:line="71" w:lineRule="exact"/>
        <w:rPr>
          <w:rFonts w:ascii="Arial" w:cs="Arial" w:eastAsia="Arial" w:hAnsi="Arial"/>
          <w:sz w:val="16"/>
          <w:szCs w:val="16"/>
          <w:color w:val="auto"/>
        </w:rPr>
      </w:pPr>
    </w:p>
    <w:p>
      <w:pPr>
        <w:ind w:left="1140" w:right="140" w:hanging="407"/>
        <w:spacing w:after="0" w:line="268" w:lineRule="auto"/>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Long-term equity incentive program: </w:t>
      </w:r>
      <w:r>
        <w:rPr>
          <w:rFonts w:ascii="Arial" w:cs="Arial" w:eastAsia="Arial" w:hAnsi="Arial"/>
          <w:sz w:val="17"/>
          <w:szCs w:val="17"/>
          <w:color w:val="auto"/>
        </w:rPr>
        <w:t>We also continued our equity incentive program, which includes granting a balanced mix of time-vested restricted stock units and performance-based restricted stock units. The performance-based restricted stock units were comprised of relative total stockholder return-linked restricted stock units and revenue-linked restricted stock units. See “Long-term equity incentives” beginning on page 80 below for more details.</w:t>
      </w:r>
    </w:p>
    <w:p>
      <w:pPr>
        <w:spacing w:after="0" w:line="24" w:lineRule="exact"/>
        <w:rPr>
          <w:rFonts w:ascii="Arial" w:cs="Arial" w:eastAsia="Arial" w:hAnsi="Arial"/>
          <w:sz w:val="17"/>
          <w:szCs w:val="17"/>
          <w:color w:val="auto"/>
        </w:rPr>
      </w:pPr>
    </w:p>
    <w:p>
      <w:pPr>
        <w:ind w:left="1140" w:hanging="407"/>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2022 performance: </w:t>
      </w:r>
      <w:r>
        <w:rPr>
          <w:rFonts w:ascii="Arial" w:cs="Arial" w:eastAsia="Arial" w:hAnsi="Arial"/>
          <w:sz w:val="17"/>
          <w:szCs w:val="17"/>
          <w:color w:val="auto"/>
        </w:rPr>
        <w:t>We delivered the following revenue and AOPM (as described below) performance:</w:t>
      </w:r>
    </w:p>
    <w:p>
      <w:pPr>
        <w:spacing w:after="0" w:line="77" w:lineRule="exact"/>
        <w:rPr>
          <w:rFonts w:ascii="Arial" w:cs="Arial" w:eastAsia="Arial" w:hAnsi="Arial"/>
          <w:sz w:val="17"/>
          <w:szCs w:val="17"/>
          <w:color w:val="auto"/>
        </w:rPr>
      </w:pPr>
    </w:p>
    <w:p>
      <w:pPr>
        <w:ind w:left="1580" w:right="40" w:hanging="416"/>
        <w:spacing w:after="0" w:line="268"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 xml:space="preserve">Annual incentive program: </w:t>
      </w:r>
      <w:r>
        <w:rPr>
          <w:rFonts w:ascii="Arial" w:cs="Arial" w:eastAsia="Arial" w:hAnsi="Arial"/>
          <w:sz w:val="17"/>
          <w:szCs w:val="17"/>
          <w:color w:val="auto"/>
        </w:rPr>
        <w:t>As measured under our annual incentive plan, we delivered 107.66% of our revenue performance target,</w:t>
      </w:r>
      <w:r>
        <w:rPr>
          <w:rFonts w:ascii="Arial" w:cs="Arial" w:eastAsia="Arial" w:hAnsi="Arial"/>
          <w:sz w:val="17"/>
          <w:szCs w:val="17"/>
          <w:b w:val="1"/>
          <w:bCs w:val="1"/>
          <w:color w:val="auto"/>
        </w:rPr>
        <w:t xml:space="preserve"> </w:t>
      </w:r>
      <w:r>
        <w:rPr>
          <w:rFonts w:ascii="Arial" w:cs="Arial" w:eastAsia="Arial" w:hAnsi="Arial"/>
          <w:sz w:val="17"/>
          <w:szCs w:val="17"/>
          <w:color w:val="auto"/>
        </w:rPr>
        <w:t>and 101.45% of our AOPM target resulting in annual incentive payout calculations for our named executive officers, ranging from 153% of target performance to 159% of target performance. Our Compensation and Talent Management Committee did not make adjustments to the performance targets that had previously been set.</w:t>
      </w:r>
    </w:p>
    <w:p>
      <w:pPr>
        <w:spacing w:after="0" w:line="24" w:lineRule="exact"/>
        <w:rPr>
          <w:rFonts w:ascii="Arial" w:cs="Arial" w:eastAsia="Arial" w:hAnsi="Arial"/>
          <w:sz w:val="17"/>
          <w:szCs w:val="17"/>
          <w:color w:val="auto"/>
        </w:rPr>
      </w:pPr>
    </w:p>
    <w:p>
      <w:pPr>
        <w:ind w:left="1580" w:right="60" w:hanging="416"/>
        <w:spacing w:after="0" w:line="304"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b w:val="1"/>
          <w:bCs w:val="1"/>
          <w:color w:val="auto"/>
        </w:rPr>
        <w:t xml:space="preserve">Equity incentive program: </w:t>
      </w:r>
      <w:r>
        <w:rPr>
          <w:rFonts w:ascii="Arial" w:cs="Arial" w:eastAsia="Arial" w:hAnsi="Arial"/>
          <w:sz w:val="15"/>
          <w:szCs w:val="15"/>
          <w:color w:val="auto"/>
        </w:rPr>
        <w:t>This was the third and final performance year for the performance-based restricted stock units granted in</w:t>
      </w:r>
      <w:r>
        <w:rPr>
          <w:rFonts w:ascii="Arial" w:cs="Arial" w:eastAsia="Arial" w:hAnsi="Arial"/>
          <w:sz w:val="15"/>
          <w:szCs w:val="15"/>
          <w:b w:val="1"/>
          <w:bCs w:val="1"/>
          <w:color w:val="auto"/>
        </w:rPr>
        <w:t xml:space="preserve"> </w:t>
      </w:r>
      <w:r>
        <w:rPr>
          <w:rFonts w:ascii="Arial" w:cs="Arial" w:eastAsia="Arial" w:hAnsi="Arial"/>
          <w:sz w:val="15"/>
          <w:szCs w:val="15"/>
          <w:color w:val="auto"/>
        </w:rPr>
        <w:t>2020. We achieved 101.6% of the revenue target for the revenue-linked restricted stock units resulting in 100% of target funding of those grants. The Company’s TSR performance was at the 97.6 percentile among its peer group, resulting in the executives earning 200% of the target funding of those grants. In the aggregate, the performance-based restricted stock units granted in 2020 achieved vesting of shares at 150% of target performance. No adjustments were made to the 2020 performance-based restricted stock units or the associated performance targets to account for the impact of the COVID-19 pandemic in the 2020, 2021 and 2022 fiscal years.</w:t>
      </w:r>
    </w:p>
    <w:p>
      <w:pPr>
        <w:spacing w:after="0" w:line="67"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00"/>
          </w:cols>
          <w:pgMar w:left="320" w:top="473" w:right="6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2023 Proxy Statement summary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Compensation mix</w:t>
      </w:r>
    </w:p>
    <w:p>
      <w:pPr>
        <w:spacing w:after="0" w:line="237" w:lineRule="exact"/>
        <w:rPr>
          <w:sz w:val="20"/>
          <w:szCs w:val="20"/>
          <w:color w:val="auto"/>
        </w:rPr>
      </w:pPr>
    </w:p>
    <w:tbl>
      <w:tblPr>
        <w:tblLayout w:type="fixed"/>
        <w:tblInd w:w="2020" w:type="dxa"/>
        <w:tblCellMar>
          <w:top w:w="0" w:type="dxa"/>
          <w:left w:w="0" w:type="dxa"/>
          <w:bottom w:w="0" w:type="dxa"/>
          <w:right w:w="0" w:type="dxa"/>
        </w:tblCellMar>
      </w:tblPr>
      <w:tr>
        <w:trPr>
          <w:trHeight w:val="221"/>
        </w:trPr>
        <w:tc>
          <w:tcPr>
            <w:tcW w:w="3620" w:type="dxa"/>
            <w:vAlign w:val="bottom"/>
          </w:tcPr>
          <w:p>
            <w:pPr>
              <w:jc w:val="center"/>
              <w:ind w:right="1625"/>
              <w:spacing w:after="0"/>
              <w:rPr>
                <w:sz w:val="20"/>
                <w:szCs w:val="20"/>
                <w:color w:val="auto"/>
              </w:rPr>
            </w:pPr>
            <w:r>
              <w:rPr>
                <w:rFonts w:ascii="Arial" w:cs="Arial" w:eastAsia="Arial" w:hAnsi="Arial"/>
                <w:sz w:val="19"/>
                <w:szCs w:val="19"/>
                <w:b w:val="1"/>
                <w:bCs w:val="1"/>
                <w:color w:val="FB4E0B"/>
                <w:w w:val="96"/>
              </w:rPr>
              <w:t>Vice Chairman &amp; CEO</w:t>
            </w:r>
          </w:p>
        </w:tc>
        <w:tc>
          <w:tcPr>
            <w:tcW w:w="3680" w:type="dxa"/>
            <w:vAlign w:val="bottom"/>
          </w:tcPr>
          <w:p>
            <w:pPr>
              <w:ind w:left="1720"/>
              <w:spacing w:after="0"/>
              <w:rPr>
                <w:sz w:val="20"/>
                <w:szCs w:val="20"/>
                <w:color w:val="auto"/>
              </w:rPr>
            </w:pPr>
            <w:r>
              <w:rPr>
                <w:rFonts w:ascii="Arial" w:cs="Arial" w:eastAsia="Arial" w:hAnsi="Arial"/>
                <w:sz w:val="19"/>
                <w:szCs w:val="19"/>
                <w:b w:val="1"/>
                <w:bCs w:val="1"/>
                <w:color w:val="FB4E0B"/>
                <w:w w:val="90"/>
              </w:rPr>
              <w:t>NEO compensation mix</w:t>
            </w:r>
          </w:p>
        </w:tc>
      </w:tr>
      <w:tr>
        <w:trPr>
          <w:trHeight w:val="248"/>
        </w:trPr>
        <w:tc>
          <w:tcPr>
            <w:tcW w:w="3620" w:type="dxa"/>
            <w:vAlign w:val="bottom"/>
          </w:tcPr>
          <w:p>
            <w:pPr>
              <w:jc w:val="center"/>
              <w:ind w:right="1605"/>
              <w:spacing w:after="0"/>
              <w:rPr>
                <w:sz w:val="20"/>
                <w:szCs w:val="20"/>
                <w:color w:val="auto"/>
              </w:rPr>
            </w:pPr>
            <w:r>
              <w:rPr>
                <w:rFonts w:ascii="Arial" w:cs="Arial" w:eastAsia="Arial" w:hAnsi="Arial"/>
                <w:sz w:val="19"/>
                <w:szCs w:val="19"/>
                <w:b w:val="1"/>
                <w:bCs w:val="1"/>
                <w:color w:val="FB4E0B"/>
                <w:w w:val="88"/>
              </w:rPr>
              <w:t>compensation mix</w:t>
            </w:r>
          </w:p>
        </w:tc>
        <w:tc>
          <w:tcPr>
            <w:tcW w:w="3680" w:type="dxa"/>
            <w:vAlign w:val="bottom"/>
          </w:tcPr>
          <w:p>
            <w:pPr>
              <w:ind w:left="1700"/>
              <w:spacing w:after="0"/>
              <w:rPr>
                <w:sz w:val="20"/>
                <w:szCs w:val="20"/>
                <w:color w:val="auto"/>
              </w:rPr>
            </w:pPr>
            <w:r>
              <w:rPr>
                <w:rFonts w:ascii="Arial" w:cs="Arial" w:eastAsia="Arial" w:hAnsi="Arial"/>
                <w:sz w:val="14"/>
                <w:szCs w:val="14"/>
                <w:color w:val="auto"/>
                <w:w w:val="91"/>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154305</wp:posOffset>
            </wp:positionV>
            <wp:extent cx="2147570" cy="1924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7570" cy="19246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154305</wp:posOffset>
            </wp:positionV>
            <wp:extent cx="1776095" cy="1528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7609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Base salary also includes other compensation</w:t>
      </w:r>
    </w:p>
    <w:p>
      <w:pPr>
        <w:spacing w:after="0" w:line="255"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19</w:t>
      </w:r>
    </w:p>
    <w:p>
      <w:pPr>
        <w:sectPr>
          <w:pgSz w:w="11900" w:h="16838" w:orient="portrait"/>
          <w:cols w:equalWidth="0" w:num="1">
            <w:col w:w="10940"/>
          </w:cols>
          <w:pgMar w:left="320" w:top="473" w:right="6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Our board of directors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Our board of directors</w:t>
      </w:r>
    </w:p>
    <w:p>
      <w:pPr>
        <w:spacing w:after="0" w:line="328" w:lineRule="exact"/>
        <w:rPr>
          <w:sz w:val="20"/>
          <w:szCs w:val="20"/>
          <w:color w:val="auto"/>
        </w:rPr>
      </w:pPr>
    </w:p>
    <w:p>
      <w:pPr>
        <w:jc w:val="both"/>
        <w:ind w:left="320" w:right="120"/>
        <w:spacing w:after="0" w:line="270" w:lineRule="auto"/>
        <w:rPr>
          <w:sz w:val="20"/>
          <w:szCs w:val="20"/>
          <w:color w:val="auto"/>
        </w:rPr>
      </w:pPr>
      <w:r>
        <w:rPr>
          <w:rFonts w:ascii="Arial" w:cs="Arial" w:eastAsia="Arial" w:hAnsi="Arial"/>
          <w:sz w:val="17"/>
          <w:szCs w:val="17"/>
          <w:color w:val="auto"/>
        </w:rPr>
        <w:t>Our board of directors currently consists of nine directors (including our seven director nominees, and two of our directors who currently serve on the board, but will not stand for reelection) with diverse experience, including in analytics, digital operations and solutions, client industries, information and cybersecurity, human capital management, ESG, and finance and accounting,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133985</wp:posOffset>
            </wp:positionV>
            <wp:extent cx="5881370" cy="2998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81370" cy="299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From left: Clyde Ostler* (Independent Director), Nitin Sahney (Independent Director and Nominating and Governance Committee Chair), Kristy Pipes (Independent Director and Audit Committee Chair), Rohit Kapoor (Vice Chairman and CEO), Jaynie Studenmund (Independent Director and Compensation and Talent Management Committee Chair), Andreas Fibig (Independent Director), Vikram Pandit (Independent Chairman), Som Mittal (Independent Director), Anne Minto*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1756410</wp:posOffset>
            </wp:positionV>
            <wp:extent cx="7435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Not standing for reelection</w:t>
      </w:r>
    </w:p>
    <w:p>
      <w:pPr>
        <w:spacing w:after="0" w:line="112"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20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20"/>
          </w:cols>
          <w:pgMar w:left="320" w:top="473" w:right="75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Our board of directors</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Board diversity matrix</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2023 Board diversity matrix (as of April 28, 2023)*</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343"/>
        </w:trPr>
        <w:tc>
          <w:tcPr>
            <w:tcW w:w="20" w:type="dxa"/>
            <w:vAlign w:val="bottom"/>
          </w:tcPr>
          <w:p>
            <w:pPr>
              <w:spacing w:after="0"/>
              <w:rPr>
                <w:sz w:val="24"/>
                <w:szCs w:val="24"/>
                <w:color w:val="auto"/>
              </w:rPr>
            </w:pPr>
          </w:p>
        </w:tc>
        <w:tc>
          <w:tcPr>
            <w:tcW w:w="93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Total number of directors:</w:t>
            </w:r>
          </w:p>
        </w:tc>
        <w:tc>
          <w:tcPr>
            <w:tcW w:w="7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9</w:t>
            </w:r>
          </w:p>
        </w:tc>
        <w:tc>
          <w:tcPr>
            <w:tcW w:w="460" w:type="dxa"/>
            <w:vAlign w:val="bottom"/>
            <w:tcBorders>
              <w:bottom w:val="single" w:sz="8" w:color="D8D8D8"/>
            </w:tcBorders>
            <w:shd w:val="clear" w:color="auto" w:fill="D8D8D8"/>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9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7"/>
                <w:szCs w:val="17"/>
                <w:b w:val="1"/>
                <w:bCs w:val="1"/>
                <w:color w:val="FB4E0B"/>
              </w:rPr>
              <w:t>Female</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FB4E0B"/>
              </w:rPr>
              <w:t>Male</w:t>
            </w:r>
          </w:p>
        </w:tc>
      </w:tr>
      <w:tr>
        <w:trPr>
          <w:trHeight w:val="84"/>
        </w:trPr>
        <w:tc>
          <w:tcPr>
            <w:tcW w:w="20" w:type="dxa"/>
            <w:vAlign w:val="bottom"/>
          </w:tcPr>
          <w:p>
            <w:pPr>
              <w:spacing w:after="0"/>
              <w:rPr>
                <w:sz w:val="7"/>
                <w:szCs w:val="7"/>
                <w:color w:val="auto"/>
              </w:rPr>
            </w:pPr>
          </w:p>
        </w:tc>
        <w:tc>
          <w:tcPr>
            <w:tcW w:w="9360" w:type="dxa"/>
            <w:vAlign w:val="bottom"/>
            <w:tcBorders>
              <w:bottom w:val="single" w:sz="8" w:color="FB4E0B"/>
            </w:tcBorders>
          </w:tcPr>
          <w:p>
            <w:pPr>
              <w:spacing w:after="0"/>
              <w:rPr>
                <w:sz w:val="7"/>
                <w:szCs w:val="7"/>
                <w:color w:val="auto"/>
              </w:rPr>
            </w:pPr>
          </w:p>
        </w:tc>
        <w:tc>
          <w:tcPr>
            <w:tcW w:w="780" w:type="dxa"/>
            <w:vAlign w:val="bottom"/>
            <w:tcBorders>
              <w:bottom w:val="single" w:sz="8" w:color="FB4E0B"/>
            </w:tcBorders>
          </w:tcPr>
          <w:p>
            <w:pPr>
              <w:spacing w:after="0"/>
              <w:rPr>
                <w:sz w:val="7"/>
                <w:szCs w:val="7"/>
                <w:color w:val="auto"/>
              </w:rPr>
            </w:pPr>
          </w:p>
        </w:tc>
        <w:tc>
          <w:tcPr>
            <w:tcW w:w="460" w:type="dxa"/>
            <w:vAlign w:val="bottom"/>
            <w:tcBorders>
              <w:bottom w:val="single" w:sz="8" w:color="FB4E0B"/>
            </w:tcBorders>
          </w:tcPr>
          <w:p>
            <w:pPr>
              <w:spacing w:after="0"/>
              <w:rPr>
                <w:sz w:val="7"/>
                <w:szCs w:val="7"/>
                <w:color w:val="auto"/>
              </w:rPr>
            </w:pPr>
          </w:p>
        </w:tc>
      </w:tr>
      <w:tr>
        <w:trPr>
          <w:trHeight w:val="260"/>
        </w:trPr>
        <w:tc>
          <w:tcPr>
            <w:tcW w:w="20" w:type="dxa"/>
            <w:vAlign w:val="bottom"/>
          </w:tcPr>
          <w:p>
            <w:pPr>
              <w:spacing w:after="0"/>
              <w:rPr>
                <w:sz w:val="22"/>
                <w:szCs w:val="22"/>
                <w:color w:val="auto"/>
              </w:rPr>
            </w:pPr>
          </w:p>
        </w:tc>
        <w:tc>
          <w:tcPr>
            <w:tcW w:w="9360" w:type="dxa"/>
            <w:vAlign w:val="bottom"/>
            <w:shd w:val="clear" w:color="auto" w:fill="D8D8D8"/>
          </w:tcPr>
          <w:p>
            <w:pPr>
              <w:ind w:left="20"/>
              <w:spacing w:after="0"/>
              <w:rPr>
                <w:sz w:val="20"/>
                <w:szCs w:val="20"/>
                <w:color w:val="auto"/>
              </w:rPr>
            </w:pPr>
            <w:r>
              <w:rPr>
                <w:rFonts w:ascii="Arial" w:cs="Arial" w:eastAsia="Arial" w:hAnsi="Arial"/>
                <w:sz w:val="17"/>
                <w:szCs w:val="17"/>
                <w:b w:val="1"/>
                <w:bCs w:val="1"/>
                <w:color w:val="auto"/>
              </w:rPr>
              <w:t>Part I: Gender identity</w:t>
            </w:r>
          </w:p>
        </w:tc>
        <w:tc>
          <w:tcPr>
            <w:tcW w:w="780" w:type="dxa"/>
            <w:vAlign w:val="bottom"/>
            <w:shd w:val="clear" w:color="auto" w:fill="D8D8D8"/>
          </w:tcPr>
          <w:p>
            <w:pPr>
              <w:spacing w:after="0"/>
              <w:rPr>
                <w:sz w:val="22"/>
                <w:szCs w:val="22"/>
                <w:color w:val="auto"/>
              </w:rPr>
            </w:pPr>
          </w:p>
        </w:tc>
        <w:tc>
          <w:tcPr>
            <w:tcW w:w="460" w:type="dxa"/>
            <w:vAlign w:val="bottom"/>
            <w:shd w:val="clear" w:color="auto" w:fill="D8D8D8"/>
          </w:tcPr>
          <w:p>
            <w:pPr>
              <w:spacing w:after="0"/>
              <w:rPr>
                <w:sz w:val="22"/>
                <w:szCs w:val="22"/>
                <w:color w:val="auto"/>
              </w:rPr>
            </w:pP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shd w:val="clear" w:color="auto" w:fill="D8D8D8"/>
          </w:tcPr>
          <w:p>
            <w:pPr>
              <w:spacing w:after="0"/>
              <w:rPr>
                <w:sz w:val="5"/>
                <w:szCs w:val="5"/>
                <w:color w:val="auto"/>
              </w:rPr>
            </w:pPr>
          </w:p>
        </w:tc>
        <w:tc>
          <w:tcPr>
            <w:tcW w:w="780" w:type="dxa"/>
            <w:vAlign w:val="bottom"/>
            <w:tcBorders>
              <w:bottom w:val="single" w:sz="8" w:color="B2B2B2"/>
            </w:tcBorders>
            <w:shd w:val="clear" w:color="auto" w:fill="D8D8D8"/>
          </w:tcPr>
          <w:p>
            <w:pPr>
              <w:spacing w:after="0"/>
              <w:rPr>
                <w:sz w:val="5"/>
                <w:szCs w:val="5"/>
                <w:color w:val="auto"/>
              </w:rPr>
            </w:pPr>
          </w:p>
        </w:tc>
        <w:tc>
          <w:tcPr>
            <w:tcW w:w="460" w:type="dxa"/>
            <w:vAlign w:val="bottom"/>
            <w:tcBorders>
              <w:bottom w:val="single" w:sz="8" w:color="B2B2B2"/>
            </w:tcBorders>
            <w:shd w:val="clear" w:color="auto" w:fill="D8D8D8"/>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tcPr>
          <w:p>
            <w:pPr>
              <w:ind w:left="20"/>
              <w:spacing w:after="0"/>
              <w:rPr>
                <w:sz w:val="20"/>
                <w:szCs w:val="20"/>
                <w:color w:val="auto"/>
              </w:rPr>
            </w:pPr>
            <w:r>
              <w:rPr>
                <w:rFonts w:ascii="Arial" w:cs="Arial" w:eastAsia="Arial" w:hAnsi="Arial"/>
                <w:sz w:val="17"/>
                <w:szCs w:val="17"/>
                <w:color w:val="auto"/>
              </w:rPr>
              <w:t>Directors</w:t>
            </w:r>
          </w:p>
        </w:tc>
        <w:tc>
          <w:tcPr>
            <w:tcW w:w="780" w:type="dxa"/>
            <w:vAlign w:val="bottom"/>
          </w:tcPr>
          <w:p>
            <w:pPr>
              <w:jc w:val="center"/>
              <w:spacing w:after="0"/>
              <w:rPr>
                <w:sz w:val="20"/>
                <w:szCs w:val="20"/>
                <w:color w:val="auto"/>
              </w:rPr>
            </w:pPr>
            <w:r>
              <w:rPr>
                <w:rFonts w:ascii="Arial" w:cs="Arial" w:eastAsia="Arial" w:hAnsi="Arial"/>
                <w:sz w:val="17"/>
                <w:szCs w:val="17"/>
                <w:color w:val="auto"/>
              </w:rPr>
              <w:t>3</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6</w:t>
            </w: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tcPr>
          <w:p>
            <w:pPr>
              <w:spacing w:after="0"/>
              <w:rPr>
                <w:sz w:val="5"/>
                <w:szCs w:val="5"/>
                <w:color w:val="auto"/>
              </w:rPr>
            </w:pPr>
          </w:p>
        </w:tc>
        <w:tc>
          <w:tcPr>
            <w:tcW w:w="780" w:type="dxa"/>
            <w:vAlign w:val="bottom"/>
            <w:tcBorders>
              <w:bottom w:val="single" w:sz="8" w:color="B2B2B2"/>
            </w:tcBorders>
          </w:tcPr>
          <w:p>
            <w:pPr>
              <w:spacing w:after="0"/>
              <w:rPr>
                <w:sz w:val="5"/>
                <w:szCs w:val="5"/>
                <w:color w:val="auto"/>
              </w:rPr>
            </w:pPr>
          </w:p>
        </w:tc>
        <w:tc>
          <w:tcPr>
            <w:tcW w:w="460" w:type="dxa"/>
            <w:vAlign w:val="bottom"/>
            <w:tcBorders>
              <w:bottom w:val="single" w:sz="8" w:color="B2B2B2"/>
            </w:tcBorders>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shd w:val="clear" w:color="auto" w:fill="D8D8D8"/>
          </w:tcPr>
          <w:p>
            <w:pPr>
              <w:ind w:left="20"/>
              <w:spacing w:after="0"/>
              <w:rPr>
                <w:sz w:val="20"/>
                <w:szCs w:val="20"/>
                <w:color w:val="auto"/>
              </w:rPr>
            </w:pPr>
            <w:r>
              <w:rPr>
                <w:rFonts w:ascii="Arial" w:cs="Arial" w:eastAsia="Arial" w:hAnsi="Arial"/>
                <w:sz w:val="17"/>
                <w:szCs w:val="17"/>
                <w:b w:val="1"/>
                <w:bCs w:val="1"/>
                <w:color w:val="auto"/>
              </w:rPr>
              <w:t>Part II: Demographic background</w:t>
            </w:r>
          </w:p>
        </w:tc>
        <w:tc>
          <w:tcPr>
            <w:tcW w:w="780" w:type="dxa"/>
            <w:vAlign w:val="bottom"/>
            <w:shd w:val="clear" w:color="auto" w:fill="D8D8D8"/>
          </w:tcPr>
          <w:p>
            <w:pPr>
              <w:spacing w:after="0"/>
              <w:rPr>
                <w:sz w:val="22"/>
                <w:szCs w:val="22"/>
                <w:color w:val="auto"/>
              </w:rPr>
            </w:pPr>
          </w:p>
        </w:tc>
        <w:tc>
          <w:tcPr>
            <w:tcW w:w="460" w:type="dxa"/>
            <w:vAlign w:val="bottom"/>
            <w:shd w:val="clear" w:color="auto" w:fill="D8D8D8"/>
          </w:tcPr>
          <w:p>
            <w:pPr>
              <w:spacing w:after="0"/>
              <w:rPr>
                <w:sz w:val="22"/>
                <w:szCs w:val="22"/>
                <w:color w:val="auto"/>
              </w:rPr>
            </w:pP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shd w:val="clear" w:color="auto" w:fill="D8D8D8"/>
          </w:tcPr>
          <w:p>
            <w:pPr>
              <w:spacing w:after="0"/>
              <w:rPr>
                <w:sz w:val="5"/>
                <w:szCs w:val="5"/>
                <w:color w:val="auto"/>
              </w:rPr>
            </w:pPr>
          </w:p>
        </w:tc>
        <w:tc>
          <w:tcPr>
            <w:tcW w:w="780" w:type="dxa"/>
            <w:vAlign w:val="bottom"/>
            <w:tcBorders>
              <w:bottom w:val="single" w:sz="8" w:color="B2B2B2"/>
            </w:tcBorders>
            <w:shd w:val="clear" w:color="auto" w:fill="D8D8D8"/>
          </w:tcPr>
          <w:p>
            <w:pPr>
              <w:spacing w:after="0"/>
              <w:rPr>
                <w:sz w:val="5"/>
                <w:szCs w:val="5"/>
                <w:color w:val="auto"/>
              </w:rPr>
            </w:pPr>
          </w:p>
        </w:tc>
        <w:tc>
          <w:tcPr>
            <w:tcW w:w="460" w:type="dxa"/>
            <w:vAlign w:val="bottom"/>
            <w:tcBorders>
              <w:bottom w:val="single" w:sz="8" w:color="B2B2B2"/>
            </w:tcBorders>
            <w:shd w:val="clear" w:color="auto" w:fill="D8D8D8"/>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tcPr>
          <w:p>
            <w:pPr>
              <w:ind w:left="20"/>
              <w:spacing w:after="0"/>
              <w:rPr>
                <w:sz w:val="20"/>
                <w:szCs w:val="20"/>
                <w:color w:val="auto"/>
              </w:rPr>
            </w:pPr>
            <w:r>
              <w:rPr>
                <w:rFonts w:ascii="Arial" w:cs="Arial" w:eastAsia="Arial" w:hAnsi="Arial"/>
                <w:sz w:val="17"/>
                <w:szCs w:val="17"/>
                <w:color w:val="auto"/>
              </w:rPr>
              <w:t>Asian</w:t>
            </w:r>
          </w:p>
        </w:tc>
        <w:tc>
          <w:tcPr>
            <w:tcW w:w="78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tcPr>
          <w:p>
            <w:pPr>
              <w:spacing w:after="0"/>
              <w:rPr>
                <w:sz w:val="5"/>
                <w:szCs w:val="5"/>
                <w:color w:val="auto"/>
              </w:rPr>
            </w:pPr>
          </w:p>
        </w:tc>
        <w:tc>
          <w:tcPr>
            <w:tcW w:w="780" w:type="dxa"/>
            <w:vAlign w:val="bottom"/>
            <w:tcBorders>
              <w:bottom w:val="single" w:sz="8" w:color="B2B2B2"/>
            </w:tcBorders>
          </w:tcPr>
          <w:p>
            <w:pPr>
              <w:spacing w:after="0"/>
              <w:rPr>
                <w:sz w:val="5"/>
                <w:szCs w:val="5"/>
                <w:color w:val="auto"/>
              </w:rPr>
            </w:pPr>
          </w:p>
        </w:tc>
        <w:tc>
          <w:tcPr>
            <w:tcW w:w="460" w:type="dxa"/>
            <w:vAlign w:val="bottom"/>
            <w:tcBorders>
              <w:bottom w:val="single" w:sz="8" w:color="B2B2B2"/>
            </w:tcBorders>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tcPr>
          <w:p>
            <w:pPr>
              <w:ind w:left="20"/>
              <w:spacing w:after="0"/>
              <w:rPr>
                <w:sz w:val="20"/>
                <w:szCs w:val="20"/>
                <w:color w:val="auto"/>
              </w:rPr>
            </w:pPr>
            <w:r>
              <w:rPr>
                <w:rFonts w:ascii="Arial" w:cs="Arial" w:eastAsia="Arial" w:hAnsi="Arial"/>
                <w:sz w:val="17"/>
                <w:szCs w:val="17"/>
                <w:color w:val="auto"/>
              </w:rPr>
              <w:t>White (other than Middle Eastern)</w:t>
            </w:r>
          </w:p>
        </w:tc>
        <w:tc>
          <w:tcPr>
            <w:tcW w:w="780" w:type="dxa"/>
            <w:vAlign w:val="bottom"/>
          </w:tcPr>
          <w:p>
            <w:pPr>
              <w:jc w:val="center"/>
              <w:spacing w:after="0"/>
              <w:rPr>
                <w:sz w:val="20"/>
                <w:szCs w:val="20"/>
                <w:color w:val="auto"/>
              </w:rPr>
            </w:pPr>
            <w:r>
              <w:rPr>
                <w:rFonts w:ascii="Arial" w:cs="Arial" w:eastAsia="Arial" w:hAnsi="Arial"/>
                <w:sz w:val="17"/>
                <w:szCs w:val="17"/>
                <w:color w:val="auto"/>
              </w:rPr>
              <w:t>3</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2</w:t>
            </w:r>
          </w:p>
        </w:tc>
      </w:tr>
      <w:tr>
        <w:trPr>
          <w:trHeight w:val="84"/>
        </w:trPr>
        <w:tc>
          <w:tcPr>
            <w:tcW w:w="9380" w:type="dxa"/>
            <w:vAlign w:val="bottom"/>
            <w:gridSpan w:val="2"/>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164"/>
        </w:trPr>
        <w:tc>
          <w:tcPr>
            <w:tcW w:w="20" w:type="dxa"/>
            <w:vAlign w:val="bottom"/>
          </w:tcPr>
          <w:p>
            <w:pPr>
              <w:spacing w:after="0"/>
              <w:rPr>
                <w:sz w:val="14"/>
                <w:szCs w:val="14"/>
                <w:color w:val="auto"/>
              </w:rPr>
            </w:pPr>
          </w:p>
        </w:tc>
        <w:tc>
          <w:tcPr>
            <w:tcW w:w="9360" w:type="dxa"/>
            <w:vAlign w:val="bottom"/>
            <w:tcBorders>
              <w:top w:val="single" w:sz="8" w:color="FB4E0B"/>
            </w:tcBorders>
          </w:tcPr>
          <w:p>
            <w:pPr>
              <w:spacing w:after="0"/>
              <w:rPr>
                <w:sz w:val="20"/>
                <w:szCs w:val="20"/>
                <w:color w:val="auto"/>
              </w:rPr>
            </w:pPr>
            <w:r>
              <w:rPr>
                <w:rFonts w:ascii="Arial" w:cs="Arial" w:eastAsia="Arial" w:hAnsi="Arial"/>
                <w:sz w:val="13"/>
                <w:szCs w:val="13"/>
                <w:color w:val="auto"/>
              </w:rPr>
              <w:t>* Includes our nine current directors, including our seven nominees for election at the Annual Meeting.</w:t>
            </w:r>
          </w:p>
        </w:tc>
        <w:tc>
          <w:tcPr>
            <w:tcW w:w="780" w:type="dxa"/>
            <w:vAlign w:val="bottom"/>
            <w:tcBorders>
              <w:top w:val="single" w:sz="8" w:color="FB4E0B"/>
            </w:tcBorders>
          </w:tcPr>
          <w:p>
            <w:pPr>
              <w:spacing w:after="0"/>
              <w:rPr>
                <w:sz w:val="14"/>
                <w:szCs w:val="14"/>
                <w:color w:val="auto"/>
              </w:rPr>
            </w:pPr>
          </w:p>
        </w:tc>
        <w:tc>
          <w:tcPr>
            <w:tcW w:w="460" w:type="dxa"/>
            <w:vAlign w:val="bottom"/>
            <w:tcBorders>
              <w:top w:val="single" w:sz="8" w:color="FB4E0B"/>
            </w:tcBorders>
          </w:tcPr>
          <w:p>
            <w:pPr>
              <w:spacing w:after="0"/>
              <w:rPr>
                <w:sz w:val="14"/>
                <w:szCs w:val="14"/>
                <w:color w:val="auto"/>
              </w:rPr>
            </w:pPr>
          </w:p>
        </w:tc>
      </w:tr>
      <w:tr>
        <w:trPr>
          <w:trHeight w:val="360"/>
        </w:trPr>
        <w:tc>
          <w:tcPr>
            <w:tcW w:w="9380" w:type="dxa"/>
            <w:vAlign w:val="bottom"/>
            <w:gridSpan w:val="2"/>
          </w:tcPr>
          <w:p>
            <w:pPr>
              <w:spacing w:after="0"/>
              <w:rPr>
                <w:sz w:val="20"/>
                <w:szCs w:val="20"/>
                <w:color w:val="auto"/>
              </w:rPr>
            </w:pPr>
            <w:r>
              <w:rPr>
                <w:rFonts w:ascii="Arial" w:cs="Arial" w:eastAsia="Arial" w:hAnsi="Arial"/>
                <w:sz w:val="19"/>
                <w:szCs w:val="19"/>
                <w:b w:val="1"/>
                <w:bCs w:val="1"/>
                <w:color w:val="FB4E0B"/>
              </w:rPr>
              <w:t>2022 Board diversity matrix (as of April 28, 2022)</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43"/>
        </w:trPr>
        <w:tc>
          <w:tcPr>
            <w:tcW w:w="20" w:type="dxa"/>
            <w:vAlign w:val="bottom"/>
          </w:tcPr>
          <w:p>
            <w:pPr>
              <w:spacing w:after="0"/>
              <w:rPr>
                <w:sz w:val="24"/>
                <w:szCs w:val="24"/>
                <w:color w:val="auto"/>
              </w:rPr>
            </w:pPr>
          </w:p>
        </w:tc>
        <w:tc>
          <w:tcPr>
            <w:tcW w:w="93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Total number of directors:</w:t>
            </w:r>
          </w:p>
        </w:tc>
        <w:tc>
          <w:tcPr>
            <w:tcW w:w="7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9</w:t>
            </w:r>
          </w:p>
        </w:tc>
        <w:tc>
          <w:tcPr>
            <w:tcW w:w="460" w:type="dxa"/>
            <w:vAlign w:val="bottom"/>
            <w:tcBorders>
              <w:bottom w:val="single" w:sz="8" w:color="D8D8D8"/>
            </w:tcBorders>
            <w:shd w:val="clear" w:color="auto" w:fill="D8D8D8"/>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9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7"/>
                <w:szCs w:val="17"/>
                <w:b w:val="1"/>
                <w:bCs w:val="1"/>
                <w:color w:val="FB4E0B"/>
              </w:rPr>
              <w:t>Female</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FB4E0B"/>
              </w:rPr>
              <w:t>Male</w:t>
            </w:r>
          </w:p>
        </w:tc>
      </w:tr>
      <w:tr>
        <w:trPr>
          <w:trHeight w:val="84"/>
        </w:trPr>
        <w:tc>
          <w:tcPr>
            <w:tcW w:w="20" w:type="dxa"/>
            <w:vAlign w:val="bottom"/>
          </w:tcPr>
          <w:p>
            <w:pPr>
              <w:spacing w:after="0"/>
              <w:rPr>
                <w:sz w:val="7"/>
                <w:szCs w:val="7"/>
                <w:color w:val="auto"/>
              </w:rPr>
            </w:pPr>
          </w:p>
        </w:tc>
        <w:tc>
          <w:tcPr>
            <w:tcW w:w="9360" w:type="dxa"/>
            <w:vAlign w:val="bottom"/>
            <w:tcBorders>
              <w:bottom w:val="single" w:sz="8" w:color="FB4E0B"/>
            </w:tcBorders>
          </w:tcPr>
          <w:p>
            <w:pPr>
              <w:spacing w:after="0"/>
              <w:rPr>
                <w:sz w:val="7"/>
                <w:szCs w:val="7"/>
                <w:color w:val="auto"/>
              </w:rPr>
            </w:pPr>
          </w:p>
        </w:tc>
        <w:tc>
          <w:tcPr>
            <w:tcW w:w="780" w:type="dxa"/>
            <w:vAlign w:val="bottom"/>
            <w:tcBorders>
              <w:bottom w:val="single" w:sz="8" w:color="FB4E0B"/>
            </w:tcBorders>
          </w:tcPr>
          <w:p>
            <w:pPr>
              <w:spacing w:after="0"/>
              <w:rPr>
                <w:sz w:val="7"/>
                <w:szCs w:val="7"/>
                <w:color w:val="auto"/>
              </w:rPr>
            </w:pPr>
          </w:p>
        </w:tc>
        <w:tc>
          <w:tcPr>
            <w:tcW w:w="460" w:type="dxa"/>
            <w:vAlign w:val="bottom"/>
            <w:tcBorders>
              <w:bottom w:val="single" w:sz="8" w:color="FB4E0B"/>
            </w:tcBorders>
          </w:tcPr>
          <w:p>
            <w:pPr>
              <w:spacing w:after="0"/>
              <w:rPr>
                <w:sz w:val="7"/>
                <w:szCs w:val="7"/>
                <w:color w:val="auto"/>
              </w:rPr>
            </w:pPr>
          </w:p>
        </w:tc>
      </w:tr>
      <w:tr>
        <w:trPr>
          <w:trHeight w:val="260"/>
        </w:trPr>
        <w:tc>
          <w:tcPr>
            <w:tcW w:w="20" w:type="dxa"/>
            <w:vAlign w:val="bottom"/>
          </w:tcPr>
          <w:p>
            <w:pPr>
              <w:spacing w:after="0"/>
              <w:rPr>
                <w:sz w:val="22"/>
                <w:szCs w:val="22"/>
                <w:color w:val="auto"/>
              </w:rPr>
            </w:pPr>
          </w:p>
        </w:tc>
        <w:tc>
          <w:tcPr>
            <w:tcW w:w="9360" w:type="dxa"/>
            <w:vAlign w:val="bottom"/>
            <w:shd w:val="clear" w:color="auto" w:fill="D8D8D8"/>
          </w:tcPr>
          <w:p>
            <w:pPr>
              <w:ind w:left="20"/>
              <w:spacing w:after="0"/>
              <w:rPr>
                <w:sz w:val="20"/>
                <w:szCs w:val="20"/>
                <w:color w:val="auto"/>
              </w:rPr>
            </w:pPr>
            <w:r>
              <w:rPr>
                <w:rFonts w:ascii="Arial" w:cs="Arial" w:eastAsia="Arial" w:hAnsi="Arial"/>
                <w:sz w:val="17"/>
                <w:szCs w:val="17"/>
                <w:b w:val="1"/>
                <w:bCs w:val="1"/>
                <w:color w:val="auto"/>
              </w:rPr>
              <w:t>Part I: Gender identity</w:t>
            </w:r>
          </w:p>
        </w:tc>
        <w:tc>
          <w:tcPr>
            <w:tcW w:w="780" w:type="dxa"/>
            <w:vAlign w:val="bottom"/>
            <w:shd w:val="clear" w:color="auto" w:fill="D8D8D8"/>
          </w:tcPr>
          <w:p>
            <w:pPr>
              <w:spacing w:after="0"/>
              <w:rPr>
                <w:sz w:val="22"/>
                <w:szCs w:val="22"/>
                <w:color w:val="auto"/>
              </w:rPr>
            </w:pPr>
          </w:p>
        </w:tc>
        <w:tc>
          <w:tcPr>
            <w:tcW w:w="460" w:type="dxa"/>
            <w:vAlign w:val="bottom"/>
            <w:shd w:val="clear" w:color="auto" w:fill="D8D8D8"/>
          </w:tcPr>
          <w:p>
            <w:pPr>
              <w:spacing w:after="0"/>
              <w:rPr>
                <w:sz w:val="22"/>
                <w:szCs w:val="22"/>
                <w:color w:val="auto"/>
              </w:rPr>
            </w:pP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shd w:val="clear" w:color="auto" w:fill="D8D8D8"/>
          </w:tcPr>
          <w:p>
            <w:pPr>
              <w:spacing w:after="0"/>
              <w:rPr>
                <w:sz w:val="5"/>
                <w:szCs w:val="5"/>
                <w:color w:val="auto"/>
              </w:rPr>
            </w:pPr>
          </w:p>
        </w:tc>
        <w:tc>
          <w:tcPr>
            <w:tcW w:w="780" w:type="dxa"/>
            <w:vAlign w:val="bottom"/>
            <w:tcBorders>
              <w:bottom w:val="single" w:sz="8" w:color="B2B2B2"/>
            </w:tcBorders>
            <w:shd w:val="clear" w:color="auto" w:fill="D8D8D8"/>
          </w:tcPr>
          <w:p>
            <w:pPr>
              <w:spacing w:after="0"/>
              <w:rPr>
                <w:sz w:val="5"/>
                <w:szCs w:val="5"/>
                <w:color w:val="auto"/>
              </w:rPr>
            </w:pPr>
          </w:p>
        </w:tc>
        <w:tc>
          <w:tcPr>
            <w:tcW w:w="460" w:type="dxa"/>
            <w:vAlign w:val="bottom"/>
            <w:tcBorders>
              <w:bottom w:val="single" w:sz="8" w:color="B2B2B2"/>
            </w:tcBorders>
            <w:shd w:val="clear" w:color="auto" w:fill="D8D8D8"/>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tcPr>
          <w:p>
            <w:pPr>
              <w:ind w:left="20"/>
              <w:spacing w:after="0"/>
              <w:rPr>
                <w:sz w:val="20"/>
                <w:szCs w:val="20"/>
                <w:color w:val="auto"/>
              </w:rPr>
            </w:pPr>
            <w:r>
              <w:rPr>
                <w:rFonts w:ascii="Arial" w:cs="Arial" w:eastAsia="Arial" w:hAnsi="Arial"/>
                <w:sz w:val="17"/>
                <w:szCs w:val="17"/>
                <w:color w:val="auto"/>
              </w:rPr>
              <w:t>Directors</w:t>
            </w:r>
          </w:p>
        </w:tc>
        <w:tc>
          <w:tcPr>
            <w:tcW w:w="780" w:type="dxa"/>
            <w:vAlign w:val="bottom"/>
          </w:tcPr>
          <w:p>
            <w:pPr>
              <w:jc w:val="center"/>
              <w:spacing w:after="0"/>
              <w:rPr>
                <w:sz w:val="20"/>
                <w:szCs w:val="20"/>
                <w:color w:val="auto"/>
              </w:rPr>
            </w:pPr>
            <w:r>
              <w:rPr>
                <w:rFonts w:ascii="Arial" w:cs="Arial" w:eastAsia="Arial" w:hAnsi="Arial"/>
                <w:sz w:val="17"/>
                <w:szCs w:val="17"/>
                <w:color w:val="auto"/>
              </w:rPr>
              <w:t>3</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6</w:t>
            </w: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tcPr>
          <w:p>
            <w:pPr>
              <w:spacing w:after="0"/>
              <w:rPr>
                <w:sz w:val="5"/>
                <w:szCs w:val="5"/>
                <w:color w:val="auto"/>
              </w:rPr>
            </w:pPr>
          </w:p>
        </w:tc>
        <w:tc>
          <w:tcPr>
            <w:tcW w:w="780" w:type="dxa"/>
            <w:vAlign w:val="bottom"/>
            <w:tcBorders>
              <w:bottom w:val="single" w:sz="8" w:color="B2B2B2"/>
            </w:tcBorders>
          </w:tcPr>
          <w:p>
            <w:pPr>
              <w:spacing w:after="0"/>
              <w:rPr>
                <w:sz w:val="5"/>
                <w:szCs w:val="5"/>
                <w:color w:val="auto"/>
              </w:rPr>
            </w:pPr>
          </w:p>
        </w:tc>
        <w:tc>
          <w:tcPr>
            <w:tcW w:w="460" w:type="dxa"/>
            <w:vAlign w:val="bottom"/>
            <w:tcBorders>
              <w:bottom w:val="single" w:sz="8" w:color="B2B2B2"/>
            </w:tcBorders>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shd w:val="clear" w:color="auto" w:fill="D8D8D8"/>
          </w:tcPr>
          <w:p>
            <w:pPr>
              <w:ind w:left="20"/>
              <w:spacing w:after="0"/>
              <w:rPr>
                <w:sz w:val="20"/>
                <w:szCs w:val="20"/>
                <w:color w:val="auto"/>
              </w:rPr>
            </w:pPr>
            <w:r>
              <w:rPr>
                <w:rFonts w:ascii="Arial" w:cs="Arial" w:eastAsia="Arial" w:hAnsi="Arial"/>
                <w:sz w:val="17"/>
                <w:szCs w:val="17"/>
                <w:b w:val="1"/>
                <w:bCs w:val="1"/>
                <w:color w:val="auto"/>
              </w:rPr>
              <w:t>Part II: Demographic background</w:t>
            </w:r>
          </w:p>
        </w:tc>
        <w:tc>
          <w:tcPr>
            <w:tcW w:w="780" w:type="dxa"/>
            <w:vAlign w:val="bottom"/>
            <w:shd w:val="clear" w:color="auto" w:fill="D8D8D8"/>
          </w:tcPr>
          <w:p>
            <w:pPr>
              <w:spacing w:after="0"/>
              <w:rPr>
                <w:sz w:val="22"/>
                <w:szCs w:val="22"/>
                <w:color w:val="auto"/>
              </w:rPr>
            </w:pPr>
          </w:p>
        </w:tc>
        <w:tc>
          <w:tcPr>
            <w:tcW w:w="460" w:type="dxa"/>
            <w:vAlign w:val="bottom"/>
            <w:shd w:val="clear" w:color="auto" w:fill="D8D8D8"/>
          </w:tcPr>
          <w:p>
            <w:pPr>
              <w:spacing w:after="0"/>
              <w:rPr>
                <w:sz w:val="22"/>
                <w:szCs w:val="22"/>
                <w:color w:val="auto"/>
              </w:rPr>
            </w:pP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shd w:val="clear" w:color="auto" w:fill="D8D8D8"/>
          </w:tcPr>
          <w:p>
            <w:pPr>
              <w:spacing w:after="0"/>
              <w:rPr>
                <w:sz w:val="5"/>
                <w:szCs w:val="5"/>
                <w:color w:val="auto"/>
              </w:rPr>
            </w:pPr>
          </w:p>
        </w:tc>
        <w:tc>
          <w:tcPr>
            <w:tcW w:w="780" w:type="dxa"/>
            <w:vAlign w:val="bottom"/>
            <w:tcBorders>
              <w:bottom w:val="single" w:sz="8" w:color="B2B2B2"/>
            </w:tcBorders>
            <w:shd w:val="clear" w:color="auto" w:fill="D8D8D8"/>
          </w:tcPr>
          <w:p>
            <w:pPr>
              <w:spacing w:after="0"/>
              <w:rPr>
                <w:sz w:val="5"/>
                <w:szCs w:val="5"/>
                <w:color w:val="auto"/>
              </w:rPr>
            </w:pPr>
          </w:p>
        </w:tc>
        <w:tc>
          <w:tcPr>
            <w:tcW w:w="460" w:type="dxa"/>
            <w:vAlign w:val="bottom"/>
            <w:tcBorders>
              <w:bottom w:val="single" w:sz="8" w:color="B2B2B2"/>
            </w:tcBorders>
            <w:shd w:val="clear" w:color="auto" w:fill="D8D8D8"/>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tcPr>
          <w:p>
            <w:pPr>
              <w:ind w:left="20"/>
              <w:spacing w:after="0"/>
              <w:rPr>
                <w:sz w:val="20"/>
                <w:szCs w:val="20"/>
                <w:color w:val="auto"/>
              </w:rPr>
            </w:pPr>
            <w:r>
              <w:rPr>
                <w:rFonts w:ascii="Arial" w:cs="Arial" w:eastAsia="Arial" w:hAnsi="Arial"/>
                <w:sz w:val="17"/>
                <w:szCs w:val="17"/>
                <w:color w:val="auto"/>
              </w:rPr>
              <w:t>Asian</w:t>
            </w:r>
          </w:p>
        </w:tc>
        <w:tc>
          <w:tcPr>
            <w:tcW w:w="78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65"/>
        </w:trPr>
        <w:tc>
          <w:tcPr>
            <w:tcW w:w="20" w:type="dxa"/>
            <w:vAlign w:val="bottom"/>
          </w:tcPr>
          <w:p>
            <w:pPr>
              <w:spacing w:after="0"/>
              <w:rPr>
                <w:sz w:val="5"/>
                <w:szCs w:val="5"/>
                <w:color w:val="auto"/>
              </w:rPr>
            </w:pPr>
          </w:p>
        </w:tc>
        <w:tc>
          <w:tcPr>
            <w:tcW w:w="9360" w:type="dxa"/>
            <w:vAlign w:val="bottom"/>
            <w:tcBorders>
              <w:bottom w:val="single" w:sz="8" w:color="B2B2B2"/>
            </w:tcBorders>
          </w:tcPr>
          <w:p>
            <w:pPr>
              <w:spacing w:after="0"/>
              <w:rPr>
                <w:sz w:val="5"/>
                <w:szCs w:val="5"/>
                <w:color w:val="auto"/>
              </w:rPr>
            </w:pPr>
          </w:p>
        </w:tc>
        <w:tc>
          <w:tcPr>
            <w:tcW w:w="780" w:type="dxa"/>
            <w:vAlign w:val="bottom"/>
            <w:tcBorders>
              <w:bottom w:val="single" w:sz="8" w:color="B2B2B2"/>
            </w:tcBorders>
          </w:tcPr>
          <w:p>
            <w:pPr>
              <w:spacing w:after="0"/>
              <w:rPr>
                <w:sz w:val="5"/>
                <w:szCs w:val="5"/>
                <w:color w:val="auto"/>
              </w:rPr>
            </w:pPr>
          </w:p>
        </w:tc>
        <w:tc>
          <w:tcPr>
            <w:tcW w:w="460" w:type="dxa"/>
            <w:vAlign w:val="bottom"/>
            <w:tcBorders>
              <w:bottom w:val="single" w:sz="8" w:color="B2B2B2"/>
            </w:tcBorders>
          </w:tcPr>
          <w:p>
            <w:pPr>
              <w:spacing w:after="0"/>
              <w:rPr>
                <w:sz w:val="5"/>
                <w:szCs w:val="5"/>
                <w:color w:val="auto"/>
              </w:rPr>
            </w:pPr>
          </w:p>
        </w:tc>
      </w:tr>
      <w:tr>
        <w:trPr>
          <w:trHeight w:val="253"/>
        </w:trPr>
        <w:tc>
          <w:tcPr>
            <w:tcW w:w="20" w:type="dxa"/>
            <w:vAlign w:val="bottom"/>
          </w:tcPr>
          <w:p>
            <w:pPr>
              <w:spacing w:after="0"/>
              <w:rPr>
                <w:sz w:val="22"/>
                <w:szCs w:val="22"/>
                <w:color w:val="auto"/>
              </w:rPr>
            </w:pPr>
          </w:p>
        </w:tc>
        <w:tc>
          <w:tcPr>
            <w:tcW w:w="9360" w:type="dxa"/>
            <w:vAlign w:val="bottom"/>
          </w:tcPr>
          <w:p>
            <w:pPr>
              <w:ind w:left="20"/>
              <w:spacing w:after="0"/>
              <w:rPr>
                <w:sz w:val="20"/>
                <w:szCs w:val="20"/>
                <w:color w:val="auto"/>
              </w:rPr>
            </w:pPr>
            <w:r>
              <w:rPr>
                <w:rFonts w:ascii="Arial" w:cs="Arial" w:eastAsia="Arial" w:hAnsi="Arial"/>
                <w:sz w:val="17"/>
                <w:szCs w:val="17"/>
                <w:color w:val="auto"/>
              </w:rPr>
              <w:t>White (other than Middle Eastern)</w:t>
            </w:r>
          </w:p>
        </w:tc>
        <w:tc>
          <w:tcPr>
            <w:tcW w:w="780" w:type="dxa"/>
            <w:vAlign w:val="bottom"/>
          </w:tcPr>
          <w:p>
            <w:pPr>
              <w:jc w:val="center"/>
              <w:spacing w:after="0"/>
              <w:rPr>
                <w:sz w:val="20"/>
                <w:szCs w:val="20"/>
                <w:color w:val="auto"/>
              </w:rPr>
            </w:pPr>
            <w:r>
              <w:rPr>
                <w:rFonts w:ascii="Arial" w:cs="Arial" w:eastAsia="Arial" w:hAnsi="Arial"/>
                <w:sz w:val="17"/>
                <w:szCs w:val="17"/>
                <w:color w:val="auto"/>
              </w:rPr>
              <w:t>3</w:t>
            </w:r>
          </w:p>
        </w:tc>
        <w:tc>
          <w:tcPr>
            <w:tcW w:w="460" w:type="dxa"/>
            <w:vAlign w:val="bottom"/>
          </w:tcPr>
          <w:p>
            <w:pPr>
              <w:jc w:val="center"/>
              <w:spacing w:after="0"/>
              <w:rPr>
                <w:sz w:val="20"/>
                <w:szCs w:val="20"/>
                <w:color w:val="auto"/>
              </w:rPr>
            </w:pPr>
            <w:r>
              <w:rPr>
                <w:rFonts w:ascii="Arial" w:cs="Arial" w:eastAsia="Arial" w:hAnsi="Arial"/>
                <w:sz w:val="17"/>
                <w:szCs w:val="17"/>
                <w:color w:val="auto"/>
                <w:w w:val="84"/>
              </w:rPr>
              <w:t>2</w:t>
            </w:r>
          </w:p>
        </w:tc>
      </w:tr>
      <w:tr>
        <w:trPr>
          <w:trHeight w:val="84"/>
        </w:trPr>
        <w:tc>
          <w:tcPr>
            <w:tcW w:w="20" w:type="dxa"/>
            <w:vAlign w:val="bottom"/>
          </w:tcPr>
          <w:p>
            <w:pPr>
              <w:spacing w:after="0"/>
              <w:rPr>
                <w:sz w:val="7"/>
                <w:szCs w:val="7"/>
                <w:color w:val="auto"/>
              </w:rPr>
            </w:pPr>
          </w:p>
        </w:tc>
        <w:tc>
          <w:tcPr>
            <w:tcW w:w="9360" w:type="dxa"/>
            <w:vAlign w:val="bottom"/>
            <w:tcBorders>
              <w:bottom w:val="single" w:sz="8" w:color="FB4E0B"/>
            </w:tcBorders>
          </w:tcPr>
          <w:p>
            <w:pPr>
              <w:spacing w:after="0"/>
              <w:rPr>
                <w:sz w:val="7"/>
                <w:szCs w:val="7"/>
                <w:color w:val="auto"/>
              </w:rPr>
            </w:pPr>
          </w:p>
        </w:tc>
        <w:tc>
          <w:tcPr>
            <w:tcW w:w="780" w:type="dxa"/>
            <w:vAlign w:val="bottom"/>
            <w:tcBorders>
              <w:bottom w:val="single" w:sz="8" w:color="FB4E0B"/>
            </w:tcBorders>
          </w:tcPr>
          <w:p>
            <w:pPr>
              <w:spacing w:after="0"/>
              <w:rPr>
                <w:sz w:val="7"/>
                <w:szCs w:val="7"/>
                <w:color w:val="auto"/>
              </w:rPr>
            </w:pPr>
          </w:p>
        </w:tc>
        <w:tc>
          <w:tcPr>
            <w:tcW w:w="460" w:type="dxa"/>
            <w:vAlign w:val="bottom"/>
            <w:tcBorders>
              <w:bottom w:val="single" w:sz="8" w:color="FB4E0B"/>
            </w:tcBorders>
          </w:tcPr>
          <w:p>
            <w:pPr>
              <w:spacing w:after="0"/>
              <w:rPr>
                <w:sz w:val="7"/>
                <w:szCs w:val="7"/>
                <w:color w:val="auto"/>
              </w:rPr>
            </w:pPr>
          </w:p>
        </w:tc>
      </w:tr>
      <w:tr>
        <w:trPr>
          <w:trHeight w:val="615"/>
        </w:trPr>
        <w:tc>
          <w:tcPr>
            <w:tcW w:w="20" w:type="dxa"/>
            <w:vAlign w:val="bottom"/>
          </w:tcPr>
          <w:p>
            <w:pPr>
              <w:spacing w:after="0"/>
              <w:rPr>
                <w:sz w:val="24"/>
                <w:szCs w:val="24"/>
                <w:color w:val="auto"/>
              </w:rPr>
            </w:pPr>
          </w:p>
        </w:tc>
        <w:tc>
          <w:tcPr>
            <w:tcW w:w="9360" w:type="dxa"/>
            <w:vAlign w:val="bottom"/>
          </w:tcPr>
          <w:p>
            <w:pPr>
              <w:ind w:left="7820"/>
              <w:spacing w:after="0"/>
              <w:rPr>
                <w:sz w:val="20"/>
                <w:szCs w:val="20"/>
                <w:color w:val="auto"/>
              </w:rPr>
            </w:pPr>
            <w:r>
              <w:rPr>
                <w:rFonts w:ascii="Arial" w:cs="Arial" w:eastAsia="Arial" w:hAnsi="Arial"/>
                <w:sz w:val="13"/>
                <w:szCs w:val="13"/>
                <w:color w:val="auto"/>
                <w:w w:val="96"/>
              </w:rPr>
              <w:t>EXL 2023 Proxy Statement</w:t>
            </w:r>
          </w:p>
        </w:tc>
        <w:tc>
          <w:tcPr>
            <w:tcW w:w="780" w:type="dxa"/>
            <w:vAlign w:val="bottom"/>
          </w:tcPr>
          <w:p>
            <w:pPr>
              <w:jc w:val="right"/>
              <w:ind w:right="132"/>
              <w:spacing w:after="0"/>
              <w:rPr>
                <w:sz w:val="20"/>
                <w:szCs w:val="20"/>
                <w:color w:val="auto"/>
              </w:rPr>
            </w:pPr>
            <w:r>
              <w:rPr>
                <w:rFonts w:ascii="Arial" w:cs="Arial" w:eastAsia="Arial" w:hAnsi="Arial"/>
                <w:sz w:val="28"/>
                <w:szCs w:val="28"/>
                <w:b w:val="1"/>
                <w:bCs w:val="1"/>
                <w:color w:val="FB4E0B"/>
              </w:rPr>
              <w:t>/</w:t>
            </w:r>
          </w:p>
        </w:tc>
        <w:tc>
          <w:tcPr>
            <w:tcW w:w="460" w:type="dxa"/>
            <w:vAlign w:val="bottom"/>
          </w:tcPr>
          <w:p>
            <w:pPr>
              <w:jc w:val="right"/>
              <w:ind w:right="113"/>
              <w:spacing w:after="0"/>
              <w:rPr>
                <w:sz w:val="20"/>
                <w:szCs w:val="20"/>
                <w:color w:val="auto"/>
              </w:rPr>
            </w:pPr>
            <w:r>
              <w:rPr>
                <w:rFonts w:ascii="Arial" w:cs="Arial" w:eastAsia="Arial" w:hAnsi="Arial"/>
                <w:sz w:val="17"/>
                <w:szCs w:val="17"/>
                <w:b w:val="1"/>
                <w:bCs w:val="1"/>
                <w:color w:val="auto"/>
              </w:rPr>
              <w:t>21</w:t>
            </w:r>
          </w:p>
        </w:tc>
      </w:tr>
    </w:tbl>
    <w:p>
      <w:pPr>
        <w:sectPr>
          <w:pgSz w:w="11900" w:h="16838" w:orient="portrait"/>
          <w:cols w:equalWidth="0" w:num="1">
            <w:col w:w="10940"/>
          </w:cols>
          <w:pgMar w:left="320" w:top="473" w:right="6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Our board of directors</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Director nominees for election at the Annual Meeting</w:t>
      </w:r>
    </w:p>
    <w:p>
      <w:pPr>
        <w:spacing w:after="0" w:line="117" w:lineRule="exact"/>
        <w:rPr>
          <w:sz w:val="20"/>
          <w:szCs w:val="20"/>
          <w:color w:val="auto"/>
        </w:rPr>
      </w:pPr>
    </w:p>
    <w:p>
      <w:pPr>
        <w:jc w:val="both"/>
        <w:ind w:left="320" w:right="140"/>
        <w:spacing w:after="0" w:line="270" w:lineRule="auto"/>
        <w:rPr>
          <w:sz w:val="20"/>
          <w:szCs w:val="20"/>
          <w:color w:val="auto"/>
        </w:rPr>
      </w:pPr>
      <w:r>
        <w:rPr>
          <w:rFonts w:ascii="Arial" w:cs="Arial" w:eastAsia="Arial" w:hAnsi="Arial"/>
          <w:sz w:val="17"/>
          <w:szCs w:val="17"/>
          <w:color w:val="auto"/>
        </w:rPr>
        <w:t>Upon the recommendation of our Nominating and Governance Committee, we are pleased to propose seven of our existing directors as nominees for election as directors at the Annual Meeting. As previously disclosed, two of our current directors, Ms. Minto and Mr. Ostler, will not be standing for re-election at the Annual Meeting; the remaining seven directors are our director nominees at the Annual Meeting.</w:t>
      </w:r>
    </w:p>
    <w:p>
      <w:pPr>
        <w:spacing w:after="0" w:line="69" w:lineRule="exact"/>
        <w:rPr>
          <w:sz w:val="20"/>
          <w:szCs w:val="20"/>
          <w:color w:val="auto"/>
        </w:rPr>
      </w:pPr>
    </w:p>
    <w:p>
      <w:pPr>
        <w:ind w:left="320" w:right="260"/>
        <w:spacing w:after="0" w:line="286" w:lineRule="auto"/>
        <w:rPr>
          <w:sz w:val="20"/>
          <w:szCs w:val="20"/>
          <w:color w:val="auto"/>
        </w:rPr>
      </w:pPr>
      <w:r>
        <w:rPr>
          <w:rFonts w:ascii="Arial" w:cs="Arial" w:eastAsia="Arial" w:hAnsi="Arial"/>
          <w:sz w:val="17"/>
          <w:szCs w:val="17"/>
          <w:color w:val="auto"/>
        </w:rPr>
        <w:t>The following tables provide a summary of our board composition by age, gender, tenure and independence immediately after our Annual Meeting (assuming the election of all nominees).</w:t>
      </w:r>
    </w:p>
    <w:p>
      <w:pPr>
        <w:spacing w:after="0" w:line="5" w:lineRule="exact"/>
        <w:rPr>
          <w:sz w:val="20"/>
          <w:szCs w:val="20"/>
          <w:color w:val="auto"/>
        </w:rPr>
      </w:pPr>
    </w:p>
    <w:p>
      <w:pPr>
        <w:ind w:left="800"/>
        <w:spacing w:after="0"/>
        <w:tabs>
          <w:tab w:leader="none" w:pos="3160" w:val="left"/>
          <w:tab w:leader="none" w:pos="5640" w:val="left"/>
          <w:tab w:leader="none" w:pos="8320" w:val="left"/>
        </w:tabs>
        <w:rPr>
          <w:sz w:val="20"/>
          <w:szCs w:val="20"/>
          <w:color w:val="auto"/>
        </w:rPr>
      </w:pPr>
      <w:r>
        <w:rPr>
          <w:rFonts w:ascii="Arial" w:cs="Arial" w:eastAsia="Arial" w:hAnsi="Arial"/>
          <w:sz w:val="19"/>
          <w:szCs w:val="19"/>
          <w:b w:val="1"/>
          <w:bCs w:val="1"/>
          <w:color w:val="FB4E0B"/>
        </w:rPr>
        <w:t>Age distribution</w:t>
      </w:r>
      <w:r>
        <w:rPr>
          <w:sz w:val="20"/>
          <w:szCs w:val="20"/>
          <w:color w:val="auto"/>
        </w:rPr>
        <w:tab/>
      </w:r>
      <w:r>
        <w:rPr>
          <w:rFonts w:ascii="Arial" w:cs="Arial" w:eastAsia="Arial" w:hAnsi="Arial"/>
          <w:sz w:val="19"/>
          <w:szCs w:val="19"/>
          <w:b w:val="1"/>
          <w:bCs w:val="1"/>
          <w:color w:val="FB4E0B"/>
        </w:rPr>
        <w:t>Gender diversity</w:t>
      </w:r>
      <w:r>
        <w:rPr>
          <w:sz w:val="20"/>
          <w:szCs w:val="20"/>
          <w:color w:val="auto"/>
        </w:rPr>
        <w:tab/>
      </w:r>
      <w:r>
        <w:rPr>
          <w:rFonts w:ascii="Arial" w:cs="Arial" w:eastAsia="Arial" w:hAnsi="Arial"/>
          <w:sz w:val="19"/>
          <w:szCs w:val="19"/>
          <w:b w:val="1"/>
          <w:bCs w:val="1"/>
          <w:color w:val="FB4E0B"/>
        </w:rPr>
        <w:t>Board tenure</w:t>
      </w:r>
      <w:r>
        <w:rPr>
          <w:sz w:val="20"/>
          <w:szCs w:val="20"/>
          <w:color w:val="auto"/>
        </w:rPr>
        <w:tab/>
      </w:r>
      <w:r>
        <w:rPr>
          <w:rFonts w:ascii="Arial" w:cs="Arial" w:eastAsia="Arial" w:hAnsi="Arial"/>
          <w:sz w:val="16"/>
          <w:szCs w:val="16"/>
          <w:b w:val="1"/>
          <w:bCs w:val="1"/>
          <w:color w:val="FB4E0B"/>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82550</wp:posOffset>
            </wp:positionV>
            <wp:extent cx="6154420" cy="1073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4420" cy="107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nominees for re-election as directors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164465</wp:posOffset>
            </wp:positionV>
            <wp:extent cx="6740525" cy="859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0525" cy="859155"/>
                    </a:xfrm>
                    <a:prstGeom prst="rect">
                      <a:avLst/>
                    </a:prstGeom>
                    <a:noFill/>
                  </pic:spPr>
                </pic:pic>
              </a:graphicData>
            </a:graphic>
          </wp:anchor>
        </w:drawing>
      </w:r>
    </w:p>
    <w:p>
      <w:pPr>
        <w:sectPr>
          <w:pgSz w:w="11900" w:h="16838" w:orient="portrait"/>
          <w:cols w:equalWidth="0" w:num="1">
            <w:col w:w="10780"/>
          </w:cols>
          <w:pgMar w:left="320" w:top="47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Vikram Pandit</w:t>
      </w:r>
    </w:p>
    <w:p>
      <w:pPr>
        <w:spacing w:after="0" w:line="31" w:lineRule="exact"/>
        <w:rPr>
          <w:sz w:val="20"/>
          <w:szCs w:val="20"/>
          <w:color w:val="auto"/>
        </w:rPr>
      </w:pPr>
    </w:p>
    <w:p>
      <w:pPr>
        <w:ind w:left="2140"/>
        <w:spacing w:after="0"/>
        <w:rPr>
          <w:sz w:val="20"/>
          <w:szCs w:val="20"/>
          <w:color w:val="auto"/>
        </w:rPr>
      </w:pPr>
      <w:r>
        <w:rPr>
          <w:rFonts w:ascii="Arial" w:cs="Arial" w:eastAsia="Arial" w:hAnsi="Arial"/>
          <w:sz w:val="15"/>
          <w:szCs w:val="15"/>
          <w:i w:val="1"/>
          <w:iCs w:val="1"/>
          <w:color w:val="auto"/>
        </w:rPr>
        <w:t>Chairman and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344805</wp:posOffset>
            </wp:positionV>
            <wp:extent cx="6740525" cy="801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Rohit Kapoor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Vice Chairman and CEO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427355</wp:posOffset>
            </wp:positionV>
            <wp:extent cx="661035" cy="652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000000"/>
                        </a:clrFrom>
                        <a:clrTo>
                          <a:srgbClr val="000000">
                            <a:alpha val="0"/>
                          </a:srgbClr>
                        </a:clrTo>
                      </a:clrChange>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-1141730</wp:posOffset>
            </wp:positionH>
            <wp:positionV relativeFrom="paragraph">
              <wp:posOffset>427355</wp:posOffset>
            </wp:positionV>
            <wp:extent cx="661035" cy="652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61035" cy="652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240"/>
          </w:cols>
          <w:pgMar w:left="320" w:top="473"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Andreas Fibig</w:t>
      </w:r>
    </w:p>
    <w:p>
      <w:pPr>
        <w:spacing w:after="0" w:line="31" w:lineRule="exact"/>
        <w:rPr>
          <w:sz w:val="20"/>
          <w:szCs w:val="20"/>
          <w:color w:val="auto"/>
        </w:rPr>
      </w:pPr>
    </w:p>
    <w:p>
      <w:pPr>
        <w:ind w:left="2140"/>
        <w:spacing w:after="0"/>
        <w:rPr>
          <w:sz w:val="20"/>
          <w:szCs w:val="20"/>
          <w:color w:val="auto"/>
        </w:rPr>
      </w:pPr>
      <w:r>
        <w:rPr>
          <w:rFonts w:ascii="Arial" w:cs="Arial" w:eastAsia="Arial" w:hAnsi="Arial"/>
          <w:sz w:val="15"/>
          <w:szCs w:val="15"/>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344805</wp:posOffset>
            </wp:positionV>
            <wp:extent cx="793115" cy="784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93115" cy="784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Som Mittal</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328295</wp:posOffset>
            </wp:positionV>
            <wp:extent cx="6740525" cy="801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0525" cy="80137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328295</wp:posOffset>
            </wp:positionV>
            <wp:extent cx="6740525" cy="801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240"/>
          </w:cols>
          <w:pgMar w:left="320" w:top="473"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Kristy Pipes</w:t>
      </w:r>
    </w:p>
    <w:p>
      <w:pPr>
        <w:spacing w:after="0" w:line="31" w:lineRule="exact"/>
        <w:rPr>
          <w:sz w:val="20"/>
          <w:szCs w:val="20"/>
          <w:color w:val="auto"/>
        </w:rPr>
      </w:pPr>
    </w:p>
    <w:p>
      <w:pPr>
        <w:ind w:left="2140"/>
        <w:spacing w:after="0"/>
        <w:rPr>
          <w:sz w:val="20"/>
          <w:szCs w:val="20"/>
          <w:color w:val="auto"/>
        </w:rPr>
      </w:pPr>
      <w:r>
        <w:rPr>
          <w:rFonts w:ascii="Arial" w:cs="Arial" w:eastAsia="Arial" w:hAnsi="Arial"/>
          <w:sz w:val="16"/>
          <w:szCs w:val="16"/>
          <w:i w:val="1"/>
          <w:iCs w:val="1"/>
          <w:color w:val="auto"/>
        </w:rPr>
        <w:t>Independent Director and Chair of the Audit</w:t>
      </w:r>
    </w:p>
    <w:p>
      <w:pPr>
        <w:spacing w:after="0" w:line="24" w:lineRule="exact"/>
        <w:rPr>
          <w:sz w:val="20"/>
          <w:szCs w:val="20"/>
          <w:color w:val="auto"/>
        </w:rPr>
      </w:pPr>
    </w:p>
    <w:p>
      <w:pPr>
        <w:ind w:left="2140"/>
        <w:spacing w:after="0"/>
        <w:rPr>
          <w:sz w:val="20"/>
          <w:szCs w:val="20"/>
          <w:color w:val="auto"/>
        </w:rPr>
      </w:pPr>
      <w:r>
        <w:rPr>
          <w:rFonts w:ascii="Arial" w:cs="Arial" w:eastAsia="Arial" w:hAnsi="Arial"/>
          <w:sz w:val="17"/>
          <w:szCs w:val="17"/>
          <w:i w:val="1"/>
          <w:i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247650</wp:posOffset>
            </wp:positionV>
            <wp:extent cx="6740525" cy="801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Nitin Sahney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Independent Director and Chair of the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Nominating and Governance Committee</w:t>
      </w:r>
    </w:p>
    <w:p>
      <w:pPr>
        <w:spacing w:after="0" w:line="222" w:lineRule="exact"/>
        <w:rPr>
          <w:sz w:val="20"/>
          <w:szCs w:val="20"/>
          <w:color w:val="auto"/>
        </w:rPr>
      </w:pPr>
    </w:p>
    <w:p>
      <w:pPr>
        <w:sectPr>
          <w:pgSz w:w="11900" w:h="16838" w:orient="portrait"/>
          <w:cols w:equalWidth="0" w:num="2">
            <w:col w:w="6820" w:space="720"/>
            <w:col w:w="3240"/>
          </w:cols>
          <w:pgMar w:left="320" w:top="473" w:right="79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Jaynie Studenmund</w:t>
      </w:r>
    </w:p>
    <w:p>
      <w:pPr>
        <w:spacing w:after="0" w:line="31" w:lineRule="exact"/>
        <w:rPr>
          <w:sz w:val="20"/>
          <w:szCs w:val="20"/>
          <w:color w:val="auto"/>
        </w:rPr>
      </w:pPr>
    </w:p>
    <w:p>
      <w:pPr>
        <w:ind w:left="2140"/>
        <w:spacing w:after="0"/>
        <w:rPr>
          <w:sz w:val="20"/>
          <w:szCs w:val="20"/>
          <w:color w:val="auto"/>
        </w:rPr>
      </w:pPr>
      <w:r>
        <w:rPr>
          <w:rFonts w:ascii="Arial" w:cs="Arial" w:eastAsia="Arial" w:hAnsi="Arial"/>
          <w:sz w:val="17"/>
          <w:szCs w:val="17"/>
          <w:i w:val="1"/>
          <w:iCs w:val="1"/>
          <w:color w:val="auto"/>
        </w:rPr>
        <w:t>Independent Director and Chair of the</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7"/>
          <w:szCs w:val="17"/>
          <w:i w:val="1"/>
          <w:iCs w:val="1"/>
          <w:color w:val="auto"/>
        </w:rPr>
        <w:t>Compensation and Talent Management</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7"/>
          <w:szCs w:val="17"/>
          <w:i w:val="1"/>
          <w:i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198120</wp:posOffset>
            </wp:positionV>
            <wp:extent cx="674052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358"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We believe that our director nominees and continuing directors, individually and together as a whole, possess the requisite skills, experience and qualifications necessary to maintain an effective board to serve the best interests of the Company and its stockholders described below under “Director qualifications” (see pages 34-35).</w:t>
      </w:r>
    </w:p>
    <w:p>
      <w:pPr>
        <w:spacing w:after="0" w:line="88"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780"/>
          </w:cols>
          <w:pgMar w:left="320" w:top="473" w:right="7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Our board of directors</w:t>
      </w:r>
    </w:p>
    <w:p>
      <w:pPr>
        <w:spacing w:after="0" w:line="343" w:lineRule="exact"/>
        <w:rPr>
          <w:sz w:val="20"/>
          <w:szCs w:val="20"/>
          <w:color w:val="auto"/>
        </w:rPr>
      </w:pPr>
    </w:p>
    <w:p>
      <w:pPr>
        <w:jc w:val="both"/>
        <w:ind w:left="320" w:right="340"/>
        <w:spacing w:after="0" w:line="270" w:lineRule="auto"/>
        <w:rPr>
          <w:sz w:val="20"/>
          <w:szCs w:val="20"/>
          <w:color w:val="auto"/>
        </w:rPr>
      </w:pPr>
      <w:r>
        <w:rPr>
          <w:rFonts w:ascii="Arial" w:cs="Arial" w:eastAsia="Arial" w:hAnsi="Arial"/>
          <w:sz w:val="17"/>
          <w:szCs w:val="17"/>
          <w:color w:val="auto"/>
        </w:rPr>
        <w:t>The name, age (as of the date of this Proxy Statement), principal occupation and other information, including the specific experience, qualifications, attributes or skills that led to the conclusion that such person should serve as a director of the Company, with respect to each of the nominees are set forth below. There are no family relationships among any of our directors or executive officers.</w:t>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Nominees for election at the Annual Meeting -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6740525" cy="644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0525" cy="64452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B4E0B"/>
        </w:rPr>
        <w:t>Vikram S. Pandit</w:t>
      </w:r>
    </w:p>
    <w:p>
      <w:pPr>
        <w:spacing w:after="0" w:line="35" w:lineRule="exact"/>
        <w:rPr>
          <w:sz w:val="20"/>
          <w:szCs w:val="20"/>
          <w:color w:val="auto"/>
        </w:rPr>
      </w:pPr>
    </w:p>
    <w:p>
      <w:pPr>
        <w:ind w:left="440"/>
        <w:spacing w:after="0"/>
        <w:tabs>
          <w:tab w:leader="none" w:pos="2680" w:val="left"/>
          <w:tab w:leader="none" w:pos="2880" w:val="left"/>
          <w:tab w:leader="none" w:pos="9640" w:val="left"/>
        </w:tabs>
        <w:rPr>
          <w:sz w:val="20"/>
          <w:szCs w:val="20"/>
          <w:color w:val="auto"/>
        </w:rPr>
      </w:pPr>
      <w:r>
        <w:rPr>
          <w:rFonts w:ascii="Arial" w:cs="Arial" w:eastAsia="Arial" w:hAnsi="Arial"/>
          <w:sz w:val="17"/>
          <w:szCs w:val="17"/>
          <w:b w:val="1"/>
          <w:bCs w:val="1"/>
          <w:color w:val="auto"/>
        </w:rPr>
        <w:t>Director since October 2018</w:t>
        <w:tab/>
        <w:t>|</w:t>
        <w:tab/>
        <w:t>Chairman of the Board since 2022</w:t>
      </w:r>
      <w:r>
        <w:rPr>
          <w:sz w:val="20"/>
          <w:szCs w:val="20"/>
          <w:color w:val="auto"/>
        </w:rPr>
        <w:tab/>
      </w:r>
      <w:r>
        <w:rPr>
          <w:rFonts w:ascii="Arial" w:cs="Arial" w:eastAsia="Arial" w:hAnsi="Arial"/>
          <w:sz w:val="15"/>
          <w:szCs w:val="15"/>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254635</wp:posOffset>
            </wp:positionV>
            <wp:extent cx="1164590" cy="1164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00"/>
        <w:spacing w:after="0"/>
        <w:rPr>
          <w:sz w:val="20"/>
          <w:szCs w:val="20"/>
          <w:color w:val="auto"/>
        </w:rPr>
      </w:pPr>
      <w:r>
        <w:rPr>
          <w:rFonts w:ascii="Arial" w:cs="Arial" w:eastAsia="Arial" w:hAnsi="Arial"/>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10160</wp:posOffset>
            </wp:positionV>
            <wp:extent cx="231140"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Finance</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and accounting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-66040</wp:posOffset>
            </wp:positionV>
            <wp:extent cx="247650" cy="231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0"/>
          <w:szCs w:val="10"/>
          <w:color w:val="auto"/>
        </w:rPr>
        <w:t>leadership</w:t>
      </w:r>
    </w:p>
    <w:p>
      <w:pPr>
        <w:spacing w:after="0" w:line="2" w:lineRule="exact"/>
        <w:rPr>
          <w:sz w:val="20"/>
          <w:szCs w:val="20"/>
          <w:color w:val="auto"/>
        </w:rPr>
      </w:pPr>
    </w:p>
    <w:p>
      <w:pPr>
        <w:jc w:val="center"/>
        <w:ind w:left="1300"/>
        <w:spacing w:after="0"/>
        <w:rPr>
          <w:sz w:val="20"/>
          <w:szCs w:val="20"/>
          <w:color w:val="auto"/>
        </w:rPr>
      </w:pPr>
      <w:r>
        <w:rPr>
          <w:rFonts w:ascii="Arial" w:cs="Arial" w:eastAsia="Arial" w:hAnsi="Arial"/>
          <w:sz w:val="9"/>
          <w:szCs w:val="9"/>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166370</wp:posOffset>
            </wp:positionV>
            <wp:extent cx="132080" cy="206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governance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-41275</wp:posOffset>
            </wp:positionV>
            <wp:extent cx="255905" cy="165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32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-66040</wp:posOffset>
            </wp:positionV>
            <wp:extent cx="2146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0"/>
          <w:szCs w:val="10"/>
          <w:color w:val="auto"/>
        </w:rPr>
        <w:t>management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Digital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-66040</wp:posOffset>
            </wp:positionV>
            <wp:extent cx="239395"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0"/>
          <w:szCs w:val="10"/>
          <w:color w:val="auto"/>
        </w:rPr>
        <w:t>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167640</wp:posOffset>
            </wp:positionV>
            <wp:extent cx="231140" cy="231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Global</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experience</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-66040</wp:posOffset>
            </wp:positionV>
            <wp:extent cx="231140" cy="2063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0"/>
          <w:szCs w:val="10"/>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Age: 66 — is Chairman and Chief Executive Officer of The Orogen Group, which makes significant long-term strategic investments in financial services companies and related businesses. Mr. Pandit’s business experience and directorships are detailed below. The Company has concluded, based in part on Mr. Pandit’s more than 30 years of experience in the financial services industry, including his experience as Chief Executive Officer, and a member of the board of directors, of Citigroup Inc. (NYSE: C), that Mr. Pandit should serve as a director.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187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53" w:lineRule="exact"/>
        <w:rPr>
          <w:sz w:val="20"/>
          <w:szCs w:val="20"/>
          <w:color w:val="auto"/>
        </w:rPr>
      </w:pPr>
    </w:p>
    <w:p>
      <w:pPr>
        <w:ind w:left="320" w:right="2020"/>
        <w:spacing w:after="0" w:line="274" w:lineRule="auto"/>
        <w:rPr>
          <w:sz w:val="20"/>
          <w:szCs w:val="20"/>
          <w:color w:val="auto"/>
        </w:rPr>
      </w:pPr>
      <w:r>
        <w:rPr>
          <w:rFonts w:ascii="Arial" w:cs="Arial" w:eastAsia="Arial" w:hAnsi="Arial"/>
          <w:sz w:val="16"/>
          <w:szCs w:val="16"/>
          <w:color w:val="auto"/>
        </w:rPr>
        <w:t>•    Compensation and Talent Management (from March 2023); Nominating and Governance •    Audit* (through February 2023)</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187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Chairman and Chief Executive Officer, The Orogen Group LLC (July 2016 - present)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Chairman, TGG Group (February 2014 - June 2016)</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Chief Executive Officer, Citigroup Inc. (December 2007 - October 2012)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187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w w:val="94"/>
              </w:rPr>
              <w:t>   Director and member of the nominating and governance and finance committees, Virtusa Corporation (NASDAQ:</w:t>
            </w:r>
          </w:p>
        </w:tc>
      </w:tr>
      <w:tr>
        <w:trPr>
          <w:trHeight w:val="199"/>
        </w:trPr>
        <w:tc>
          <w:tcPr>
            <w:tcW w:w="460" w:type="dxa"/>
            <w:vAlign w:val="bottom"/>
          </w:tcPr>
          <w:p>
            <w:pPr>
              <w:spacing w:after="0"/>
              <w:rPr>
                <w:sz w:val="17"/>
                <w:szCs w:val="17"/>
                <w:color w:val="auto"/>
              </w:rPr>
            </w:pPr>
          </w:p>
        </w:tc>
        <w:tc>
          <w:tcPr>
            <w:tcW w:w="7720" w:type="dxa"/>
            <w:vAlign w:val="bottom"/>
          </w:tcPr>
          <w:p>
            <w:pPr>
              <w:ind w:left="160"/>
              <w:spacing w:after="0"/>
              <w:rPr>
                <w:sz w:val="20"/>
                <w:szCs w:val="20"/>
                <w:color w:val="auto"/>
              </w:rPr>
            </w:pPr>
            <w:r>
              <w:rPr>
                <w:rFonts w:ascii="Arial" w:cs="Arial" w:eastAsia="Arial" w:hAnsi="Arial"/>
                <w:sz w:val="16"/>
                <w:szCs w:val="16"/>
                <w:color w:val="auto"/>
              </w:rPr>
              <w:t>VRTU) (2017 - 2021)</w:t>
            </w:r>
          </w:p>
        </w:tc>
      </w:tr>
      <w:tr>
        <w:trPr>
          <w:trHeight w:val="30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w w:val="90"/>
              </w:rPr>
              <w:t>   Lead Independent Director, chair of the human resources and compensation committee and member of the corporate</w:t>
            </w:r>
          </w:p>
        </w:tc>
      </w:tr>
      <w:tr>
        <w:trPr>
          <w:trHeight w:val="195"/>
        </w:trPr>
        <w:tc>
          <w:tcPr>
            <w:tcW w:w="460" w:type="dxa"/>
            <w:vAlign w:val="bottom"/>
          </w:tcPr>
          <w:p>
            <w:pPr>
              <w:spacing w:after="0"/>
              <w:rPr>
                <w:sz w:val="16"/>
                <w:szCs w:val="16"/>
                <w:color w:val="auto"/>
              </w:rPr>
            </w:pPr>
          </w:p>
        </w:tc>
        <w:tc>
          <w:tcPr>
            <w:tcW w:w="7720" w:type="dxa"/>
            <w:vAlign w:val="bottom"/>
          </w:tcPr>
          <w:p>
            <w:pPr>
              <w:ind w:left="160"/>
              <w:spacing w:after="0"/>
              <w:rPr>
                <w:sz w:val="20"/>
                <w:szCs w:val="20"/>
                <w:color w:val="auto"/>
              </w:rPr>
            </w:pPr>
            <w:r>
              <w:rPr>
                <w:rFonts w:ascii="Arial" w:cs="Arial" w:eastAsia="Arial" w:hAnsi="Arial"/>
                <w:sz w:val="16"/>
                <w:szCs w:val="16"/>
                <w:color w:val="auto"/>
                <w:w w:val="91"/>
              </w:rPr>
              <w:t>governance and nominating committee, former member of the audit committee, Bombardier Inc. (TSX: BBD) (2014 -</w:t>
            </w:r>
          </w:p>
        </w:tc>
      </w:tr>
      <w:tr>
        <w:trPr>
          <w:trHeight w:val="199"/>
        </w:trPr>
        <w:tc>
          <w:tcPr>
            <w:tcW w:w="460" w:type="dxa"/>
            <w:vAlign w:val="bottom"/>
          </w:tcPr>
          <w:p>
            <w:pPr>
              <w:spacing w:after="0"/>
              <w:rPr>
                <w:sz w:val="17"/>
                <w:szCs w:val="17"/>
                <w:color w:val="auto"/>
              </w:rPr>
            </w:pPr>
          </w:p>
        </w:tc>
        <w:tc>
          <w:tcPr>
            <w:tcW w:w="7720" w:type="dxa"/>
            <w:vAlign w:val="bottom"/>
          </w:tcPr>
          <w:p>
            <w:pPr>
              <w:ind w:left="160"/>
              <w:spacing w:after="0"/>
              <w:rPr>
                <w:sz w:val="20"/>
                <w:szCs w:val="20"/>
                <w:color w:val="auto"/>
              </w:rPr>
            </w:pPr>
            <w:r>
              <w:rPr>
                <w:rFonts w:ascii="Arial" w:cs="Arial" w:eastAsia="Arial" w:hAnsi="Arial"/>
                <w:sz w:val="16"/>
                <w:szCs w:val="16"/>
                <w:color w:val="auto"/>
              </w:rPr>
              <w:t>2021)</w:t>
            </w:r>
          </w:p>
        </w:tc>
      </w:tr>
      <w:tr>
        <w:trPr>
          <w:trHeight w:val="331"/>
        </w:trPr>
        <w:tc>
          <w:tcPr>
            <w:tcW w:w="8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relevant experience</w:t>
            </w:r>
          </w:p>
        </w:tc>
      </w:tr>
      <w:tr>
        <w:trPr>
          <w:trHeight w:val="299"/>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Director, Citigroup Inc. (December 2007 - October 2012)</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Director, Fair Square Financial Holdings (2017 - 2021)</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Director, Westcor Land Title Insurance Company (2020 - present)</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Chairman, JM Financial Credit Solutions Ltd. (2014 - present)</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Member of the Board of Overseers of Columbia Business School</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Member of the Board of Visitors of Columbia School of Engineering and Applied Science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309245</wp:posOffset>
            </wp:positionV>
            <wp:extent cx="674052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80"/>
            <w:col w:w="8180"/>
          </w:cols>
          <w:pgMar w:left="320" w:top="473" w:right="639" w:bottom="1440" w:gutter="0" w:footer="0" w:header="0"/>
          <w:type w:val="continuous"/>
        </w:sectPr>
      </w:pPr>
    </w:p>
    <w:p>
      <w:pPr>
        <w:spacing w:after="0" w:line="33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Audit committee financial expert under applicable SEC rules and regulations</w:t>
      </w:r>
    </w:p>
    <w:p>
      <w:pPr>
        <w:spacing w:after="0" w:line="257"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23</w:t>
      </w:r>
    </w:p>
    <w:p>
      <w:pPr>
        <w:sectPr>
          <w:pgSz w:w="11900" w:h="16838" w:orient="portrait"/>
          <w:cols w:equalWidth="0" w:num="1">
            <w:col w:w="10940"/>
          </w:cols>
          <w:pgMar w:left="320" w:top="473" w:right="6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6740525" cy="768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0525" cy="76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B4E0B"/>
        </w:rPr>
        <w:t>Rohit Kapoor</w:t>
      </w:r>
    </w:p>
    <w:p>
      <w:pPr>
        <w:spacing w:after="0" w:line="35" w:lineRule="exact"/>
        <w:rPr>
          <w:sz w:val="20"/>
          <w:szCs w:val="20"/>
          <w:color w:val="auto"/>
        </w:rPr>
      </w:pPr>
    </w:p>
    <w:p>
      <w:pPr>
        <w:ind w:left="440"/>
        <w:spacing w:after="0"/>
        <w:tabs>
          <w:tab w:leader="none" w:pos="2840" w:val="left"/>
          <w:tab w:leader="none" w:pos="3040" w:val="left"/>
          <w:tab w:leader="none" w:pos="9280" w:val="left"/>
        </w:tabs>
        <w:rPr>
          <w:sz w:val="20"/>
          <w:szCs w:val="20"/>
          <w:color w:val="auto"/>
        </w:rPr>
      </w:pPr>
      <w:r>
        <w:rPr>
          <w:rFonts w:ascii="Arial" w:cs="Arial" w:eastAsia="Arial" w:hAnsi="Arial"/>
          <w:sz w:val="17"/>
          <w:szCs w:val="17"/>
          <w:b w:val="1"/>
          <w:bCs w:val="1"/>
          <w:color w:val="auto"/>
        </w:rPr>
        <w:t>Director since November 2002</w:t>
        <w:tab/>
        <w:t>|</w:t>
        <w:tab/>
        <w:t>Vice Chairman and CEO since April 2012</w:t>
      </w:r>
      <w:r>
        <w:rPr>
          <w:sz w:val="20"/>
          <w:szCs w:val="20"/>
          <w:color w:val="auto"/>
        </w:rPr>
        <w:tab/>
      </w:r>
      <w:r>
        <w:rPr>
          <w:rFonts w:ascii="Arial" w:cs="Arial" w:eastAsia="Arial" w:hAnsi="Arial"/>
          <w:sz w:val="15"/>
          <w:szCs w:val="15"/>
          <w:b w:val="1"/>
          <w:bCs w:val="1"/>
          <w:color w:val="FB4E0B"/>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420370</wp:posOffset>
            </wp:positionV>
            <wp:extent cx="1404620" cy="17183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20"/>
        <w:spacing w:after="0"/>
        <w:rPr>
          <w:sz w:val="20"/>
          <w:szCs w:val="20"/>
          <w:color w:val="auto"/>
        </w:rPr>
      </w:pPr>
      <w:r>
        <w:rPr>
          <w:rFonts w:ascii="Arial" w:cs="Arial" w:eastAsia="Arial" w:hAnsi="Arial"/>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117475</wp:posOffset>
            </wp:positionV>
            <wp:extent cx="231140"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07"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Finance</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and accounting</w:t>
      </w:r>
    </w:p>
    <w:p>
      <w:pPr>
        <w:spacing w:after="0" w:line="150"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-66040</wp:posOffset>
            </wp:positionV>
            <wp:extent cx="247650" cy="231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0"/>
          <w:szCs w:val="10"/>
          <w:color w:val="auto"/>
        </w:rPr>
        <w:t>leadership</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60325</wp:posOffset>
            </wp:positionV>
            <wp:extent cx="132080" cy="206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52070</wp:posOffset>
            </wp:positionV>
            <wp:extent cx="255905" cy="165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106680</wp:posOffset>
            </wp:positionV>
            <wp:extent cx="21463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42"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131445</wp:posOffset>
            </wp:positionV>
            <wp:extent cx="239395"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94" w:lineRule="exact"/>
        <w:rPr>
          <w:sz w:val="20"/>
          <w:szCs w:val="20"/>
          <w:color w:val="auto"/>
        </w:rPr>
      </w:pPr>
    </w:p>
    <w:p>
      <w:pPr>
        <w:ind w:left="1220"/>
        <w:spacing w:after="0"/>
        <w:rPr>
          <w:sz w:val="20"/>
          <w:szCs w:val="20"/>
          <w:color w:val="auto"/>
        </w:rPr>
      </w:pPr>
      <w:r>
        <w:rPr>
          <w:rFonts w:ascii="Arial" w:cs="Arial" w:eastAsia="Arial" w:hAnsi="Arial"/>
          <w:sz w:val="9"/>
          <w:szCs w:val="9"/>
          <w:color w:val="auto"/>
        </w:rPr>
        <w:t>Digital operations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146685</wp:posOffset>
            </wp:positionV>
            <wp:extent cx="239395" cy="239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332"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139700</wp:posOffset>
            </wp:positionV>
            <wp:extent cx="231140"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42"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Global</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101600</wp:posOffset>
            </wp:positionV>
            <wp:extent cx="23114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247" w:lineRule="exact"/>
        <w:rPr>
          <w:sz w:val="20"/>
          <w:szCs w:val="20"/>
          <w:color w:val="auto"/>
        </w:rPr>
      </w:pPr>
    </w:p>
    <w:p>
      <w:pPr>
        <w:ind w:left="1220"/>
        <w:spacing w:after="0"/>
        <w:rPr>
          <w:sz w:val="20"/>
          <w:szCs w:val="20"/>
          <w:color w:val="auto"/>
        </w:rPr>
      </w:pPr>
      <w:r>
        <w:rPr>
          <w:rFonts w:ascii="Arial" w:cs="Arial" w:eastAsia="Arial" w:hAnsi="Arial"/>
          <w:sz w:val="9"/>
          <w:szCs w:val="9"/>
          <w:color w:val="auto"/>
        </w:rPr>
        <w:t>Risk oversight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146685</wp:posOffset>
            </wp:positionV>
            <wp:extent cx="231140" cy="2063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319" w:lineRule="exact"/>
        <w:rPr>
          <w:sz w:val="20"/>
          <w:szCs w:val="20"/>
          <w:color w:val="auto"/>
        </w:rPr>
      </w:pPr>
    </w:p>
    <w:p>
      <w:pPr>
        <w:ind w:left="1220"/>
        <w:spacing w:after="0"/>
        <w:rPr>
          <w:sz w:val="20"/>
          <w:szCs w:val="20"/>
          <w:color w:val="auto"/>
        </w:rPr>
      </w:pPr>
      <w:r>
        <w:rPr>
          <w:rFonts w:ascii="Arial" w:cs="Arial" w:eastAsia="Arial" w:hAnsi="Arial"/>
          <w:sz w:val="10"/>
          <w:szCs w:val="10"/>
          <w:color w:val="auto"/>
        </w:rPr>
        <w:t>Mergers and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Age: 58 — co-founded EXL in April 1999 and has served as our Vice Chairman and CEO since April 2012 and as a director since November 2002. He previously served as our President and CEO from May 2008 to March 2012. Mr. Kapoor’s business experience and directorships are detailed below. The Company has concluded that, in connection with Mr. Kapoor’s experience as a founder and current role as CEO of the Company, Mr. Kapoor should serve as a director.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N/A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4980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Vice Chairman and CEO (2012 - present)</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President and CEO (2008 - 2012)</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Various senior leadership roles, including CFO and COO (2000 - 2008)</w:t>
            </w:r>
          </w:p>
        </w:tc>
      </w:tr>
      <w:tr>
        <w:trPr>
          <w:trHeight w:val="331"/>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business experience</w:t>
            </w:r>
          </w:p>
        </w:tc>
      </w:tr>
      <w:tr>
        <w:trPr>
          <w:trHeight w:val="19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Business head, Deutsche Bank, a financial services provider (1999 - 2000)</w:t>
            </w:r>
          </w:p>
        </w:tc>
      </w:tr>
      <w:tr>
        <w:trPr>
          <w:trHeight w:val="30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Various capacities at Bank of America in the United States and Asia, including India (1991 - 1999)</w:t>
            </w:r>
          </w:p>
        </w:tc>
      </w:tr>
      <w:tr>
        <w:trPr>
          <w:trHeight w:val="331"/>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Public directorships during past five years</w:t>
            </w:r>
          </w:p>
        </w:tc>
      </w:tr>
      <w:tr>
        <w:trPr>
          <w:trHeight w:val="243"/>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0"/>
              </w:rPr>
              <w:t>  Lead independent director, director and member of the audit committee, CA Technologies, Inc. (NASDAQ: CA), a</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software services company (2011 - 2018)</w:t>
            </w:r>
          </w:p>
        </w:tc>
      </w:tr>
      <w:tr>
        <w:trPr>
          <w:trHeight w:val="331"/>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relevant experience</w:t>
            </w:r>
          </w:p>
        </w:tc>
      </w:tr>
      <w:tr>
        <w:trPr>
          <w:trHeight w:val="247"/>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Member, Board of Directors, American India Foundation (AIF)</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Member, Board of Directors, Pratham (Tristate Chapter)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1391920</wp:posOffset>
            </wp:positionV>
            <wp:extent cx="674052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54" w:lineRule="exact"/>
        <w:rPr>
          <w:sz w:val="20"/>
          <w:szCs w:val="20"/>
          <w:color w:val="auto"/>
        </w:rPr>
      </w:pPr>
    </w:p>
    <w:p>
      <w:pPr>
        <w:sectPr>
          <w:pgSz w:w="11900" w:h="16838" w:orient="portrait"/>
          <w:cols w:equalWidth="0" w:num="2">
            <w:col w:w="2560" w:space="520"/>
            <w:col w:w="7860"/>
          </w:cols>
          <w:pgMar w:left="320" w:top="473" w:right="639" w:bottom="1440" w:gutter="0" w:footer="0" w:header="0"/>
          <w:type w:val="continuous"/>
        </w:sectPr>
      </w:pPr>
    </w:p>
    <w:p>
      <w:pPr>
        <w:spacing w:after="0" w:line="313"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6740525" cy="768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0525" cy="76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FB4E0B"/>
        </w:rPr>
        <w:t>Andreas Fibig</w:t>
      </w:r>
    </w:p>
    <w:p>
      <w:pPr>
        <w:spacing w:after="0" w:line="35" w:lineRule="exact"/>
        <w:rPr>
          <w:sz w:val="20"/>
          <w:szCs w:val="20"/>
          <w:color w:val="auto"/>
        </w:rPr>
      </w:pPr>
    </w:p>
    <w:p>
      <w:pPr>
        <w:ind w:left="440"/>
        <w:spacing w:after="0"/>
        <w:tabs>
          <w:tab w:leader="none" w:pos="9640" w:val="left"/>
        </w:tabs>
        <w:rPr>
          <w:sz w:val="20"/>
          <w:szCs w:val="20"/>
          <w:color w:val="auto"/>
        </w:rPr>
      </w:pPr>
      <w:r>
        <w:rPr>
          <w:rFonts w:ascii="Arial" w:cs="Arial" w:eastAsia="Arial" w:hAnsi="Arial"/>
          <w:sz w:val="17"/>
          <w:szCs w:val="17"/>
          <w:b w:val="1"/>
          <w:bCs w:val="1"/>
          <w:color w:val="auto"/>
        </w:rPr>
        <w:t>Director since January 2023</w:t>
      </w:r>
      <w:r>
        <w:rPr>
          <w:sz w:val="20"/>
          <w:szCs w:val="20"/>
          <w:color w:val="auto"/>
        </w:rPr>
        <w:tab/>
      </w:r>
      <w:r>
        <w:rPr>
          <w:rFonts w:ascii="Arial" w:cs="Arial" w:eastAsia="Arial" w:hAnsi="Arial"/>
          <w:sz w:val="15"/>
          <w:szCs w:val="15"/>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180340</wp:posOffset>
            </wp:positionV>
            <wp:extent cx="1164590" cy="1164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117475</wp:posOffset>
            </wp:positionV>
            <wp:extent cx="247650" cy="2311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Executive</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leadership</w:t>
      </w:r>
    </w:p>
    <w:p>
      <w:pPr>
        <w:spacing w:after="0" w:line="2" w:lineRule="exact"/>
        <w:rPr>
          <w:sz w:val="20"/>
          <w:szCs w:val="20"/>
          <w:color w:val="auto"/>
        </w:rPr>
      </w:pPr>
    </w:p>
    <w:p>
      <w:pPr>
        <w:jc w:val="center"/>
        <w:ind w:left="1500"/>
        <w:spacing w:after="0"/>
        <w:rPr>
          <w:sz w:val="20"/>
          <w:szCs w:val="20"/>
          <w:color w:val="auto"/>
        </w:rPr>
      </w:pPr>
      <w:r>
        <w:rPr>
          <w:rFonts w:ascii="Arial" w:cs="Arial" w:eastAsia="Arial" w:hAnsi="Arial"/>
          <w:sz w:val="9"/>
          <w:szCs w:val="9"/>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83820</wp:posOffset>
            </wp:positionV>
            <wp:extent cx="132080" cy="206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68580</wp:posOffset>
            </wp:positionV>
            <wp:extent cx="21463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Human capital</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101600</wp:posOffset>
            </wp:positionV>
            <wp:extent cx="239395" cy="239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156210</wp:posOffset>
            </wp:positionV>
            <wp:extent cx="231140" cy="2311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307"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Global</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118110</wp:posOffset>
            </wp:positionV>
            <wp:extent cx="231140" cy="1981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147955</wp:posOffset>
            </wp:positionV>
            <wp:extent cx="231140" cy="2063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81"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Mergers and</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Age: 61 — is a leader in the biosciences, healthcare and pharmaceutical industries. Mr. Fibig’s business experience and directorships are detailed below. The Company has concluded, based in part on Mr. Fibig’s experience as Chairman and CEO of International Flavors &amp; Fragrance, Inc. and his expertise from over 25 years in the biosciences, healthcare and the pharmaceutical industries, as well as in ESG, that Mr. Fibig should serve as a director.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055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55870" cy="8255"/>
                    </a:xfrm>
                    <a:prstGeom prst="rect">
                      <a:avLst/>
                    </a:prstGeom>
                    <a:noFill/>
                  </pic:spPr>
                </pic:pic>
              </a:graphicData>
            </a:graphic>
          </wp:anchor>
        </w:drawing>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Audit Committee; Nominating and Governance Committee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055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5587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w w:val="89"/>
              </w:rPr>
              <w:t>  Chairman and Chief Executive Officer, International Flavors &amp; Fragrances, Inc., a food ingredients, beverage, scent,</w:t>
            </w:r>
          </w:p>
        </w:tc>
      </w:tr>
      <w:tr>
        <w:trPr>
          <w:trHeight w:val="199"/>
        </w:trPr>
        <w:tc>
          <w:tcPr>
            <w:tcW w:w="460" w:type="dxa"/>
            <w:vAlign w:val="bottom"/>
          </w:tcPr>
          <w:p>
            <w:pPr>
              <w:spacing w:after="0"/>
              <w:rPr>
                <w:sz w:val="17"/>
                <w:szCs w:val="17"/>
                <w:color w:val="auto"/>
              </w:rPr>
            </w:pPr>
          </w:p>
        </w:tc>
        <w:tc>
          <w:tcPr>
            <w:tcW w:w="7500" w:type="dxa"/>
            <w:vAlign w:val="bottom"/>
          </w:tcPr>
          <w:p>
            <w:pPr>
              <w:ind w:left="160"/>
              <w:spacing w:after="0"/>
              <w:rPr>
                <w:sz w:val="20"/>
                <w:szCs w:val="20"/>
                <w:color w:val="auto"/>
              </w:rPr>
            </w:pPr>
            <w:r>
              <w:rPr>
                <w:rFonts w:ascii="Arial" w:cs="Arial" w:eastAsia="Arial" w:hAnsi="Arial"/>
                <w:sz w:val="16"/>
                <w:szCs w:val="16"/>
                <w:color w:val="auto"/>
              </w:rPr>
              <w:t>healthcare and biosciences company (2014 - 2022)</w:t>
            </w:r>
          </w:p>
        </w:tc>
      </w:tr>
      <w:tr>
        <w:trPr>
          <w:trHeight w:val="308"/>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rPr>
              <w:t>  President and Chairman of the Board of Management, Bayer Healthcare Pharmaceuticals, LLC a global</w:t>
            </w:r>
          </w:p>
        </w:tc>
      </w:tr>
      <w:tr>
        <w:trPr>
          <w:trHeight w:val="199"/>
        </w:trPr>
        <w:tc>
          <w:tcPr>
            <w:tcW w:w="460" w:type="dxa"/>
            <w:vAlign w:val="bottom"/>
          </w:tcPr>
          <w:p>
            <w:pPr>
              <w:spacing w:after="0"/>
              <w:rPr>
                <w:sz w:val="17"/>
                <w:szCs w:val="17"/>
                <w:color w:val="auto"/>
              </w:rPr>
            </w:pPr>
          </w:p>
        </w:tc>
        <w:tc>
          <w:tcPr>
            <w:tcW w:w="7500" w:type="dxa"/>
            <w:vAlign w:val="bottom"/>
          </w:tcPr>
          <w:p>
            <w:pPr>
              <w:ind w:left="160"/>
              <w:spacing w:after="0"/>
              <w:rPr>
                <w:sz w:val="20"/>
                <w:szCs w:val="20"/>
                <w:color w:val="auto"/>
              </w:rPr>
            </w:pPr>
            <w:r>
              <w:rPr>
                <w:rFonts w:ascii="Arial" w:cs="Arial" w:eastAsia="Arial" w:hAnsi="Arial"/>
                <w:sz w:val="16"/>
                <w:szCs w:val="16"/>
                <w:color w:val="auto"/>
              </w:rPr>
              <w:t>pharmaceutical company (2008 - 2014)</w:t>
            </w:r>
          </w:p>
        </w:tc>
      </w:tr>
      <w:tr>
        <w:trPr>
          <w:trHeight w:val="308"/>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w w:val="89"/>
              </w:rPr>
              <w:t>  Senior Vice President/General Manager and various leadership positions, Pfizer, Inc., a multinational pharmaceutical</w:t>
            </w:r>
          </w:p>
        </w:tc>
      </w:tr>
      <w:tr>
        <w:trPr>
          <w:trHeight w:val="199"/>
        </w:trPr>
        <w:tc>
          <w:tcPr>
            <w:tcW w:w="460" w:type="dxa"/>
            <w:vAlign w:val="bottom"/>
          </w:tcPr>
          <w:p>
            <w:pPr>
              <w:spacing w:after="0"/>
              <w:rPr>
                <w:sz w:val="17"/>
                <w:szCs w:val="17"/>
                <w:color w:val="auto"/>
              </w:rPr>
            </w:pPr>
          </w:p>
        </w:tc>
        <w:tc>
          <w:tcPr>
            <w:tcW w:w="7500" w:type="dxa"/>
            <w:vAlign w:val="bottom"/>
          </w:tcPr>
          <w:p>
            <w:pPr>
              <w:ind w:left="160"/>
              <w:spacing w:after="0"/>
              <w:rPr>
                <w:sz w:val="20"/>
                <w:szCs w:val="20"/>
                <w:color w:val="auto"/>
              </w:rPr>
            </w:pPr>
            <w:r>
              <w:rPr>
                <w:rFonts w:ascii="Arial" w:cs="Arial" w:eastAsia="Arial" w:hAnsi="Arial"/>
                <w:sz w:val="16"/>
                <w:szCs w:val="16"/>
                <w:color w:val="auto"/>
              </w:rPr>
              <w:t>and biotechnology company (2000 - 2008))</w:t>
            </w:r>
          </w:p>
        </w:tc>
      </w:tr>
      <w:tr>
        <w:trPr>
          <w:trHeight w:val="331"/>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Public directorships during past five years</w:t>
            </w:r>
          </w:p>
        </w:tc>
      </w:tr>
      <w:tr>
        <w:trPr>
          <w:trHeight w:val="247"/>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rPr>
              <w:t>  Director, International Flavors &amp; Fragrances, Inc. (2011 - 2022, Chairman from 2014 - 2022)</w:t>
            </w:r>
          </w:p>
        </w:tc>
      </w:tr>
      <w:tr>
        <w:trPr>
          <w:trHeight w:val="308"/>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w w:val="96"/>
              </w:rPr>
              <w:t>  Independent director and member of the research and development committee, former member of the audit</w:t>
            </w:r>
          </w:p>
        </w:tc>
      </w:tr>
      <w:tr>
        <w:trPr>
          <w:trHeight w:val="199"/>
        </w:trPr>
        <w:tc>
          <w:tcPr>
            <w:tcW w:w="460" w:type="dxa"/>
            <w:vAlign w:val="bottom"/>
          </w:tcPr>
          <w:p>
            <w:pPr>
              <w:spacing w:after="0"/>
              <w:rPr>
                <w:sz w:val="17"/>
                <w:szCs w:val="17"/>
                <w:color w:val="auto"/>
              </w:rPr>
            </w:pPr>
          </w:p>
        </w:tc>
        <w:tc>
          <w:tcPr>
            <w:tcW w:w="7500" w:type="dxa"/>
            <w:vAlign w:val="bottom"/>
          </w:tcPr>
          <w:p>
            <w:pPr>
              <w:ind w:left="160"/>
              <w:spacing w:after="0"/>
              <w:rPr>
                <w:sz w:val="20"/>
                <w:szCs w:val="20"/>
                <w:color w:val="auto"/>
              </w:rPr>
            </w:pPr>
            <w:r>
              <w:rPr>
                <w:rFonts w:ascii="Arial" w:cs="Arial" w:eastAsia="Arial" w:hAnsi="Arial"/>
                <w:sz w:val="16"/>
                <w:szCs w:val="16"/>
                <w:color w:val="auto"/>
              </w:rPr>
              <w:t>committee, Novo-Nordisk A/S (NYSE: NVO), a global healthcare company (2018 - present)</w:t>
            </w:r>
          </w:p>
        </w:tc>
      </w:tr>
      <w:tr>
        <w:trPr>
          <w:trHeight w:val="308"/>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w w:val="93"/>
              </w:rPr>
              <w:t>  Independent director and member of the audit committee and finance and risk policy committee, Bunge Limited</w:t>
            </w:r>
          </w:p>
        </w:tc>
      </w:tr>
      <w:tr>
        <w:trPr>
          <w:trHeight w:val="199"/>
        </w:trPr>
        <w:tc>
          <w:tcPr>
            <w:tcW w:w="460" w:type="dxa"/>
            <w:vAlign w:val="bottom"/>
          </w:tcPr>
          <w:p>
            <w:pPr>
              <w:spacing w:after="0"/>
              <w:rPr>
                <w:sz w:val="17"/>
                <w:szCs w:val="17"/>
                <w:color w:val="auto"/>
              </w:rPr>
            </w:pPr>
          </w:p>
        </w:tc>
        <w:tc>
          <w:tcPr>
            <w:tcW w:w="7500" w:type="dxa"/>
            <w:vAlign w:val="bottom"/>
          </w:tcPr>
          <w:p>
            <w:pPr>
              <w:ind w:left="160"/>
              <w:spacing w:after="0"/>
              <w:rPr>
                <w:sz w:val="20"/>
                <w:szCs w:val="20"/>
                <w:color w:val="auto"/>
              </w:rPr>
            </w:pPr>
            <w:r>
              <w:rPr>
                <w:rFonts w:ascii="Arial" w:cs="Arial" w:eastAsia="Arial" w:hAnsi="Arial"/>
                <w:sz w:val="16"/>
                <w:szCs w:val="16"/>
                <w:color w:val="auto"/>
              </w:rPr>
              <w:t>(NYSE: BG), a global agribusiness and food company (2016 - 2018)</w:t>
            </w:r>
          </w:p>
        </w:tc>
      </w:tr>
      <w:tr>
        <w:trPr>
          <w:trHeight w:val="331"/>
        </w:trPr>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relevant experience</w:t>
            </w:r>
          </w:p>
        </w:tc>
      </w:tr>
      <w:tr>
        <w:trPr>
          <w:trHeight w:val="247"/>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rPr>
              <w:t>  Director, Indigo Agriculture, an agricultural technology company (2022 - present)</w:t>
            </w:r>
          </w:p>
        </w:tc>
      </w:tr>
      <w:tr>
        <w:trPr>
          <w:trHeight w:val="312"/>
        </w:trPr>
        <w:tc>
          <w:tcPr>
            <w:tcW w:w="460" w:type="dxa"/>
            <w:vAlign w:val="bottom"/>
          </w:tcPr>
          <w:p>
            <w:pPr>
              <w:ind w:left="300"/>
              <w:spacing w:after="0"/>
              <w:rPr>
                <w:sz w:val="20"/>
                <w:szCs w:val="20"/>
                <w:color w:val="auto"/>
              </w:rPr>
            </w:pPr>
            <w:r>
              <w:rPr>
                <w:rFonts w:ascii="Arial" w:cs="Arial" w:eastAsia="Arial" w:hAnsi="Arial"/>
                <w:sz w:val="14"/>
                <w:szCs w:val="14"/>
                <w:color w:val="auto"/>
                <w:w w:val="73"/>
              </w:rPr>
              <w:t>• </w:t>
            </w:r>
          </w:p>
        </w:tc>
        <w:tc>
          <w:tcPr>
            <w:tcW w:w="7500" w:type="dxa"/>
            <w:vAlign w:val="bottom"/>
          </w:tcPr>
          <w:p>
            <w:pPr>
              <w:ind w:left="60"/>
              <w:spacing w:after="0"/>
              <w:rPr>
                <w:sz w:val="20"/>
                <w:szCs w:val="20"/>
                <w:color w:val="auto"/>
              </w:rPr>
            </w:pPr>
            <w:r>
              <w:rPr>
                <w:rFonts w:ascii="Arial" w:cs="Arial" w:eastAsia="Arial" w:hAnsi="Arial"/>
                <w:sz w:val="16"/>
                <w:szCs w:val="16"/>
                <w:color w:val="auto"/>
              </w:rPr>
              <w:t>  Director, EvodiaBio, a bioindustrial aroma company (2022 - present)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45085</wp:posOffset>
            </wp:positionV>
            <wp:extent cx="674052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500"/>
            <w:col w:w="7960"/>
          </w:cols>
          <w:pgMar w:left="320" w:top="473" w:right="639" w:bottom="1440" w:gutter="0" w:footer="0" w:header="0"/>
          <w:type w:val="continuous"/>
        </w:sectPr>
      </w:pPr>
    </w:p>
    <w:p>
      <w:pPr>
        <w:spacing w:after="0" w:line="30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25</w:t>
      </w:r>
    </w:p>
    <w:p>
      <w:pPr>
        <w:sectPr>
          <w:pgSz w:w="11900" w:h="16838" w:orient="portrait"/>
          <w:cols w:equalWidth="0" w:num="1">
            <w:col w:w="10940"/>
          </w:cols>
          <w:pgMar w:left="320" w:top="473" w:right="6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6740525" cy="776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052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B4E0B"/>
        </w:rPr>
        <w:t>Som Mittal</w:t>
      </w:r>
    </w:p>
    <w:p>
      <w:pPr>
        <w:spacing w:after="0" w:line="35" w:lineRule="exact"/>
        <w:rPr>
          <w:sz w:val="20"/>
          <w:szCs w:val="20"/>
          <w:color w:val="auto"/>
        </w:rPr>
      </w:pPr>
    </w:p>
    <w:p>
      <w:pPr>
        <w:ind w:left="440"/>
        <w:spacing w:after="0"/>
        <w:tabs>
          <w:tab w:leader="none" w:pos="9640" w:val="left"/>
        </w:tabs>
        <w:rPr>
          <w:sz w:val="20"/>
          <w:szCs w:val="20"/>
          <w:color w:val="auto"/>
        </w:rPr>
      </w:pPr>
      <w:r>
        <w:rPr>
          <w:rFonts w:ascii="Arial" w:cs="Arial" w:eastAsia="Arial" w:hAnsi="Arial"/>
          <w:sz w:val="17"/>
          <w:szCs w:val="17"/>
          <w:b w:val="1"/>
          <w:bCs w:val="1"/>
          <w:color w:val="auto"/>
        </w:rPr>
        <w:t>Director since December 2013</w:t>
      </w:r>
      <w:r>
        <w:rPr>
          <w:sz w:val="20"/>
          <w:szCs w:val="20"/>
          <w:color w:val="auto"/>
        </w:rPr>
        <w:tab/>
      </w:r>
      <w:r>
        <w:rPr>
          <w:rFonts w:ascii="Arial" w:cs="Arial" w:eastAsia="Arial" w:hAnsi="Arial"/>
          <w:sz w:val="15"/>
          <w:szCs w:val="15"/>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188595</wp:posOffset>
            </wp:positionV>
            <wp:extent cx="1164590" cy="1164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spacing w:after="0"/>
        <w:rPr>
          <w:sz w:val="20"/>
          <w:szCs w:val="20"/>
          <w:color w:val="auto"/>
        </w:rPr>
      </w:pPr>
      <w:r>
        <w:rPr>
          <w:rFonts w:ascii="Arial" w:cs="Arial" w:eastAsia="Arial" w:hAnsi="Arial"/>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wp:posOffset>
            </wp:positionV>
            <wp:extent cx="231140" cy="2311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51"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Finance</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85090</wp:posOffset>
            </wp:positionV>
            <wp:extent cx="247650"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Executive</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101600</wp:posOffset>
            </wp:positionV>
            <wp:extent cx="132080" cy="206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93345</wp:posOffset>
            </wp:positionV>
            <wp:extent cx="21463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Human capital</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93345</wp:posOffset>
            </wp:positionV>
            <wp:extent cx="239395"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169" w:lineRule="exact"/>
        <w:rPr>
          <w:sz w:val="20"/>
          <w:szCs w:val="20"/>
          <w:color w:val="auto"/>
        </w:rPr>
      </w:pPr>
    </w:p>
    <w:p>
      <w:pPr>
        <w:ind w:left="1300"/>
        <w:spacing w:after="0" w:line="277" w:lineRule="auto"/>
        <w:rPr>
          <w:sz w:val="20"/>
          <w:szCs w:val="20"/>
          <w:color w:val="auto"/>
        </w:rPr>
      </w:pPr>
      <w:r>
        <w:rPr>
          <w:rFonts w:ascii="Arial" w:cs="Arial" w:eastAsia="Arial" w:hAnsi="Arial"/>
          <w:sz w:val="10"/>
          <w:szCs w:val="10"/>
          <w:color w:val="auto"/>
        </w:rPr>
        <w:t>Digital operations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68580</wp:posOffset>
            </wp:positionV>
            <wp:extent cx="231140" cy="231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Global</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101600</wp:posOffset>
            </wp:positionV>
            <wp:extent cx="23114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Risk oversight and</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93345</wp:posOffset>
            </wp:positionV>
            <wp:extent cx="206375"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Information and</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85090</wp:posOffset>
            </wp:positionV>
            <wp:extent cx="231140" cy="1981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Age: 71 — has held various corporate leadership roles in the IT industry since 1989 and also has extensive experience in the engineering and automotive sectors. His business experience and directorships are detailed below. The Company has concluded, based in part on Mr. Mittal’s business experience as President of NASSCOM, his knowledge of the global outsourcing industry and his expertise in corporate sustainability and responsibility, that Mr. Mittal should serve as a director.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52539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53990" cy="8255"/>
                    </a:xfrm>
                    <a:prstGeom prst="rect">
                      <a:avLst/>
                    </a:prstGeom>
                    <a:noFill/>
                  </pic:spPr>
                </pic:pic>
              </a:graphicData>
            </a:graphic>
          </wp:anchor>
        </w:drawing>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Compensation and Talent Management, Nominating and Governance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 w:type="dxa"/>
            <w:vAlign w:val="bottom"/>
            <w:tcBorders>
              <w:top w:val="single" w:sz="8" w:color="auto"/>
            </w:tcBorders>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Borders>
              <w:top w:val="single" w:sz="8" w:color="auto"/>
            </w:tcBorders>
          </w:tcPr>
          <w:p>
            <w:pPr>
              <w:ind w:left="60"/>
              <w:spacing w:after="0" w:line="178" w:lineRule="exact"/>
              <w:rPr>
                <w:sz w:val="20"/>
                <w:szCs w:val="20"/>
                <w:color w:val="auto"/>
              </w:rPr>
            </w:pPr>
            <w:r>
              <w:rPr>
                <w:rFonts w:ascii="Arial" w:cs="Arial" w:eastAsia="Arial" w:hAnsi="Arial"/>
                <w:sz w:val="16"/>
                <w:szCs w:val="16"/>
                <w:color w:val="auto"/>
                <w:w w:val="88"/>
              </w:rPr>
              <w:t>  Chairman and President, NASSCOM, a trade body for the IT and business process management industries in India (2008 -</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rPr>
              <w:t>2014)</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Prior leadership roles at Wipro, Digital, Compaq and HP</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Prior executive roles at Larsen and Toubro, Escorts and Denso</w:t>
            </w:r>
          </w:p>
        </w:tc>
      </w:tr>
      <w:tr>
        <w:trPr>
          <w:trHeight w:val="331"/>
        </w:trPr>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Public directorships during past five years</w:t>
            </w:r>
          </w:p>
        </w:tc>
      </w:tr>
      <w:tr>
        <w:trPr>
          <w:trHeight w:val="19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Director, Sasken Technologies Limited (NSE: SASKEN), a telecommunications company (2022 - present)</w:t>
            </w:r>
          </w:p>
        </w:tc>
      </w:tr>
      <w:tr>
        <w:trPr>
          <w:trHeight w:val="29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Director and member of clinical quality and innovation committee, Apollo Hospitals Enterprise Limited (NSE:</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rPr>
              <w:t>APOLLOHOSP), a healthcare services provider (2021 - present)</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w w:val="93"/>
              </w:rPr>
              <w:t>  Director and chairman of audit committee, Sheela Foam Ltd. (NSE: SFL), a manufacturing company (2016 - present)</w:t>
            </w:r>
          </w:p>
        </w:tc>
      </w:tr>
      <w:tr>
        <w:trPr>
          <w:trHeight w:val="30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w w:val="94"/>
              </w:rPr>
              <w:t>  Director and member of audit and risk management committee, Cyient Ltd. (NSE: CYIENT), an engineering design</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rPr>
              <w:t>services company (2014 - 2022)</w:t>
            </w:r>
          </w:p>
        </w:tc>
      </w:tr>
      <w:tr>
        <w:trPr>
          <w:trHeight w:val="30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Director and chairman of customer service committee and IT strategy committee, member of nomination and</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w w:val="90"/>
              </w:rPr>
              <w:t>remuneration committee and other committees, Axis Bank, Ltd. (NSE: Axis), a financial services company (2011 - 2019)</w:t>
            </w:r>
          </w:p>
        </w:tc>
      </w:tr>
      <w:tr>
        <w:trPr>
          <w:trHeight w:val="331"/>
        </w:trPr>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directorships</w:t>
            </w:r>
          </w:p>
        </w:tc>
      </w:tr>
      <w:tr>
        <w:trPr>
          <w:trHeight w:val="17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line="178" w:lineRule="exact"/>
              <w:rPr>
                <w:sz w:val="20"/>
                <w:szCs w:val="20"/>
                <w:color w:val="auto"/>
              </w:rPr>
            </w:pPr>
            <w:r>
              <w:rPr>
                <w:rFonts w:ascii="Arial" w:cs="Arial" w:eastAsia="Arial" w:hAnsi="Arial"/>
                <w:sz w:val="16"/>
                <w:szCs w:val="16"/>
                <w:color w:val="auto"/>
                <w:w w:val="93"/>
              </w:rPr>
              <w:t>  Director, Tata SIA Airlines, Ltd., an Indian airline joint venture between TATA and Singapore Airlines with Indian and</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rPr>
              <w:t>international operations (2015 - present)</w:t>
            </w:r>
          </w:p>
        </w:tc>
      </w:tr>
      <w:tr>
        <w:trPr>
          <w:trHeight w:val="30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w w:val="92"/>
              </w:rPr>
              <w:t>  Non executive Independent Director and Chairman, Vodafone India Services India Pvt Ltd., an Indian shared services</w:t>
            </w:r>
          </w:p>
        </w:tc>
      </w:tr>
      <w:tr>
        <w:trPr>
          <w:trHeight w:val="195"/>
        </w:trPr>
        <w:tc>
          <w:tcPr>
            <w:tcW w:w="460" w:type="dxa"/>
            <w:vAlign w:val="bottom"/>
          </w:tcPr>
          <w:p>
            <w:pPr>
              <w:spacing w:after="0"/>
              <w:rPr>
                <w:sz w:val="16"/>
                <w:szCs w:val="16"/>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w w:val="91"/>
              </w:rPr>
              <w:t>company that is wholly owned, operated and controlled by Vodafone Group Plc (“Vodafone”) and provides information</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rPr>
              <w:t>technology and networks services, among others, to Vodafone (2020 - present)</w:t>
            </w:r>
          </w:p>
        </w:tc>
      </w:tr>
      <w:tr>
        <w:trPr>
          <w:trHeight w:val="331"/>
        </w:trPr>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relevant experience</w:t>
            </w:r>
          </w:p>
        </w:tc>
      </w:tr>
      <w:tr>
        <w:trPr>
          <w:trHeight w:val="19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Former member, Board of Governors, Indian Institute of Corporate Affairs</w:t>
            </w:r>
          </w:p>
        </w:tc>
      </w:tr>
      <w:tr>
        <w:trPr>
          <w:trHeight w:val="30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rPr>
              <w:t>  Former Committee Member, Indian Prime Minister’s National e-Governance Program</w:t>
            </w:r>
          </w:p>
        </w:tc>
      </w:tr>
      <w:tr>
        <w:trPr>
          <w:trHeight w:val="30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820" w:type="dxa"/>
            <w:vAlign w:val="bottom"/>
          </w:tcPr>
          <w:p>
            <w:pPr>
              <w:ind w:left="60"/>
              <w:spacing w:after="0"/>
              <w:rPr>
                <w:sz w:val="20"/>
                <w:szCs w:val="20"/>
                <w:color w:val="auto"/>
              </w:rPr>
            </w:pPr>
            <w:r>
              <w:rPr>
                <w:rFonts w:ascii="Arial" w:cs="Arial" w:eastAsia="Arial" w:hAnsi="Arial"/>
                <w:sz w:val="16"/>
                <w:szCs w:val="16"/>
                <w:color w:val="auto"/>
                <w:w w:val="90"/>
              </w:rPr>
              <w:t>  Member of the governing body of Axis Bank Foundation, a non-profit organization, and member of board of governors of</w:t>
            </w:r>
          </w:p>
        </w:tc>
      </w:tr>
      <w:tr>
        <w:trPr>
          <w:trHeight w:val="199"/>
        </w:trPr>
        <w:tc>
          <w:tcPr>
            <w:tcW w:w="460" w:type="dxa"/>
            <w:vAlign w:val="bottom"/>
          </w:tcPr>
          <w:p>
            <w:pPr>
              <w:spacing w:after="0"/>
              <w:rPr>
                <w:sz w:val="17"/>
                <w:szCs w:val="17"/>
                <w:color w:val="auto"/>
              </w:rPr>
            </w:pPr>
          </w:p>
        </w:tc>
        <w:tc>
          <w:tcPr>
            <w:tcW w:w="7820" w:type="dxa"/>
            <w:vAlign w:val="bottom"/>
          </w:tcPr>
          <w:p>
            <w:pPr>
              <w:ind w:left="160"/>
              <w:spacing w:after="0"/>
              <w:rPr>
                <w:sz w:val="20"/>
                <w:szCs w:val="20"/>
                <w:color w:val="auto"/>
              </w:rPr>
            </w:pPr>
            <w:r>
              <w:rPr>
                <w:rFonts w:ascii="Arial" w:cs="Arial" w:eastAsia="Arial" w:hAnsi="Arial"/>
                <w:sz w:val="16"/>
                <w:szCs w:val="16"/>
                <w:color w:val="auto"/>
              </w:rPr>
              <w:t>academic institutions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284480</wp:posOffset>
            </wp:positionV>
            <wp:extent cx="674052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440"/>
            <w:col w:w="8280"/>
          </w:cols>
          <w:pgMar w:left="320" w:top="47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6740525" cy="768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40525" cy="76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B4E0B"/>
        </w:rPr>
        <w:t>Kristy Pipes</w:t>
      </w:r>
    </w:p>
    <w:p>
      <w:pPr>
        <w:spacing w:after="0" w:line="35" w:lineRule="exact"/>
        <w:rPr>
          <w:sz w:val="20"/>
          <w:szCs w:val="20"/>
          <w:color w:val="auto"/>
        </w:rPr>
      </w:pPr>
    </w:p>
    <w:p>
      <w:pPr>
        <w:ind w:left="440"/>
        <w:spacing w:after="0"/>
        <w:tabs>
          <w:tab w:leader="none" w:pos="9640" w:val="left"/>
        </w:tabs>
        <w:rPr>
          <w:sz w:val="20"/>
          <w:szCs w:val="20"/>
          <w:color w:val="auto"/>
        </w:rPr>
      </w:pPr>
      <w:r>
        <w:rPr>
          <w:rFonts w:ascii="Arial" w:cs="Arial" w:eastAsia="Arial" w:hAnsi="Arial"/>
          <w:sz w:val="17"/>
          <w:szCs w:val="17"/>
          <w:b w:val="1"/>
          <w:bCs w:val="1"/>
          <w:color w:val="auto"/>
        </w:rPr>
        <w:t>Director since January 2021</w:t>
      </w:r>
      <w:r>
        <w:rPr>
          <w:sz w:val="20"/>
          <w:szCs w:val="20"/>
          <w:color w:val="auto"/>
        </w:rPr>
        <w:tab/>
      </w:r>
      <w:r>
        <w:rPr>
          <w:rFonts w:ascii="Arial" w:cs="Arial" w:eastAsia="Arial" w:hAnsi="Arial"/>
          <w:sz w:val="15"/>
          <w:szCs w:val="15"/>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254635</wp:posOffset>
            </wp:positionV>
            <wp:extent cx="1164590" cy="1164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hanging="144"/>
        <w:spacing w:after="0"/>
        <w:tabs>
          <w:tab w:leader="none" w:pos="4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    </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73" w:lineRule="exact"/>
        <w:rPr>
          <w:rFonts w:ascii="Arial" w:cs="Arial" w:eastAsia="Arial" w:hAnsi="Arial"/>
          <w:sz w:val="10"/>
          <w:szCs w:val="10"/>
          <w:color w:val="auto"/>
        </w:rPr>
      </w:pPr>
    </w:p>
    <w:p>
      <w:pPr>
        <w:ind w:left="460" w:hanging="144"/>
        <w:spacing w:after="0"/>
        <w:tabs>
          <w:tab w:leader="none" w:pos="4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    </w:t>
      </w:r>
    </w:p>
    <w:p>
      <w:pPr>
        <w:spacing w:after="0" w:line="200" w:lineRule="exact"/>
        <w:rPr>
          <w:rFonts w:ascii="Arial" w:cs="Arial" w:eastAsia="Arial" w:hAnsi="Arial"/>
          <w:sz w:val="10"/>
          <w:szCs w:val="10"/>
          <w:color w:val="auto"/>
        </w:rPr>
      </w:pPr>
    </w:p>
    <w:p>
      <w:pPr>
        <w:spacing w:after="0" w:line="218" w:lineRule="exact"/>
        <w:rPr>
          <w:rFonts w:ascii="Arial" w:cs="Arial" w:eastAsia="Arial" w:hAnsi="Arial"/>
          <w:sz w:val="10"/>
          <w:szCs w:val="10"/>
          <w:color w:val="auto"/>
        </w:rPr>
      </w:pPr>
    </w:p>
    <w:p>
      <w:pPr>
        <w:ind w:left="460" w:hanging="144"/>
        <w:spacing w:after="0"/>
        <w:tabs>
          <w:tab w:leader="none" w:pos="4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    </w:t>
      </w:r>
    </w:p>
    <w:p>
      <w:pPr>
        <w:spacing w:after="0" w:line="327" w:lineRule="exact"/>
        <w:rPr>
          <w:rFonts w:ascii="Arial" w:cs="Arial" w:eastAsia="Arial" w:hAnsi="Arial"/>
          <w:sz w:val="10"/>
          <w:szCs w:val="10"/>
          <w:color w:val="auto"/>
        </w:rPr>
      </w:pPr>
    </w:p>
    <w:p>
      <w:pPr>
        <w:ind w:left="460" w:hanging="144"/>
        <w:spacing w:after="0"/>
        <w:tabs>
          <w:tab w:leader="none" w:pos="4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-1217295</wp:posOffset>
            </wp:positionV>
            <wp:extent cx="231140" cy="2311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-935990</wp:posOffset>
            </wp:positionV>
            <wp:extent cx="247650" cy="2311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-589280</wp:posOffset>
            </wp:positionV>
            <wp:extent cx="132080" cy="2063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-250825</wp:posOffset>
            </wp:positionV>
            <wp:extent cx="255905" cy="165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5905" cy="1651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29845</wp:posOffset>
            </wp:positionV>
            <wp:extent cx="21463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294005</wp:posOffset>
            </wp:positionV>
            <wp:extent cx="231140" cy="2311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574675</wp:posOffset>
            </wp:positionV>
            <wp:extent cx="23114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838835</wp:posOffset>
            </wp:positionV>
            <wp:extent cx="206375"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SKILLS</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color w:val="auto"/>
        </w:rPr>
        <w:t>Finance</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and accounting</w:t>
      </w: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Executive</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leadership</w:t>
      </w:r>
    </w:p>
    <w:p>
      <w:pPr>
        <w:spacing w:after="0" w:line="2" w:lineRule="exact"/>
        <w:rPr>
          <w:sz w:val="20"/>
          <w:szCs w:val="20"/>
          <w:color w:val="auto"/>
        </w:rPr>
      </w:pPr>
    </w:p>
    <w:p>
      <w:pPr>
        <w:spacing w:after="0"/>
        <w:rPr>
          <w:sz w:val="20"/>
          <w:szCs w:val="20"/>
          <w:color w:val="auto"/>
        </w:rPr>
      </w:pPr>
      <w:r>
        <w:rPr>
          <w:rFonts w:ascii="Arial" w:cs="Arial" w:eastAsia="Arial" w:hAnsi="Arial"/>
          <w:sz w:val="9"/>
          <w:szCs w:val="9"/>
          <w:color w:val="auto"/>
        </w:rPr>
        <w:t>(within the last 5 years)</w:t>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governance</w:t>
      </w: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Analytics</w:t>
      </w:r>
    </w:p>
    <w:p>
      <w:pPr>
        <w:spacing w:after="0" w:line="301" w:lineRule="exact"/>
        <w:rPr>
          <w:sz w:val="20"/>
          <w:szCs w:val="20"/>
          <w:color w:val="auto"/>
        </w:rPr>
      </w:pPr>
    </w:p>
    <w:p>
      <w:pPr>
        <w:spacing w:after="0"/>
        <w:rPr>
          <w:sz w:val="20"/>
          <w:szCs w:val="20"/>
          <w:color w:val="auto"/>
        </w:rPr>
      </w:pPr>
      <w:r>
        <w:rPr>
          <w:rFonts w:ascii="Arial" w:cs="Arial" w:eastAsia="Arial" w:hAnsi="Arial"/>
          <w:sz w:val="10"/>
          <w:szCs w:val="10"/>
          <w:color w:val="auto"/>
        </w:rPr>
        <w:t>Human capital</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management</w:t>
      </w: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color w:val="auto"/>
        </w:rPr>
        <w:t>Global</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experience</w:t>
      </w:r>
    </w:p>
    <w:p>
      <w:pPr>
        <w:spacing w:after="0" w:line="189" w:lineRule="exact"/>
        <w:rPr>
          <w:sz w:val="20"/>
          <w:szCs w:val="20"/>
          <w:color w:val="auto"/>
        </w:rPr>
      </w:pPr>
    </w:p>
    <w:p>
      <w:pPr>
        <w:spacing w:after="0"/>
        <w:rPr>
          <w:sz w:val="20"/>
          <w:szCs w:val="20"/>
          <w:color w:val="auto"/>
        </w:rPr>
      </w:pPr>
      <w:r>
        <w:rPr>
          <w:rFonts w:ascii="Arial" w:cs="Arial" w:eastAsia="Arial" w:hAnsi="Arial"/>
          <w:sz w:val="10"/>
          <w:szCs w:val="10"/>
          <w:color w:val="auto"/>
        </w:rPr>
        <w:t>Risk oversight and</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management</w:t>
      </w:r>
    </w:p>
    <w:p>
      <w:pPr>
        <w:spacing w:after="0" w:line="189" w:lineRule="exact"/>
        <w:rPr>
          <w:sz w:val="20"/>
          <w:szCs w:val="20"/>
          <w:color w:val="auto"/>
        </w:rPr>
      </w:pPr>
    </w:p>
    <w:p>
      <w:pPr>
        <w:spacing w:after="0"/>
        <w:rPr>
          <w:sz w:val="20"/>
          <w:szCs w:val="20"/>
          <w:color w:val="auto"/>
        </w:rPr>
      </w:pPr>
      <w:r>
        <w:rPr>
          <w:rFonts w:ascii="Arial" w:cs="Arial" w:eastAsia="Arial" w:hAnsi="Arial"/>
          <w:sz w:val="10"/>
          <w:szCs w:val="10"/>
          <w:color w:val="auto"/>
        </w:rPr>
        <w:t>Information and</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Age: 64 — is a leader in the professional services industry. Ms. Pipes’s business experience and directorships are detailed below. The Company has concluded, based in part on Ms. Pipes’s experience as the Chief Financial Officer and as a member of the Management Committee of Deloitte Consulting, LLP and her expertise in the consulting and financial services industry that Ms. Pipes should serve as a director.</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1219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Audit (Chair)*; Compensation and Talent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1219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w w:val="89"/>
              </w:rPr>
              <w:t>   Chief Financial Officer, member of the Management Committee and various leadership positions, Deloitte Consulting</w:t>
            </w:r>
          </w:p>
        </w:tc>
      </w:tr>
      <w:tr>
        <w:trPr>
          <w:trHeight w:val="199"/>
        </w:trPr>
        <w:tc>
          <w:tcPr>
            <w:tcW w:w="480" w:type="dxa"/>
            <w:vAlign w:val="bottom"/>
          </w:tcPr>
          <w:p>
            <w:pPr>
              <w:spacing w:after="0"/>
              <w:rPr>
                <w:sz w:val="17"/>
                <w:szCs w:val="17"/>
                <w:color w:val="auto"/>
              </w:rPr>
            </w:pPr>
          </w:p>
        </w:tc>
        <w:tc>
          <w:tcPr>
            <w:tcW w:w="7600" w:type="dxa"/>
            <w:vAlign w:val="bottom"/>
          </w:tcPr>
          <w:p>
            <w:pPr>
              <w:ind w:left="160"/>
              <w:spacing w:after="0"/>
              <w:rPr>
                <w:sz w:val="20"/>
                <w:szCs w:val="20"/>
                <w:color w:val="auto"/>
              </w:rPr>
            </w:pPr>
            <w:r>
              <w:rPr>
                <w:rFonts w:ascii="Arial" w:cs="Arial" w:eastAsia="Arial" w:hAnsi="Arial"/>
                <w:sz w:val="16"/>
                <w:szCs w:val="16"/>
                <w:color w:val="auto"/>
              </w:rPr>
              <w:t>LLP, a management consulting firm (1999 - 2019)</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rPr>
              <w:t>   Vice President and Manager, Finance Division, Transamerica Life Companies (1997 - 1999)</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w w:val="89"/>
              </w:rPr>
              <w:t>   Senior Vice President and Chief of Staff for the President and CEO, among other senior management positions, First</w:t>
            </w:r>
          </w:p>
        </w:tc>
      </w:tr>
      <w:tr>
        <w:trPr>
          <w:trHeight w:val="199"/>
        </w:trPr>
        <w:tc>
          <w:tcPr>
            <w:tcW w:w="480" w:type="dxa"/>
            <w:vAlign w:val="bottom"/>
          </w:tcPr>
          <w:p>
            <w:pPr>
              <w:spacing w:after="0"/>
              <w:rPr>
                <w:sz w:val="17"/>
                <w:szCs w:val="17"/>
                <w:color w:val="auto"/>
              </w:rPr>
            </w:pPr>
          </w:p>
        </w:tc>
        <w:tc>
          <w:tcPr>
            <w:tcW w:w="7600" w:type="dxa"/>
            <w:vAlign w:val="bottom"/>
          </w:tcPr>
          <w:p>
            <w:pPr>
              <w:ind w:left="160"/>
              <w:spacing w:after="0"/>
              <w:rPr>
                <w:sz w:val="20"/>
                <w:szCs w:val="20"/>
                <w:color w:val="auto"/>
              </w:rPr>
            </w:pPr>
            <w:r>
              <w:rPr>
                <w:rFonts w:ascii="Arial" w:cs="Arial" w:eastAsia="Arial" w:hAnsi="Arial"/>
                <w:sz w:val="16"/>
                <w:szCs w:val="16"/>
                <w:color w:val="auto"/>
              </w:rPr>
              <w:t>Interstate Bank of California (1985 - 1996)</w:t>
            </w:r>
          </w:p>
        </w:tc>
      </w:tr>
      <w:tr>
        <w:trPr>
          <w:trHeight w:val="292"/>
        </w:trPr>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Public directorships during past five years</w:t>
            </w:r>
          </w:p>
        </w:tc>
      </w:tr>
      <w:tr>
        <w:trPr>
          <w:trHeight w:val="243"/>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w w:val="90"/>
              </w:rPr>
              <w:t>   Director and chair of the audit committee, and member of the nominating, governance and sustainability committee,</w:t>
            </w:r>
          </w:p>
        </w:tc>
      </w:tr>
      <w:tr>
        <w:trPr>
          <w:trHeight w:val="199"/>
        </w:trPr>
        <w:tc>
          <w:tcPr>
            <w:tcW w:w="480" w:type="dxa"/>
            <w:vAlign w:val="bottom"/>
          </w:tcPr>
          <w:p>
            <w:pPr>
              <w:spacing w:after="0"/>
              <w:rPr>
                <w:sz w:val="17"/>
                <w:szCs w:val="17"/>
                <w:color w:val="auto"/>
              </w:rPr>
            </w:pPr>
          </w:p>
        </w:tc>
        <w:tc>
          <w:tcPr>
            <w:tcW w:w="7600" w:type="dxa"/>
            <w:vAlign w:val="bottom"/>
          </w:tcPr>
          <w:p>
            <w:pPr>
              <w:ind w:left="160"/>
              <w:spacing w:after="0"/>
              <w:rPr>
                <w:sz w:val="20"/>
                <w:szCs w:val="20"/>
                <w:color w:val="auto"/>
              </w:rPr>
            </w:pPr>
            <w:r>
              <w:rPr>
                <w:rFonts w:ascii="Arial" w:cs="Arial" w:eastAsia="Arial" w:hAnsi="Arial"/>
                <w:sz w:val="16"/>
                <w:szCs w:val="16"/>
                <w:color w:val="auto"/>
              </w:rPr>
              <w:t>Public Storage (NYSE: PSA), an international self storage company (2020 - present)</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w w:val="94"/>
              </w:rPr>
              <w:t>   Director and chair of the audit committee, AECOM (NYSE: ACM), an international infrastructure consulting firm</w:t>
            </w:r>
          </w:p>
        </w:tc>
      </w:tr>
      <w:tr>
        <w:trPr>
          <w:trHeight w:val="199"/>
        </w:trPr>
        <w:tc>
          <w:tcPr>
            <w:tcW w:w="480" w:type="dxa"/>
            <w:vAlign w:val="bottom"/>
          </w:tcPr>
          <w:p>
            <w:pPr>
              <w:spacing w:after="0"/>
              <w:rPr>
                <w:sz w:val="17"/>
                <w:szCs w:val="17"/>
                <w:color w:val="auto"/>
              </w:rPr>
            </w:pPr>
          </w:p>
        </w:tc>
        <w:tc>
          <w:tcPr>
            <w:tcW w:w="7600" w:type="dxa"/>
            <w:vAlign w:val="bottom"/>
          </w:tcPr>
          <w:p>
            <w:pPr>
              <w:ind w:left="160"/>
              <w:spacing w:after="0"/>
              <w:rPr>
                <w:sz w:val="20"/>
                <w:szCs w:val="20"/>
                <w:color w:val="auto"/>
              </w:rPr>
            </w:pPr>
            <w:r>
              <w:rPr>
                <w:rFonts w:ascii="Arial" w:cs="Arial" w:eastAsia="Arial" w:hAnsi="Arial"/>
                <w:sz w:val="16"/>
                <w:szCs w:val="16"/>
                <w:color w:val="auto"/>
              </w:rPr>
              <w:t>(2022 - present)</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w w:val="94"/>
              </w:rPr>
              <w:t>   Director and chair of the audit committee, and member of the nominating/corporate governance committee, PS</w:t>
            </w:r>
          </w:p>
        </w:tc>
      </w:tr>
      <w:tr>
        <w:trPr>
          <w:trHeight w:val="199"/>
        </w:trPr>
        <w:tc>
          <w:tcPr>
            <w:tcW w:w="480" w:type="dxa"/>
            <w:vAlign w:val="bottom"/>
          </w:tcPr>
          <w:p>
            <w:pPr>
              <w:spacing w:after="0"/>
              <w:rPr>
                <w:sz w:val="17"/>
                <w:szCs w:val="17"/>
                <w:color w:val="auto"/>
              </w:rPr>
            </w:pPr>
          </w:p>
        </w:tc>
        <w:tc>
          <w:tcPr>
            <w:tcW w:w="7600" w:type="dxa"/>
            <w:vAlign w:val="bottom"/>
          </w:tcPr>
          <w:p>
            <w:pPr>
              <w:ind w:left="160"/>
              <w:spacing w:after="0"/>
              <w:rPr>
                <w:sz w:val="20"/>
                <w:szCs w:val="20"/>
                <w:color w:val="auto"/>
              </w:rPr>
            </w:pPr>
            <w:r>
              <w:rPr>
                <w:rFonts w:ascii="Arial" w:cs="Arial" w:eastAsia="Arial" w:hAnsi="Arial"/>
                <w:sz w:val="16"/>
                <w:szCs w:val="16"/>
                <w:color w:val="auto"/>
              </w:rPr>
              <w:t>Business Parks, Inc. (NYSE: PSB), a commercial property real estate investment trust (2019 - 2022)</w:t>
            </w:r>
          </w:p>
        </w:tc>
      </w:tr>
      <w:tr>
        <w:trPr>
          <w:trHeight w:val="292"/>
        </w:trPr>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relevant experience</w:t>
            </w:r>
          </w:p>
        </w:tc>
      </w:tr>
      <w:tr>
        <w:trPr>
          <w:trHeight w:val="295"/>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600" w:type="dxa"/>
            <w:vAlign w:val="bottom"/>
          </w:tcPr>
          <w:p>
            <w:pPr>
              <w:ind w:left="40"/>
              <w:spacing w:after="0"/>
              <w:rPr>
                <w:sz w:val="20"/>
                <w:szCs w:val="20"/>
                <w:color w:val="auto"/>
              </w:rPr>
            </w:pPr>
            <w:r>
              <w:rPr>
                <w:rFonts w:ascii="Arial" w:cs="Arial" w:eastAsia="Arial" w:hAnsi="Arial"/>
                <w:sz w:val="16"/>
                <w:szCs w:val="16"/>
                <w:color w:val="auto"/>
                <w:w w:val="91"/>
              </w:rPr>
              <w:t>  Director and chair of the audit committee, and member of the nominating, governance, and sustainability committee,</w:t>
            </w:r>
          </w:p>
        </w:tc>
      </w:tr>
      <w:tr>
        <w:trPr>
          <w:trHeight w:val="199"/>
        </w:trPr>
        <w:tc>
          <w:tcPr>
            <w:tcW w:w="480" w:type="dxa"/>
            <w:vAlign w:val="bottom"/>
          </w:tcPr>
          <w:p>
            <w:pPr>
              <w:spacing w:after="0"/>
              <w:rPr>
                <w:sz w:val="17"/>
                <w:szCs w:val="17"/>
                <w:color w:val="auto"/>
              </w:rPr>
            </w:pPr>
          </w:p>
        </w:tc>
        <w:tc>
          <w:tcPr>
            <w:tcW w:w="7600" w:type="dxa"/>
            <w:vAlign w:val="bottom"/>
          </w:tcPr>
          <w:p>
            <w:pPr>
              <w:ind w:left="160"/>
              <w:spacing w:after="0"/>
              <w:rPr>
                <w:sz w:val="20"/>
                <w:szCs w:val="20"/>
                <w:color w:val="auto"/>
              </w:rPr>
            </w:pPr>
            <w:r>
              <w:rPr>
                <w:rFonts w:ascii="Arial" w:cs="Arial" w:eastAsia="Arial" w:hAnsi="Arial"/>
                <w:sz w:val="16"/>
                <w:szCs w:val="16"/>
                <w:color w:val="auto"/>
              </w:rPr>
              <w:t>Savers, Inc., one of the world’s largest thrift retailers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383540</wp:posOffset>
            </wp:positionV>
            <wp:extent cx="674052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80" w:space="720"/>
            <w:col w:w="980" w:space="580"/>
            <w:col w:w="8080"/>
          </w:cols>
          <w:pgMar w:left="320" w:top="473" w:right="6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Audit committee financial expert under applicable SEC rules and regulations.</w:t>
      </w:r>
    </w:p>
    <w:p>
      <w:pPr>
        <w:spacing w:after="0" w:line="257"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27</w:t>
      </w:r>
    </w:p>
    <w:p>
      <w:pPr>
        <w:sectPr>
          <w:pgSz w:w="11900" w:h="16838" w:orient="portrait"/>
          <w:cols w:equalWidth="0" w:num="1">
            <w:col w:w="10940"/>
          </w:cols>
          <w:pgMar w:left="320" w:top="473" w:right="6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6740525" cy="768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0525" cy="76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B4E0B"/>
        </w:rPr>
        <w:t>Nitin Sahney</w:t>
      </w:r>
    </w:p>
    <w:p>
      <w:pPr>
        <w:spacing w:after="0" w:line="35" w:lineRule="exact"/>
        <w:rPr>
          <w:sz w:val="20"/>
          <w:szCs w:val="20"/>
          <w:color w:val="auto"/>
        </w:rPr>
      </w:pPr>
    </w:p>
    <w:p>
      <w:pPr>
        <w:ind w:left="440"/>
        <w:spacing w:after="0"/>
        <w:tabs>
          <w:tab w:leader="none" w:pos="9640" w:val="left"/>
        </w:tabs>
        <w:rPr>
          <w:sz w:val="20"/>
          <w:szCs w:val="20"/>
          <w:color w:val="auto"/>
        </w:rPr>
      </w:pPr>
      <w:r>
        <w:rPr>
          <w:rFonts w:ascii="Arial" w:cs="Arial" w:eastAsia="Arial" w:hAnsi="Arial"/>
          <w:sz w:val="17"/>
          <w:szCs w:val="17"/>
          <w:b w:val="1"/>
          <w:bCs w:val="1"/>
          <w:color w:val="auto"/>
        </w:rPr>
        <w:t>Director since January 2016</w:t>
      </w:r>
      <w:r>
        <w:rPr>
          <w:sz w:val="20"/>
          <w:szCs w:val="20"/>
          <w:color w:val="auto"/>
        </w:rPr>
        <w:tab/>
      </w:r>
      <w:r>
        <w:rPr>
          <w:rFonts w:ascii="Arial" w:cs="Arial" w:eastAsia="Arial" w:hAnsi="Arial"/>
          <w:sz w:val="15"/>
          <w:szCs w:val="15"/>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180340</wp:posOffset>
            </wp:positionV>
            <wp:extent cx="1164590" cy="1164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80"/>
        <w:spacing w:after="0"/>
        <w:rPr>
          <w:sz w:val="20"/>
          <w:szCs w:val="20"/>
          <w:color w:val="auto"/>
        </w:rPr>
      </w:pPr>
      <w:r>
        <w:rPr>
          <w:rFonts w:ascii="Arial" w:cs="Arial" w:eastAsia="Arial" w:hAnsi="Arial"/>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-63500</wp:posOffset>
            </wp:positionV>
            <wp:extent cx="231140" cy="231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Finance</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and accounting</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-66040</wp:posOffset>
            </wp:positionV>
            <wp:extent cx="247650" cy="231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0"/>
          <w:szCs w:val="10"/>
          <w:color w:val="auto"/>
        </w:rPr>
        <w:t>leadership</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9"/>
          <w:szCs w:val="9"/>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67310</wp:posOffset>
            </wp:positionV>
            <wp:extent cx="132080" cy="2063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93345</wp:posOffset>
            </wp:positionV>
            <wp:extent cx="231140" cy="2063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Mergers and</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Age: 60 — Is a leader in the healthcare industry with over 25 years of experience across all areas of healthcare.</w:t>
      </w:r>
    </w:p>
    <w:p>
      <w:pPr>
        <w:spacing w:after="0" w:line="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Sahney’s business experience and directorships are detailed below. The Company has concluded, based in part on Mr. Sahney’s experience as CEO of PharmaCord and Omnicare, Inc. and his expertise in the healthcare industry garnered from more than two decades of experience, that Mr. Sahney should serve as a director.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1879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Nominating and Governance (Chair); Audit*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51879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w w:val="97"/>
              </w:rPr>
              <w:t>   Founder, Member-Manager and Chief Executive Officer, PharmaCord, LLC, a company that helps biopharma</w:t>
            </w:r>
          </w:p>
        </w:tc>
      </w:tr>
      <w:tr>
        <w:trPr>
          <w:trHeight w:val="199"/>
        </w:trPr>
        <w:tc>
          <w:tcPr>
            <w:tcW w:w="460" w:type="dxa"/>
            <w:vAlign w:val="bottom"/>
          </w:tcPr>
          <w:p>
            <w:pPr>
              <w:spacing w:after="0"/>
              <w:rPr>
                <w:sz w:val="17"/>
                <w:szCs w:val="17"/>
                <w:color w:val="auto"/>
              </w:rPr>
            </w:pPr>
          </w:p>
        </w:tc>
        <w:tc>
          <w:tcPr>
            <w:tcW w:w="7720" w:type="dxa"/>
            <w:vAlign w:val="bottom"/>
          </w:tcPr>
          <w:p>
            <w:pPr>
              <w:ind w:left="160"/>
              <w:spacing w:after="0"/>
              <w:rPr>
                <w:sz w:val="20"/>
                <w:szCs w:val="20"/>
                <w:color w:val="auto"/>
              </w:rPr>
            </w:pPr>
            <w:r>
              <w:rPr>
                <w:rFonts w:ascii="Arial" w:cs="Arial" w:eastAsia="Arial" w:hAnsi="Arial"/>
                <w:sz w:val="16"/>
                <w:szCs w:val="16"/>
                <w:color w:val="auto"/>
              </w:rPr>
              <w:t>manufacturers address product access hurdles (2016 - present)</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Operating Advisor, Clayton Dubilier &amp; Rice Funds, a private equity firm (2016 - 2017)</w:t>
            </w:r>
          </w:p>
        </w:tc>
      </w:tr>
      <w:tr>
        <w:trPr>
          <w:trHeight w:val="308"/>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w w:val="91"/>
              </w:rPr>
              <w:t>   President and CEO (2014 - 2015) and President and COO (2012 - 2014) of Omnicare Inc., a former New York Stock</w:t>
            </w:r>
          </w:p>
        </w:tc>
      </w:tr>
      <w:tr>
        <w:trPr>
          <w:trHeight w:val="199"/>
        </w:trPr>
        <w:tc>
          <w:tcPr>
            <w:tcW w:w="460" w:type="dxa"/>
            <w:vAlign w:val="bottom"/>
          </w:tcPr>
          <w:p>
            <w:pPr>
              <w:spacing w:after="0"/>
              <w:rPr>
                <w:sz w:val="17"/>
                <w:szCs w:val="17"/>
                <w:color w:val="auto"/>
              </w:rPr>
            </w:pPr>
          </w:p>
        </w:tc>
        <w:tc>
          <w:tcPr>
            <w:tcW w:w="7720" w:type="dxa"/>
            <w:vAlign w:val="bottom"/>
          </w:tcPr>
          <w:p>
            <w:pPr>
              <w:ind w:left="160"/>
              <w:spacing w:after="0"/>
              <w:rPr>
                <w:sz w:val="20"/>
                <w:szCs w:val="20"/>
                <w:color w:val="auto"/>
              </w:rPr>
            </w:pPr>
            <w:r>
              <w:rPr>
                <w:rFonts w:ascii="Arial" w:cs="Arial" w:eastAsia="Arial" w:hAnsi="Arial"/>
                <w:sz w:val="16"/>
                <w:szCs w:val="16"/>
                <w:color w:val="auto"/>
              </w:rPr>
              <w:t>Exchange-listed Fortune 500 company in the long-term care and specialty care industries</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Manager of a healthcare investment fund (2008 - 2010)</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Founder and CEO of RxCrossroads, a specialty pharmaceutical company (2001 - 2007)</w:t>
            </w:r>
          </w:p>
        </w:tc>
      </w:tr>
      <w:tr>
        <w:trPr>
          <w:trHeight w:val="312"/>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rPr>
              <w:t>   Prior leadership positions with Cardinal Healthcare, a global healthcare services and products company</w:t>
            </w:r>
          </w:p>
        </w:tc>
      </w:tr>
      <w:tr>
        <w:trPr>
          <w:trHeight w:val="331"/>
        </w:trPr>
        <w:tc>
          <w:tcPr>
            <w:tcW w:w="8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Public directorships during past five years</w:t>
            </w:r>
          </w:p>
        </w:tc>
      </w:tr>
      <w:tr>
        <w:trPr>
          <w:trHeight w:val="217"/>
        </w:trPr>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7720" w:type="dxa"/>
            <w:vAlign w:val="bottom"/>
          </w:tcPr>
          <w:p>
            <w:pPr>
              <w:ind w:left="60"/>
              <w:spacing w:after="0"/>
              <w:rPr>
                <w:sz w:val="20"/>
                <w:szCs w:val="20"/>
                <w:color w:val="auto"/>
              </w:rPr>
            </w:pPr>
            <w:r>
              <w:rPr>
                <w:rFonts w:ascii="Arial" w:cs="Arial" w:eastAsia="Arial" w:hAnsi="Arial"/>
                <w:sz w:val="16"/>
                <w:szCs w:val="16"/>
                <w:color w:val="auto"/>
                <w:w w:val="90"/>
              </w:rPr>
              <w:t>   Director and member of the audit committee and the nominating and governance committee, Option Care Health, Inc.</w:t>
            </w:r>
          </w:p>
        </w:tc>
      </w:tr>
      <w:tr>
        <w:trPr>
          <w:trHeight w:val="199"/>
        </w:trPr>
        <w:tc>
          <w:tcPr>
            <w:tcW w:w="460" w:type="dxa"/>
            <w:vAlign w:val="bottom"/>
          </w:tcPr>
          <w:p>
            <w:pPr>
              <w:spacing w:after="0"/>
              <w:rPr>
                <w:sz w:val="17"/>
                <w:szCs w:val="17"/>
                <w:color w:val="auto"/>
              </w:rPr>
            </w:pPr>
          </w:p>
        </w:tc>
        <w:tc>
          <w:tcPr>
            <w:tcW w:w="7720" w:type="dxa"/>
            <w:vAlign w:val="bottom"/>
          </w:tcPr>
          <w:p>
            <w:pPr>
              <w:ind w:left="160"/>
              <w:spacing w:after="0"/>
              <w:rPr>
                <w:sz w:val="20"/>
                <w:szCs w:val="20"/>
                <w:color w:val="auto"/>
              </w:rPr>
            </w:pPr>
            <w:r>
              <w:rPr>
                <w:rFonts w:ascii="Arial" w:cs="Arial" w:eastAsia="Arial" w:hAnsi="Arial"/>
                <w:sz w:val="16"/>
                <w:szCs w:val="16"/>
                <w:color w:val="auto"/>
              </w:rPr>
              <w:t>(NASDAQ: OPCH) (2019 - present)</w:t>
            </w:r>
          </w:p>
        </w:tc>
      </w:tr>
    </w:tbl>
    <w:p>
      <w:pPr>
        <w:spacing w:after="0" w:line="105" w:lineRule="exact"/>
        <w:rPr>
          <w:sz w:val="20"/>
          <w:szCs w:val="20"/>
          <w:color w:val="auto"/>
        </w:rPr>
      </w:pPr>
    </w:p>
    <w:p>
      <w:pPr>
        <w:sectPr>
          <w:pgSz w:w="11900" w:h="16838" w:orient="portrait"/>
          <w:cols w:equalWidth="0" w:num="2">
            <w:col w:w="2260" w:space="500"/>
            <w:col w:w="8180"/>
          </w:cols>
          <w:pgMar w:left="320" w:top="473" w:right="639" w:bottom="1440" w:gutter="0" w:footer="0" w:header="0"/>
          <w:type w:val="continuous"/>
        </w:sectPr>
      </w:pPr>
    </w:p>
    <w:p>
      <w:pPr>
        <w:ind w:left="2760"/>
        <w:spacing w:after="0"/>
        <w:rPr>
          <w:sz w:val="20"/>
          <w:szCs w:val="20"/>
          <w:color w:val="auto"/>
        </w:rPr>
      </w:pPr>
      <w:r>
        <w:rPr>
          <w:rFonts w:ascii="Arial" w:cs="Arial" w:eastAsia="Arial" w:hAnsi="Arial"/>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wp:posOffset>
            </wp:positionV>
            <wp:extent cx="51879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Member of the Board of Trustees, University of Louisville (2016 - 2019)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548640</wp:posOffset>
            </wp:positionV>
            <wp:extent cx="674052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Audit committee financial expert under the applicable SEC rules and regulations</w:t>
      </w:r>
    </w:p>
    <w:p>
      <w:pPr>
        <w:spacing w:after="0" w:line="113"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28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6740525" cy="768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40525" cy="76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B4E0B"/>
        </w:rPr>
        <w:t>Jaynie M. Studenmund</w:t>
      </w:r>
    </w:p>
    <w:p>
      <w:pPr>
        <w:spacing w:after="0" w:line="35" w:lineRule="exact"/>
        <w:rPr>
          <w:sz w:val="20"/>
          <w:szCs w:val="20"/>
          <w:color w:val="auto"/>
        </w:rPr>
      </w:pPr>
    </w:p>
    <w:p>
      <w:pPr>
        <w:ind w:left="440"/>
        <w:spacing w:after="0"/>
        <w:tabs>
          <w:tab w:leader="none" w:pos="9640" w:val="left"/>
        </w:tabs>
        <w:rPr>
          <w:sz w:val="20"/>
          <w:szCs w:val="20"/>
          <w:color w:val="auto"/>
        </w:rPr>
      </w:pPr>
      <w:r>
        <w:rPr>
          <w:rFonts w:ascii="Arial" w:cs="Arial" w:eastAsia="Arial" w:hAnsi="Arial"/>
          <w:sz w:val="17"/>
          <w:szCs w:val="17"/>
          <w:b w:val="1"/>
          <w:bCs w:val="1"/>
          <w:color w:val="auto"/>
        </w:rPr>
        <w:t>Director since September 2018</w:t>
      </w:r>
      <w:r>
        <w:rPr>
          <w:sz w:val="20"/>
          <w:szCs w:val="20"/>
          <w:color w:val="auto"/>
        </w:rPr>
        <w:tab/>
      </w:r>
      <w:r>
        <w:rPr>
          <w:rFonts w:ascii="Arial" w:cs="Arial" w:eastAsia="Arial" w:hAnsi="Arial"/>
          <w:sz w:val="15"/>
          <w:szCs w:val="15"/>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254635</wp:posOffset>
            </wp:positionV>
            <wp:extent cx="1164590" cy="1164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spacing w:after="0"/>
        <w:rPr>
          <w:sz w:val="20"/>
          <w:szCs w:val="20"/>
          <w:color w:val="auto"/>
        </w:rPr>
      </w:pPr>
      <w:r>
        <w:rPr>
          <w:rFonts w:ascii="Arial" w:cs="Arial" w:eastAsia="Arial" w:hAnsi="Arial"/>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92710</wp:posOffset>
            </wp:positionV>
            <wp:extent cx="231140" cy="2311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Finance</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76835</wp:posOffset>
            </wp:positionV>
            <wp:extent cx="247650"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Executive</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68580</wp:posOffset>
            </wp:positionV>
            <wp:extent cx="132080" cy="206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Public company</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68580</wp:posOffset>
            </wp:positionV>
            <wp:extent cx="255905" cy="165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81915</wp:posOffset>
            </wp:positionV>
            <wp:extent cx="21463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Human capital</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68580</wp:posOffset>
            </wp:positionV>
            <wp:extent cx="239395"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Digital operations</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68580</wp:posOffset>
            </wp:positionV>
            <wp:extent cx="239395" cy="2393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47"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114935</wp:posOffset>
            </wp:positionV>
            <wp:extent cx="231140" cy="2311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Global</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76835</wp:posOffset>
            </wp:positionV>
            <wp:extent cx="23114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43" w:lineRule="exact"/>
        <w:rPr>
          <w:sz w:val="20"/>
          <w:szCs w:val="20"/>
          <w:color w:val="auto"/>
        </w:rPr>
      </w:pPr>
    </w:p>
    <w:p>
      <w:pPr>
        <w:ind w:left="1180"/>
        <w:spacing w:after="0"/>
        <w:rPr>
          <w:sz w:val="20"/>
          <w:szCs w:val="20"/>
          <w:color w:val="auto"/>
        </w:rPr>
      </w:pPr>
      <w:r>
        <w:rPr>
          <w:rFonts w:ascii="Arial" w:cs="Arial" w:eastAsia="Arial" w:hAnsi="Arial"/>
          <w:sz w:val="9"/>
          <w:szCs w:val="9"/>
          <w:color w:val="auto"/>
        </w:rPr>
        <w:t>Risk oversight and</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76835</wp:posOffset>
            </wp:positionV>
            <wp:extent cx="231140" cy="1981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123190</wp:posOffset>
            </wp:positionV>
            <wp:extent cx="231140" cy="206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3"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Mergers and</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Age: 68 — is a seasoned executive with significant experience as a top line executive leading financial services and digital companies. She also has extensive experience as a public company director. Ms. Studenmund’s business experience and directorships are detailed below. The Company has concluded, based in part on</w:t>
      </w:r>
    </w:p>
    <w:p>
      <w:pPr>
        <w:spacing w:after="0" w:line="1"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Ms. Studenmund’s extensive public company board experience, together with her knowledge and experience in the digital, financial services, health care and consumer business sectors, and her expertise in compensation and corporate governance, that Ms. Studenmund should serve as a director.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49809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 Compensation and Talent Management (Chair), Audit*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4980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0"/>
              </w:rPr>
              <w:t>   Chief Operating Officer, Overture Services, a pioneer in paid search and search engine marketing (2001 - 2004)</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1"/>
              </w:rPr>
              <w:t>   President &amp; Chief Operating Officer, PayMyBills, the leading consumer bill payment and presentment company</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(1999 - 2001)</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88"/>
              </w:rPr>
              <w:t>   Previously for over two decades served as Executive Vice President and Head of Consumer and Business Banking</w:t>
            </w:r>
          </w:p>
        </w:tc>
      </w:tr>
      <w:tr>
        <w:trPr>
          <w:trHeight w:val="195"/>
        </w:trPr>
        <w:tc>
          <w:tcPr>
            <w:tcW w:w="480" w:type="dxa"/>
            <w:vAlign w:val="bottom"/>
          </w:tcPr>
          <w:p>
            <w:pPr>
              <w:spacing w:after="0"/>
              <w:rPr>
                <w:sz w:val="16"/>
                <w:szCs w:val="16"/>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w w:val="89"/>
              </w:rPr>
              <w:t>for three of the nation’s largest banks at the time and primarily for First Interstate of California. Today, these three</w:t>
            </w:r>
          </w:p>
        </w:tc>
      </w:tr>
      <w:tr>
        <w:trPr>
          <w:trHeight w:val="195"/>
        </w:trPr>
        <w:tc>
          <w:tcPr>
            <w:tcW w:w="480" w:type="dxa"/>
            <w:vAlign w:val="bottom"/>
          </w:tcPr>
          <w:p>
            <w:pPr>
              <w:spacing w:after="0"/>
              <w:rPr>
                <w:sz w:val="16"/>
                <w:szCs w:val="16"/>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w w:val="89"/>
              </w:rPr>
              <w:t>banks form the backbone of Chase’s and Wells Fargo’s consumer business in California following the era of bank</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consolidation.</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 Management Consultant, Booz, Allen &amp; Hamilton</w:t>
            </w:r>
          </w:p>
        </w:tc>
      </w:tr>
      <w:tr>
        <w:trPr>
          <w:trHeight w:val="331"/>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Public directorships during past five years</w:t>
            </w:r>
          </w:p>
        </w:tc>
      </w:tr>
      <w:tr>
        <w:trPr>
          <w:trHeight w:val="256"/>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88"/>
              </w:rPr>
              <w:t>   Director and chair of the compensation committee and member of the risk management committee, Pacific Premier</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Bancorp (Nasdaq: PPBI), a top performing regional bank (2019 - present)</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1"/>
              </w:rPr>
              <w:t>   Director and member of the contracts committee, audit committee and nomination and governance committee,</w:t>
            </w:r>
          </w:p>
        </w:tc>
      </w:tr>
      <w:tr>
        <w:trPr>
          <w:trHeight w:val="195"/>
        </w:trPr>
        <w:tc>
          <w:tcPr>
            <w:tcW w:w="480" w:type="dxa"/>
            <w:vAlign w:val="bottom"/>
          </w:tcPr>
          <w:p>
            <w:pPr>
              <w:spacing w:after="0"/>
              <w:rPr>
                <w:sz w:val="16"/>
                <w:szCs w:val="16"/>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w w:val="91"/>
              </w:rPr>
              <w:t>Western Asset Management funds, a major global fixed income fund, and director of affiliated funds for Western</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Asset Management (2004 - present)</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2"/>
              </w:rPr>
              <w:t>   Director and chair of the compensation committee and member of the nominating and governance committee,</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CoreLogic, Inc. (NYSE: CLGX) until its acquisition in 2021 (2012 - 2021)</w:t>
            </w:r>
          </w:p>
        </w:tc>
      </w:tr>
      <w:tr>
        <w:trPr>
          <w:trHeight w:val="308"/>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4"/>
              </w:rPr>
              <w:t>   Director, compensation committee chair and member of the compliance committee, Pinnacle Entertainment</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rPr>
              <w:t>(Nasdaq: PNK) until its acquisition in 2018 (2012 - 2018)</w:t>
            </w:r>
          </w:p>
        </w:tc>
      </w:tr>
      <w:tr>
        <w:trPr>
          <w:trHeight w:val="331"/>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 relevant experience</w:t>
            </w:r>
          </w:p>
        </w:tc>
      </w:tr>
      <w:tr>
        <w:trPr>
          <w:trHeight w:val="256"/>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92"/>
              </w:rPr>
              <w:t>   Member of the National Association of Corporate Directors (“NACD”) Directorship 100, 2021, as one of the top</w:t>
            </w:r>
          </w:p>
        </w:tc>
      </w:tr>
      <w:tr>
        <w:trPr>
          <w:trHeight w:val="199"/>
        </w:trPr>
        <w:tc>
          <w:tcPr>
            <w:tcW w:w="480" w:type="dxa"/>
            <w:vAlign w:val="bottom"/>
          </w:tcPr>
          <w:p>
            <w:pPr>
              <w:spacing w:after="0"/>
              <w:rPr>
                <w:sz w:val="17"/>
                <w:szCs w:val="17"/>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auto"/>
                <w:w w:val="92"/>
              </w:rPr>
              <w:t>public company directors in the U.S.; Named to Women Inc.’s 2019 Most Influential Corporate Directors listing</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rPr>
              <w:t>   Board chair emeritus and life trustee, Huntington Health, an affiliate of Cedars Sinai Health</w:t>
            </w:r>
          </w:p>
        </w:tc>
      </w:tr>
      <w:tr>
        <w:trPr>
          <w:trHeight w:val="312"/>
        </w:trPr>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7380" w:type="dxa"/>
            <w:vAlign w:val="bottom"/>
          </w:tcPr>
          <w:p>
            <w:pPr>
              <w:ind w:left="60"/>
              <w:spacing w:after="0"/>
              <w:rPr>
                <w:sz w:val="20"/>
                <w:szCs w:val="20"/>
                <w:color w:val="auto"/>
              </w:rPr>
            </w:pPr>
            <w:r>
              <w:rPr>
                <w:rFonts w:ascii="Arial" w:cs="Arial" w:eastAsia="Arial" w:hAnsi="Arial"/>
                <w:sz w:val="16"/>
                <w:szCs w:val="16"/>
                <w:color w:val="auto"/>
                <w:w w:val="89"/>
              </w:rPr>
              <w:t>   Trustee and board member, and member of the finance, audit and compensation committees, J. Paul Getty Trust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829945</wp:posOffset>
            </wp:positionV>
            <wp:extent cx="674052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860"/>
          </w:cols>
          <w:pgMar w:left="320" w:top="47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Audit committee financial expert under applicable SEC rules and regulations.</w:t>
      </w:r>
    </w:p>
    <w:p>
      <w:pPr>
        <w:spacing w:after="0" w:line="270"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29</w:t>
      </w:r>
    </w:p>
    <w:p>
      <w:pPr>
        <w:sectPr>
          <w:pgSz w:w="11900" w:h="16838" w:orient="portrait"/>
          <w:cols w:equalWidth="0" w:num="1">
            <w:col w:w="10940"/>
          </w:cols>
          <w:pgMar w:left="320" w:top="473" w:right="6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Corporate governance</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Director independence</w:t>
      </w:r>
    </w:p>
    <w:p>
      <w:pPr>
        <w:spacing w:after="0" w:line="221" w:lineRule="exact"/>
        <w:rPr>
          <w:sz w:val="20"/>
          <w:szCs w:val="20"/>
          <w:color w:val="auto"/>
        </w:rPr>
      </w:pPr>
    </w:p>
    <w:p>
      <w:pPr>
        <w:ind w:left="320" w:right="160"/>
        <w:spacing w:after="0" w:line="283" w:lineRule="auto"/>
        <w:rPr>
          <w:sz w:val="20"/>
          <w:szCs w:val="20"/>
          <w:color w:val="auto"/>
        </w:rPr>
      </w:pPr>
      <w:r>
        <w:rPr>
          <w:rFonts w:ascii="Arial" w:cs="Arial" w:eastAsia="Arial" w:hAnsi="Arial"/>
          <w:sz w:val="16"/>
          <w:szCs w:val="16"/>
          <w:color w:val="auto"/>
        </w:rPr>
        <w:t>In determining director independence, the board of directors considered the transactions and relationships set forth below under “Certain Relationships and Related Person Transactions—Related Party Transactions” and routine service arrangements between the Company and Westcor Land Title Insurance Company (“Westcor”). During 2022, one of our directors, Mr. Pandit, served as a non-executive director and, through his ownership in The Orogen Group (see below for information on Mr. Pandit’s relationship with The Orogen Group), owned an immaterial indirect equity interest, in Westcor. Mr. Pandit is not, and was not during 2022, a partner, controlling shareholder or executive officer of Westcor.</w:t>
      </w:r>
    </w:p>
    <w:p>
      <w:pPr>
        <w:spacing w:after="0" w:line="164" w:lineRule="exact"/>
        <w:rPr>
          <w:sz w:val="20"/>
          <w:szCs w:val="20"/>
          <w:color w:val="auto"/>
        </w:rPr>
      </w:pPr>
    </w:p>
    <w:p>
      <w:pPr>
        <w:ind w:left="320" w:right="280"/>
        <w:spacing w:after="0" w:line="286" w:lineRule="auto"/>
        <w:rPr>
          <w:sz w:val="20"/>
          <w:szCs w:val="20"/>
          <w:color w:val="auto"/>
        </w:rPr>
      </w:pPr>
      <w:r>
        <w:rPr>
          <w:rFonts w:ascii="Arial" w:cs="Arial" w:eastAsia="Arial" w:hAnsi="Arial"/>
          <w:sz w:val="17"/>
          <w:szCs w:val="17"/>
          <w:color w:val="auto"/>
        </w:rPr>
        <w:t>Based on its review of all applicable relationships, our board of directors has determined that all of the members on our board of directors, other than Mr. Kapoor, meet the independence requirements of the Nasdaq Stock Market and federal securities laws.</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Meeting attendance</w:t>
      </w:r>
    </w:p>
    <w:p>
      <w:pPr>
        <w:spacing w:after="0" w:line="221" w:lineRule="exact"/>
        <w:rPr>
          <w:sz w:val="20"/>
          <w:szCs w:val="20"/>
          <w:color w:val="auto"/>
        </w:rPr>
      </w:pPr>
    </w:p>
    <w:p>
      <w:pPr>
        <w:ind w:left="320" w:right="60"/>
        <w:spacing w:after="0" w:line="270" w:lineRule="auto"/>
        <w:rPr>
          <w:sz w:val="20"/>
          <w:szCs w:val="20"/>
          <w:color w:val="auto"/>
        </w:rPr>
      </w:pPr>
      <w:r>
        <w:rPr>
          <w:rFonts w:ascii="Arial" w:cs="Arial" w:eastAsia="Arial" w:hAnsi="Arial"/>
          <w:sz w:val="17"/>
          <w:szCs w:val="17"/>
          <w:color w:val="auto"/>
        </w:rPr>
        <w:t>We expect our directors to attend all board of directors meetings and meetings of committees on which they serve. We also expect our directors to spend sufficient time and meet as frequently as necessary to discharge their responsibilities properly. It is our policy that all of our directors standing for election should attend our Annual Meetings of Stockholders absent exceptional cause.</w:t>
      </w:r>
    </w:p>
    <w:p>
      <w:pPr>
        <w:spacing w:after="0" w:line="37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Incumbent director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321945</wp:posOffset>
            </wp:positionV>
            <wp:extent cx="4055745" cy="1792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5574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Board and committee meetings in 2022</w:t>
      </w:r>
    </w:p>
    <w:p>
      <w:pPr>
        <w:spacing w:after="0" w:line="200" w:lineRule="exact"/>
        <w:rPr>
          <w:sz w:val="20"/>
          <w:szCs w:val="20"/>
          <w:color w:val="auto"/>
        </w:rPr>
      </w:pPr>
    </w:p>
    <w:p>
      <w:pPr>
        <w:spacing w:after="0" w:line="307" w:lineRule="exact"/>
        <w:rPr>
          <w:sz w:val="20"/>
          <w:szCs w:val="20"/>
          <w:color w:val="auto"/>
        </w:rPr>
      </w:pPr>
    </w:p>
    <w:tbl>
      <w:tblPr>
        <w:tblLayout w:type="fixed"/>
        <w:tblInd w:w="320" w:type="dxa"/>
        <w:tblCellMar>
          <w:top w:w="0" w:type="dxa"/>
          <w:left w:w="0" w:type="dxa"/>
          <w:bottom w:w="0" w:type="dxa"/>
          <w:right w:w="0" w:type="dxa"/>
        </w:tblCellMar>
      </w:tblPr>
      <w:tr>
        <w:trPr>
          <w:trHeight w:val="801"/>
        </w:trPr>
        <w:tc>
          <w:tcPr>
            <w:tcW w:w="2440" w:type="dxa"/>
            <w:vAlign w:val="bottom"/>
            <w:shd w:val="clear" w:color="auto" w:fill="D8D8D8"/>
          </w:tcPr>
          <w:p>
            <w:pPr>
              <w:ind w:left="80"/>
              <w:spacing w:after="0"/>
              <w:rPr>
                <w:sz w:val="20"/>
                <w:szCs w:val="20"/>
                <w:color w:val="auto"/>
              </w:rPr>
            </w:pPr>
            <w:r>
              <w:rPr>
                <w:rFonts w:ascii="Arial" w:cs="Arial" w:eastAsia="Arial" w:hAnsi="Arial"/>
                <w:sz w:val="17"/>
                <w:szCs w:val="17"/>
                <w:b w:val="1"/>
                <w:bCs w:val="1"/>
                <w:color w:val="FB4E0B"/>
              </w:rPr>
              <w:t>Board meetings</w:t>
            </w:r>
          </w:p>
        </w:tc>
        <w:tc>
          <w:tcPr>
            <w:tcW w:w="280" w:type="dxa"/>
            <w:vAlign w:val="bottom"/>
          </w:tcPr>
          <w:p>
            <w:pPr>
              <w:spacing w:after="0"/>
              <w:rPr>
                <w:sz w:val="24"/>
                <w:szCs w:val="24"/>
                <w:color w:val="auto"/>
              </w:rPr>
            </w:pPr>
          </w:p>
        </w:tc>
        <w:tc>
          <w:tcPr>
            <w:tcW w:w="2600" w:type="dxa"/>
            <w:vAlign w:val="bottom"/>
            <w:shd w:val="clear" w:color="auto" w:fill="D8D8D8"/>
          </w:tcPr>
          <w:p>
            <w:pPr>
              <w:ind w:left="120"/>
              <w:spacing w:after="0"/>
              <w:rPr>
                <w:sz w:val="20"/>
                <w:szCs w:val="20"/>
                <w:color w:val="auto"/>
              </w:rPr>
            </w:pPr>
            <w:r>
              <w:rPr>
                <w:rFonts w:ascii="Arial" w:cs="Arial" w:eastAsia="Arial" w:hAnsi="Arial"/>
                <w:sz w:val="17"/>
                <w:szCs w:val="17"/>
                <w:b w:val="1"/>
                <w:bCs w:val="1"/>
                <w:color w:val="FB4E0B"/>
              </w:rPr>
              <w:t>Audit Committee</w:t>
            </w:r>
          </w:p>
        </w:tc>
        <w:tc>
          <w:tcPr>
            <w:tcW w:w="280" w:type="dxa"/>
            <w:vAlign w:val="bottom"/>
          </w:tcPr>
          <w:p>
            <w:pPr>
              <w:spacing w:after="0"/>
              <w:rPr>
                <w:sz w:val="24"/>
                <w:szCs w:val="24"/>
                <w:color w:val="auto"/>
              </w:rPr>
            </w:pPr>
          </w:p>
        </w:tc>
        <w:tc>
          <w:tcPr>
            <w:tcW w:w="2600" w:type="dxa"/>
            <w:vAlign w:val="bottom"/>
            <w:shd w:val="clear" w:color="auto" w:fill="D8D8D8"/>
          </w:tcPr>
          <w:p>
            <w:pPr>
              <w:ind w:left="100"/>
              <w:spacing w:after="0"/>
              <w:rPr>
                <w:sz w:val="20"/>
                <w:szCs w:val="20"/>
                <w:color w:val="auto"/>
              </w:rPr>
            </w:pPr>
            <w:r>
              <w:rPr>
                <w:rFonts w:ascii="Arial" w:cs="Arial" w:eastAsia="Arial" w:hAnsi="Arial"/>
                <w:sz w:val="17"/>
                <w:szCs w:val="17"/>
                <w:b w:val="1"/>
                <w:bCs w:val="1"/>
                <w:color w:val="FB4E0B"/>
              </w:rPr>
              <w:t>Compensation and Talent</w:t>
            </w:r>
          </w:p>
        </w:tc>
        <w:tc>
          <w:tcPr>
            <w:tcW w:w="300" w:type="dxa"/>
            <w:vAlign w:val="bottom"/>
          </w:tcPr>
          <w:p>
            <w:pPr>
              <w:spacing w:after="0"/>
              <w:rPr>
                <w:sz w:val="24"/>
                <w:szCs w:val="24"/>
                <w:color w:val="auto"/>
              </w:rPr>
            </w:pPr>
          </w:p>
        </w:tc>
        <w:tc>
          <w:tcPr>
            <w:tcW w:w="2120" w:type="dxa"/>
            <w:vAlign w:val="bottom"/>
            <w:shd w:val="clear" w:color="auto" w:fill="D8D8D8"/>
          </w:tcPr>
          <w:p>
            <w:pPr>
              <w:ind w:left="100"/>
              <w:spacing w:after="0"/>
              <w:rPr>
                <w:sz w:val="20"/>
                <w:szCs w:val="20"/>
                <w:color w:val="auto"/>
              </w:rPr>
            </w:pPr>
            <w:r>
              <w:rPr>
                <w:rFonts w:ascii="Arial" w:cs="Arial" w:eastAsia="Arial" w:hAnsi="Arial"/>
                <w:sz w:val="17"/>
                <w:szCs w:val="17"/>
                <w:b w:val="1"/>
                <w:bCs w:val="1"/>
                <w:color w:val="FB4E0B"/>
              </w:rPr>
              <w:t>Nominating and</w:t>
            </w:r>
          </w:p>
        </w:tc>
      </w:tr>
      <w:tr>
        <w:trPr>
          <w:trHeight w:val="20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ind w:left="120"/>
              <w:spacing w:after="0"/>
              <w:rPr>
                <w:sz w:val="20"/>
                <w:szCs w:val="20"/>
                <w:color w:val="auto"/>
              </w:rPr>
            </w:pPr>
            <w:r>
              <w:rPr>
                <w:rFonts w:ascii="Arial" w:cs="Arial" w:eastAsia="Arial" w:hAnsi="Arial"/>
                <w:sz w:val="17"/>
                <w:szCs w:val="17"/>
                <w:b w:val="1"/>
                <w:bCs w:val="1"/>
                <w:color w:val="FB4E0B"/>
              </w:rPr>
              <w:t>meetings</w:t>
            </w:r>
          </w:p>
        </w:tc>
        <w:tc>
          <w:tcPr>
            <w:tcW w:w="280" w:type="dxa"/>
            <w:vAlign w:val="bottom"/>
          </w:tcPr>
          <w:p>
            <w:pPr>
              <w:spacing w:after="0"/>
              <w:rPr>
                <w:sz w:val="18"/>
                <w:szCs w:val="18"/>
                <w:color w:val="auto"/>
              </w:rPr>
            </w:pPr>
          </w:p>
        </w:tc>
        <w:tc>
          <w:tcPr>
            <w:tcW w:w="2600" w:type="dxa"/>
            <w:vAlign w:val="bottom"/>
            <w:shd w:val="clear" w:color="auto" w:fill="D8D8D8"/>
          </w:tcPr>
          <w:p>
            <w:pPr>
              <w:ind w:left="100"/>
              <w:spacing w:after="0"/>
              <w:rPr>
                <w:sz w:val="20"/>
                <w:szCs w:val="20"/>
                <w:color w:val="auto"/>
              </w:rPr>
            </w:pPr>
            <w:r>
              <w:rPr>
                <w:rFonts w:ascii="Arial" w:cs="Arial" w:eastAsia="Arial" w:hAnsi="Arial"/>
                <w:sz w:val="17"/>
                <w:szCs w:val="17"/>
                <w:b w:val="1"/>
                <w:bCs w:val="1"/>
                <w:color w:val="FB4E0B"/>
              </w:rPr>
              <w:t>Management Committee</w:t>
            </w:r>
          </w:p>
        </w:tc>
        <w:tc>
          <w:tcPr>
            <w:tcW w:w="300" w:type="dxa"/>
            <w:vAlign w:val="bottom"/>
          </w:tcPr>
          <w:p>
            <w:pPr>
              <w:spacing w:after="0"/>
              <w:rPr>
                <w:sz w:val="18"/>
                <w:szCs w:val="18"/>
                <w:color w:val="auto"/>
              </w:rPr>
            </w:pPr>
          </w:p>
        </w:tc>
        <w:tc>
          <w:tcPr>
            <w:tcW w:w="2120" w:type="dxa"/>
            <w:vAlign w:val="bottom"/>
            <w:shd w:val="clear" w:color="auto" w:fill="D8D8D8"/>
          </w:tcPr>
          <w:p>
            <w:pPr>
              <w:ind w:left="100"/>
              <w:spacing w:after="0"/>
              <w:rPr>
                <w:sz w:val="20"/>
                <w:szCs w:val="20"/>
                <w:color w:val="auto"/>
              </w:rPr>
            </w:pPr>
            <w:r>
              <w:rPr>
                <w:rFonts w:ascii="Arial" w:cs="Arial" w:eastAsia="Arial" w:hAnsi="Arial"/>
                <w:sz w:val="17"/>
                <w:szCs w:val="17"/>
                <w:b w:val="1"/>
                <w:bCs w:val="1"/>
                <w:color w:val="FB4E0B"/>
              </w:rPr>
              <w:t>Governance Committee</w:t>
            </w:r>
          </w:p>
        </w:tc>
      </w:tr>
      <w:tr>
        <w:trPr>
          <w:trHeight w:val="227"/>
        </w:trPr>
        <w:tc>
          <w:tcPr>
            <w:tcW w:w="2440" w:type="dxa"/>
            <w:vAlign w:val="bottom"/>
            <w:shd w:val="clear" w:color="auto" w:fill="D8D8D8"/>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shd w:val="clear" w:color="auto" w:fill="D8D8D8"/>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shd w:val="clear" w:color="auto" w:fill="D8D8D8"/>
          </w:tcPr>
          <w:p>
            <w:pPr>
              <w:ind w:left="100"/>
              <w:spacing w:after="0"/>
              <w:rPr>
                <w:sz w:val="20"/>
                <w:szCs w:val="20"/>
                <w:color w:val="auto"/>
              </w:rPr>
            </w:pPr>
            <w:r>
              <w:rPr>
                <w:rFonts w:ascii="Arial" w:cs="Arial" w:eastAsia="Arial" w:hAnsi="Arial"/>
                <w:sz w:val="17"/>
                <w:szCs w:val="17"/>
                <w:b w:val="1"/>
                <w:bCs w:val="1"/>
                <w:color w:val="FB4E0B"/>
              </w:rPr>
              <w:t>meetings</w:t>
            </w:r>
          </w:p>
        </w:tc>
        <w:tc>
          <w:tcPr>
            <w:tcW w:w="300" w:type="dxa"/>
            <w:vAlign w:val="bottom"/>
          </w:tcPr>
          <w:p>
            <w:pPr>
              <w:spacing w:after="0"/>
              <w:rPr>
                <w:sz w:val="19"/>
                <w:szCs w:val="19"/>
                <w:color w:val="auto"/>
              </w:rPr>
            </w:pPr>
          </w:p>
        </w:tc>
        <w:tc>
          <w:tcPr>
            <w:tcW w:w="2120" w:type="dxa"/>
            <w:vAlign w:val="bottom"/>
            <w:shd w:val="clear" w:color="auto" w:fill="D8D8D8"/>
          </w:tcPr>
          <w:p>
            <w:pPr>
              <w:ind w:left="100"/>
              <w:spacing w:after="0"/>
              <w:rPr>
                <w:sz w:val="20"/>
                <w:szCs w:val="20"/>
                <w:color w:val="auto"/>
              </w:rPr>
            </w:pPr>
            <w:r>
              <w:rPr>
                <w:rFonts w:ascii="Arial" w:cs="Arial" w:eastAsia="Arial" w:hAnsi="Arial"/>
                <w:sz w:val="17"/>
                <w:szCs w:val="17"/>
                <w:b w:val="1"/>
                <w:bCs w:val="1"/>
                <w:color w:val="FB4E0B"/>
              </w:rPr>
              <w:t>meetings</w:t>
            </w:r>
          </w:p>
        </w:tc>
      </w:tr>
      <w:tr>
        <w:trPr>
          <w:trHeight w:val="195"/>
        </w:trPr>
        <w:tc>
          <w:tcPr>
            <w:tcW w:w="2440" w:type="dxa"/>
            <w:vAlign w:val="bottom"/>
            <w:shd w:val="clear" w:color="auto" w:fill="D8D8D8"/>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shd w:val="clear" w:color="auto" w:fill="D8D8D8"/>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shd w:val="clear" w:color="auto" w:fill="D8D8D8"/>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-842010</wp:posOffset>
            </wp:positionV>
            <wp:extent cx="255905" cy="255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-817245</wp:posOffset>
            </wp:positionV>
            <wp:extent cx="231140" cy="2311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-833755</wp:posOffset>
            </wp:positionV>
            <wp:extent cx="255905" cy="255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-825500</wp:posOffset>
            </wp:positionV>
            <wp:extent cx="247650" cy="2476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7650" cy="24765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439"/>
        </w:trPr>
        <w:tc>
          <w:tcPr>
            <w:tcW w:w="460" w:type="dxa"/>
            <w:vAlign w:val="bottom"/>
            <w:shd w:val="clear" w:color="auto" w:fill="FB4E0B"/>
          </w:tcPr>
          <w:p>
            <w:pPr>
              <w:jc w:val="right"/>
              <w:ind w:right="147"/>
              <w:spacing w:after="0"/>
              <w:rPr>
                <w:sz w:val="20"/>
                <w:szCs w:val="20"/>
                <w:color w:val="auto"/>
              </w:rPr>
            </w:pPr>
            <w:r>
              <w:rPr>
                <w:rFonts w:ascii="Arial" w:cs="Arial" w:eastAsia="Arial" w:hAnsi="Arial"/>
                <w:sz w:val="28"/>
                <w:szCs w:val="28"/>
                <w:b w:val="1"/>
                <w:bCs w:val="1"/>
                <w:color w:val="FFFFFF"/>
              </w:rPr>
              <w:t>5</w:t>
            </w:r>
          </w:p>
        </w:tc>
        <w:tc>
          <w:tcPr>
            <w:tcW w:w="1980" w:type="dxa"/>
            <w:vAlign w:val="bottom"/>
            <w:shd w:val="clear" w:color="auto" w:fill="FB4E0B"/>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shd w:val="clear" w:color="auto" w:fill="FB4E0B"/>
          </w:tcPr>
          <w:p>
            <w:pPr>
              <w:jc w:val="right"/>
              <w:ind w:right="2201"/>
              <w:spacing w:after="0"/>
              <w:rPr>
                <w:sz w:val="20"/>
                <w:szCs w:val="20"/>
                <w:color w:val="auto"/>
              </w:rPr>
            </w:pPr>
            <w:r>
              <w:rPr>
                <w:rFonts w:ascii="Arial" w:cs="Arial" w:eastAsia="Arial" w:hAnsi="Arial"/>
                <w:sz w:val="28"/>
                <w:szCs w:val="28"/>
                <w:b w:val="1"/>
                <w:bCs w:val="1"/>
                <w:color w:val="FFFFFF"/>
              </w:rPr>
              <w:t>7</w:t>
            </w:r>
          </w:p>
        </w:tc>
        <w:tc>
          <w:tcPr>
            <w:tcW w:w="280" w:type="dxa"/>
            <w:vAlign w:val="bottom"/>
          </w:tcPr>
          <w:p>
            <w:pPr>
              <w:spacing w:after="0"/>
              <w:rPr>
                <w:sz w:val="24"/>
                <w:szCs w:val="24"/>
                <w:color w:val="auto"/>
              </w:rPr>
            </w:pPr>
          </w:p>
        </w:tc>
        <w:tc>
          <w:tcPr>
            <w:tcW w:w="2600" w:type="dxa"/>
            <w:vAlign w:val="bottom"/>
            <w:shd w:val="clear" w:color="auto" w:fill="FB4E0B"/>
          </w:tcPr>
          <w:p>
            <w:pPr>
              <w:jc w:val="right"/>
              <w:ind w:right="2221"/>
              <w:spacing w:after="0"/>
              <w:rPr>
                <w:sz w:val="20"/>
                <w:szCs w:val="20"/>
                <w:color w:val="auto"/>
              </w:rPr>
            </w:pPr>
            <w:r>
              <w:rPr>
                <w:rFonts w:ascii="Arial" w:cs="Arial" w:eastAsia="Arial" w:hAnsi="Arial"/>
                <w:sz w:val="28"/>
                <w:szCs w:val="28"/>
                <w:b w:val="1"/>
                <w:bCs w:val="1"/>
                <w:color w:val="FFFFFF"/>
              </w:rPr>
              <w:t>5</w:t>
            </w:r>
          </w:p>
        </w:tc>
        <w:tc>
          <w:tcPr>
            <w:tcW w:w="300" w:type="dxa"/>
            <w:vAlign w:val="bottom"/>
          </w:tcPr>
          <w:p>
            <w:pPr>
              <w:spacing w:after="0"/>
              <w:rPr>
                <w:sz w:val="24"/>
                <w:szCs w:val="24"/>
                <w:color w:val="auto"/>
              </w:rPr>
            </w:pPr>
          </w:p>
        </w:tc>
        <w:tc>
          <w:tcPr>
            <w:tcW w:w="2120" w:type="dxa"/>
            <w:vAlign w:val="bottom"/>
            <w:shd w:val="clear" w:color="auto" w:fill="FB4E0B"/>
          </w:tcPr>
          <w:p>
            <w:pPr>
              <w:jc w:val="right"/>
              <w:ind w:right="1741"/>
              <w:spacing w:after="0"/>
              <w:rPr>
                <w:sz w:val="20"/>
                <w:szCs w:val="20"/>
                <w:color w:val="auto"/>
              </w:rPr>
            </w:pPr>
            <w:r>
              <w:rPr>
                <w:rFonts w:ascii="Arial" w:cs="Arial" w:eastAsia="Arial" w:hAnsi="Arial"/>
                <w:sz w:val="28"/>
                <w:szCs w:val="28"/>
                <w:b w:val="1"/>
                <w:bCs w:val="1"/>
                <w:color w:val="FFFFFF"/>
              </w:rPr>
              <w:t>5</w:t>
            </w:r>
          </w:p>
        </w:tc>
      </w:tr>
      <w:tr>
        <w:trPr>
          <w:trHeight w:val="126"/>
        </w:trPr>
        <w:tc>
          <w:tcPr>
            <w:tcW w:w="460" w:type="dxa"/>
            <w:vAlign w:val="bottom"/>
            <w:shd w:val="clear" w:color="auto" w:fill="FB4E0B"/>
          </w:tcPr>
          <w:p>
            <w:pPr>
              <w:spacing w:after="0"/>
              <w:rPr>
                <w:sz w:val="10"/>
                <w:szCs w:val="10"/>
                <w:color w:val="auto"/>
              </w:rPr>
            </w:pPr>
          </w:p>
        </w:tc>
        <w:tc>
          <w:tcPr>
            <w:tcW w:w="1980" w:type="dxa"/>
            <w:vAlign w:val="bottom"/>
            <w:shd w:val="clear" w:color="auto" w:fill="FB4E0B"/>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shd w:val="clear" w:color="auto" w:fill="FB4E0B"/>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shd w:val="clear" w:color="auto" w:fill="FB4E0B"/>
          </w:tcPr>
          <w:p>
            <w:pPr>
              <w:spacing w:after="0"/>
              <w:rPr>
                <w:sz w:val="10"/>
                <w:szCs w:val="10"/>
                <w:color w:val="auto"/>
              </w:rPr>
            </w:pPr>
          </w:p>
        </w:tc>
        <w:tc>
          <w:tcPr>
            <w:tcW w:w="300" w:type="dxa"/>
            <w:vAlign w:val="bottom"/>
          </w:tcPr>
          <w:p>
            <w:pPr>
              <w:spacing w:after="0"/>
              <w:rPr>
                <w:sz w:val="10"/>
                <w:szCs w:val="10"/>
                <w:color w:val="auto"/>
              </w:rPr>
            </w:pPr>
          </w:p>
        </w:tc>
        <w:tc>
          <w:tcPr>
            <w:tcW w:w="2120" w:type="dxa"/>
            <w:vAlign w:val="bottom"/>
            <w:shd w:val="clear" w:color="auto" w:fill="FB4E0B"/>
          </w:tcPr>
          <w:p>
            <w:pPr>
              <w:spacing w:after="0"/>
              <w:rPr>
                <w:sz w:val="10"/>
                <w:szCs w:val="10"/>
                <w:color w:val="auto"/>
              </w:rPr>
            </w:pPr>
          </w:p>
        </w:tc>
      </w:tr>
      <w:tr>
        <w:trPr>
          <w:trHeight w:val="472"/>
        </w:trPr>
        <w:tc>
          <w:tcPr>
            <w:tcW w:w="460" w:type="dxa"/>
            <w:vAlign w:val="bottom"/>
          </w:tcPr>
          <w:p>
            <w:pPr>
              <w:jc w:val="right"/>
              <w:ind w:right="67"/>
              <w:spacing w:after="0"/>
              <w:rPr>
                <w:sz w:val="20"/>
                <w:szCs w:val="20"/>
                <w:color w:val="auto"/>
              </w:rPr>
            </w:pPr>
            <w:r>
              <w:rPr>
                <w:rFonts w:ascii="Arial" w:cs="Arial" w:eastAsia="Arial" w:hAnsi="Arial"/>
                <w:sz w:val="17"/>
                <w:szCs w:val="17"/>
                <w:b w:val="1"/>
                <w:bCs w:val="1"/>
                <w:color w:val="auto"/>
              </w:rPr>
              <w:t>30</w:t>
            </w:r>
          </w:p>
        </w:tc>
        <w:tc>
          <w:tcPr>
            <w:tcW w:w="4860" w:type="dxa"/>
            <w:vAlign w:val="bottom"/>
            <w:gridSpan w:val="3"/>
          </w:tcPr>
          <w:p>
            <w:pPr>
              <w:jc w:val="right"/>
              <w:ind w:right="2781"/>
              <w:spacing w:after="0"/>
              <w:rPr>
                <w:sz w:val="20"/>
                <w:szCs w:val="20"/>
                <w:color w:val="auto"/>
              </w:rPr>
            </w:pPr>
            <w:r>
              <w:rPr>
                <w:rFonts w:ascii="Arial" w:cs="Arial" w:eastAsia="Arial" w:hAnsi="Arial"/>
                <w:sz w:val="28"/>
                <w:szCs w:val="28"/>
                <w:b w:val="1"/>
                <w:bCs w:val="1"/>
                <w:color w:val="FB4E0B"/>
              </w:rPr>
              <w:t xml:space="preserve">/  </w:t>
            </w:r>
            <w:r>
              <w:rPr>
                <w:rFonts w:ascii="Arial" w:cs="Arial" w:eastAsia="Arial" w:hAnsi="Arial"/>
                <w:sz w:val="13"/>
                <w:szCs w:val="13"/>
                <w:color w:val="000000"/>
              </w:rPr>
              <w:t>EXL 2023 Proxy Statement</w:t>
            </w:r>
          </w:p>
        </w:tc>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Corporate governance framework</w:t>
      </w:r>
    </w:p>
    <w:p>
      <w:pPr>
        <w:spacing w:after="0" w:line="221" w:lineRule="exact"/>
        <w:rPr>
          <w:sz w:val="20"/>
          <w:szCs w:val="20"/>
          <w:color w:val="auto"/>
        </w:rPr>
      </w:pPr>
    </w:p>
    <w:p>
      <w:pPr>
        <w:ind w:left="320" w:right="480"/>
        <w:spacing w:after="0" w:line="319" w:lineRule="auto"/>
        <w:rPr>
          <w:sz w:val="20"/>
          <w:szCs w:val="20"/>
          <w:color w:val="auto"/>
        </w:rPr>
      </w:pPr>
      <w:r>
        <w:rPr>
          <w:rFonts w:ascii="Arial" w:cs="Arial" w:eastAsia="Arial" w:hAnsi="Arial"/>
          <w:sz w:val="16"/>
          <w:szCs w:val="16"/>
          <w:color w:val="auto"/>
        </w:rPr>
        <w:t>The board is responsible for providing governance and oversight over the effectiveness of policy and decision-making with respect to the strategy, operations and management of EXL, in order to enhance our financial performance and stockholder value over the long term.</w:t>
      </w:r>
    </w:p>
    <w:p>
      <w:pPr>
        <w:spacing w:after="0" w:line="135" w:lineRule="exact"/>
        <w:rPr>
          <w:sz w:val="20"/>
          <w:szCs w:val="20"/>
          <w:color w:val="auto"/>
        </w:rPr>
      </w:pPr>
    </w:p>
    <w:p>
      <w:pPr>
        <w:ind w:left="320" w:right="80"/>
        <w:spacing w:after="0" w:line="265" w:lineRule="auto"/>
        <w:rPr>
          <w:sz w:val="20"/>
          <w:szCs w:val="20"/>
          <w:color w:val="auto"/>
        </w:rPr>
      </w:pPr>
      <w:r>
        <w:rPr>
          <w:rFonts w:ascii="Arial" w:cs="Arial" w:eastAsia="Arial" w:hAnsi="Arial"/>
          <w:sz w:val="17"/>
          <w:szCs w:val="17"/>
          <w:color w:val="auto"/>
        </w:rPr>
        <w:t>Our board’s commitment to strong corporate governance is informed by the five core values of our corporate culture: innovation, respect, integrity, excellence and collaboration. Our board seeks to maintain best practices in corporate governance by reviewing and updating our governance policies, as appropriate, at least annually, and provides oversight over our risk management and strategic planning as relates to our growth, human capital management, and environmental, social and governance matters, each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137160</wp:posOffset>
            </wp:positionV>
            <wp:extent cx="6740525" cy="25114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0525" cy="2511425"/>
                    </a:xfrm>
                    <a:prstGeom prst="rect">
                      <a:avLst/>
                    </a:prstGeom>
                    <a:noFill/>
                  </pic:spPr>
                </pic:pic>
              </a:graphicData>
            </a:graphic>
          </wp:anchor>
        </w:drawing>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FB4E0B"/>
        </w:rPr>
        <w:t>Governance policies</w:t>
      </w:r>
    </w:p>
    <w:p>
      <w:pPr>
        <w:spacing w:after="0" w:line="91" w:lineRule="exact"/>
        <w:rPr>
          <w:sz w:val="20"/>
          <w:szCs w:val="20"/>
          <w:color w:val="auto"/>
        </w:rPr>
      </w:pPr>
    </w:p>
    <w:p>
      <w:pPr>
        <w:ind w:left="660" w:right="760"/>
        <w:spacing w:after="0" w:line="286" w:lineRule="auto"/>
        <w:rPr>
          <w:sz w:val="20"/>
          <w:szCs w:val="20"/>
          <w:color w:val="auto"/>
        </w:rPr>
      </w:pPr>
      <w:r>
        <w:rPr>
          <w:rFonts w:ascii="Arial" w:cs="Arial" w:eastAsia="Arial" w:hAnsi="Arial"/>
          <w:sz w:val="17"/>
          <w:szCs w:val="17"/>
          <w:color w:val="auto"/>
        </w:rPr>
        <w:t>Our Corporate Governance Guidelines and other governance policies, including our committee charters and Code of Conduct and Ethics, codify our corporate governance framework.</w:t>
      </w:r>
    </w:p>
    <w:p>
      <w:pPr>
        <w:sectPr>
          <w:pgSz w:w="11900" w:h="16838" w:orient="portrait"/>
          <w:cols w:equalWidth="0" w:num="1">
            <w:col w:w="10940"/>
          </w:cols>
          <w:pgMar w:left="320" w:top="473" w:right="639" w:bottom="1440" w:gutter="0" w:footer="0" w:header="0"/>
        </w:sectPr>
      </w:pPr>
    </w:p>
    <w:p>
      <w:pPr>
        <w:spacing w:after="0" w:line="356" w:lineRule="exact"/>
        <w:rPr>
          <w:sz w:val="20"/>
          <w:szCs w:val="20"/>
          <w:color w:val="auto"/>
        </w:rPr>
      </w:pPr>
    </w:p>
    <w:p>
      <w:pPr>
        <w:ind w:left="780"/>
        <w:spacing w:after="0" w:line="258" w:lineRule="auto"/>
        <w:rPr>
          <w:sz w:val="20"/>
          <w:szCs w:val="20"/>
          <w:color w:val="auto"/>
        </w:rPr>
      </w:pPr>
      <w:r>
        <w:rPr>
          <w:rFonts w:ascii="Arial" w:cs="Arial" w:eastAsia="Arial" w:hAnsi="Arial"/>
          <w:sz w:val="16"/>
          <w:szCs w:val="16"/>
          <w:color w:val="auto"/>
        </w:rPr>
        <w:t>The Corporate Governance Guidelines address Board responsibilities and conduct, director qualifications and membership matters, director orientation and continuing education, Board and committee meetings, and share ownership by non-management directors, among other topics.</w:t>
      </w:r>
    </w:p>
    <w:p>
      <w:pPr>
        <w:spacing w:after="0" w:line="200" w:lineRule="exact"/>
        <w:rPr>
          <w:sz w:val="20"/>
          <w:szCs w:val="20"/>
          <w:color w:val="auto"/>
        </w:rPr>
      </w:pPr>
    </w:p>
    <w:p>
      <w:pPr>
        <w:spacing w:after="0" w:line="396" w:lineRule="exact"/>
        <w:rPr>
          <w:sz w:val="20"/>
          <w:szCs w:val="20"/>
          <w:color w:val="auto"/>
        </w:rPr>
      </w:pPr>
    </w:p>
    <w:p>
      <w:pPr>
        <w:ind w:left="780"/>
        <w:spacing w:after="0" w:line="347" w:lineRule="auto"/>
        <w:rPr>
          <w:sz w:val="20"/>
          <w:szCs w:val="20"/>
          <w:color w:val="auto"/>
        </w:rPr>
      </w:pPr>
      <w:r>
        <w:rPr>
          <w:rFonts w:ascii="Arial" w:cs="Arial" w:eastAsia="Arial" w:hAnsi="Arial"/>
          <w:sz w:val="14"/>
          <w:szCs w:val="14"/>
          <w:color w:val="auto"/>
        </w:rPr>
        <w:t>Our committee charters specifically set out the authority and responsibilities of the Committees of the board.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340"/>
        <w:spacing w:after="0" w:line="296" w:lineRule="auto"/>
        <w:rPr>
          <w:sz w:val="20"/>
          <w:szCs w:val="20"/>
          <w:color w:val="auto"/>
        </w:rPr>
      </w:pPr>
      <w:r>
        <w:rPr>
          <w:rFonts w:ascii="Arial" w:cs="Arial" w:eastAsia="Arial" w:hAnsi="Arial"/>
          <w:sz w:val="14"/>
          <w:szCs w:val="14"/>
          <w:color w:val="auto"/>
        </w:rPr>
        <w:t>Our Code of Conduct and Ethics is applicable to our directors, officers and fully and part-time employees, and anyone who works on EXL’s behalf, including suppliers, subcontractors and partners, and details how they should conduct themselves when dealing with fellow employees, clients, suppliers, partners, competitors and the general public. Our Code of Conduct and Ethics is reviewed annually by the Audit Committee and audited periodically as part of our compliance and legal audits. Our personnel receives periodic training on the Code. We encourage our employees to speak up and raise concerns promptly about any situation that they believe may violate our Code of Conduct and Ethics or the law and we are committed to responding promptly to any concerns. Our Corporate Governance Guidelines, committee charters, and other corporate governance policies are all available on our website at https://ir.exlservice.com/corporate-governance.</w:t>
      </w:r>
    </w:p>
    <w:p>
      <w:pPr>
        <w:spacing w:after="0" w:line="263" w:lineRule="exact"/>
        <w:rPr>
          <w:sz w:val="20"/>
          <w:szCs w:val="20"/>
          <w:color w:val="auto"/>
        </w:rPr>
      </w:pPr>
    </w:p>
    <w:p>
      <w:pPr>
        <w:sectPr>
          <w:pgSz w:w="11900" w:h="16838" w:orient="portrait"/>
          <w:cols w:equalWidth="0" w:num="2">
            <w:col w:w="4300" w:space="700"/>
            <w:col w:w="5940"/>
          </w:cols>
          <w:pgMar w:left="320" w:top="473" w:right="6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31</w:t>
      </w:r>
    </w:p>
    <w:p>
      <w:pPr>
        <w:sectPr>
          <w:pgSz w:w="11900" w:h="16838" w:orient="portrait"/>
          <w:cols w:equalWidth="0" w:num="1">
            <w:col w:w="10940"/>
          </w:cols>
          <w:pgMar w:left="320" w:top="473" w:right="6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Beyond the board room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Director onboarding</w:t>
      </w:r>
    </w:p>
    <w:p>
      <w:pPr>
        <w:spacing w:after="0" w:line="86" w:lineRule="exact"/>
        <w:rPr>
          <w:sz w:val="20"/>
          <w:szCs w:val="20"/>
          <w:color w:val="auto"/>
        </w:rPr>
      </w:pPr>
    </w:p>
    <w:p>
      <w:pPr>
        <w:ind w:left="1660" w:right="40"/>
        <w:spacing w:after="0" w:line="255" w:lineRule="auto"/>
        <w:rPr>
          <w:sz w:val="20"/>
          <w:szCs w:val="20"/>
          <w:color w:val="auto"/>
        </w:rPr>
      </w:pPr>
      <w:r>
        <w:rPr>
          <w:rFonts w:ascii="Arial" w:cs="Arial" w:eastAsia="Arial" w:hAnsi="Arial"/>
          <w:sz w:val="16"/>
          <w:szCs w:val="16"/>
          <w:color w:val="auto"/>
        </w:rPr>
        <w:t>All new directors participate in an orientation program shortly after their election or appointment, which is overseen by the Nominating and Governance Committee. New directors</w:t>
      </w:r>
    </w:p>
    <w:p>
      <w:pPr>
        <w:spacing w:after="0" w:line="3" w:lineRule="exact"/>
        <w:rPr>
          <w:sz w:val="20"/>
          <w:szCs w:val="20"/>
          <w:color w:val="auto"/>
        </w:rPr>
      </w:pPr>
    </w:p>
    <w:p>
      <w:pPr>
        <w:ind w:left="820" w:right="640"/>
        <w:spacing w:after="0" w:line="261" w:lineRule="auto"/>
        <w:rPr>
          <w:sz w:val="20"/>
          <w:szCs w:val="20"/>
          <w:color w:val="auto"/>
        </w:rPr>
      </w:pPr>
      <w:r>
        <w:rPr>
          <w:rFonts w:ascii="Arial" w:cs="Arial" w:eastAsia="Arial" w:hAnsi="Arial"/>
          <w:sz w:val="16"/>
          <w:szCs w:val="16"/>
          <w:color w:val="auto"/>
        </w:rPr>
        <w:t>participate in site visits and presentations by senior management. By the end of orientation, our new directors are familiar with our:</w:t>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strategic and business plans</w:t>
      </w:r>
    </w:p>
    <w:p>
      <w:pPr>
        <w:ind w:left="760" w:hanging="84"/>
        <w:spacing w:after="0" w:line="238" w:lineRule="auto"/>
        <w:tabs>
          <w:tab w:leader="none" w:pos="760" w:val="left"/>
        </w:tabs>
        <w:numPr>
          <w:ilvl w:val="0"/>
          <w:numId w:val="12"/>
        </w:numPr>
        <w:rPr>
          <w:rFonts w:ascii="Arial" w:cs="Arial" w:eastAsia="Arial" w:hAnsi="Arial"/>
          <w:sz w:val="25"/>
          <w:szCs w:val="25"/>
          <w:color w:val="auto"/>
          <w:vertAlign w:val="superscript"/>
        </w:rPr>
      </w:pPr>
      <w:r>
        <w:rPr>
          <w:rFonts w:ascii="Arial" w:cs="Arial" w:eastAsia="Arial" w:hAnsi="Arial"/>
          <w:sz w:val="25"/>
          <w:szCs w:val="25"/>
          <w:color w:val="auto"/>
          <w:vertAlign w:val="superscript"/>
        </w:rPr>
        <w:t>  </w:t>
      </w:r>
      <w:r>
        <w:rPr>
          <w:rFonts w:ascii="Arial" w:cs="Arial" w:eastAsia="Arial" w:hAnsi="Arial"/>
          <w:sz w:val="13"/>
          <w:szCs w:val="13"/>
          <w:color w:val="auto"/>
        </w:rPr>
        <w:t>•    significant financial, accounting and risk management</w:t>
      </w:r>
    </w:p>
    <w:p>
      <w:pPr>
        <w:ind w:left="760" w:hanging="84"/>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matters</w:t>
      </w:r>
    </w:p>
    <w:p>
      <w:pPr>
        <w:spacing w:after="0" w:line="62" w:lineRule="exact"/>
        <w:rPr>
          <w:rFonts w:ascii="Arial" w:cs="Arial" w:eastAsia="Arial" w:hAnsi="Arial"/>
          <w:sz w:val="16"/>
          <w:szCs w:val="16"/>
          <w:color w:val="auto"/>
        </w:rPr>
      </w:pPr>
    </w:p>
    <w:p>
      <w:pPr>
        <w:ind w:left="760" w:hanging="84"/>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•    compliance programs, and</w:t>
      </w:r>
    </w:p>
    <w:p>
      <w:pPr>
        <w:spacing w:after="0" w:line="76" w:lineRule="exact"/>
        <w:rPr>
          <w:rFonts w:ascii="Arial" w:cs="Arial" w:eastAsia="Arial" w:hAnsi="Arial"/>
          <w:sz w:val="16"/>
          <w:szCs w:val="16"/>
          <w:color w:val="auto"/>
        </w:rPr>
      </w:pPr>
    </w:p>
    <w:p>
      <w:pPr>
        <w:ind w:left="760" w:hanging="84"/>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•    corporate governance framework.</w:t>
      </w:r>
    </w:p>
    <w:p>
      <w:pPr>
        <w:spacing w:after="0" w:line="200" w:lineRule="exact"/>
        <w:rPr>
          <w:sz w:val="20"/>
          <w:szCs w:val="20"/>
          <w:color w:val="auto"/>
        </w:rPr>
      </w:pPr>
    </w:p>
    <w:p>
      <w:pPr>
        <w:spacing w:after="0" w:line="362"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Employee and stockholder engagement</w:t>
      </w:r>
    </w:p>
    <w:p>
      <w:pPr>
        <w:spacing w:after="0" w:line="112" w:lineRule="exact"/>
        <w:rPr>
          <w:sz w:val="20"/>
          <w:szCs w:val="20"/>
          <w:color w:val="auto"/>
        </w:rPr>
      </w:pPr>
    </w:p>
    <w:p>
      <w:pPr>
        <w:ind w:left="1660"/>
        <w:spacing w:after="0" w:line="264" w:lineRule="auto"/>
        <w:rPr>
          <w:sz w:val="20"/>
          <w:szCs w:val="20"/>
          <w:color w:val="auto"/>
        </w:rPr>
      </w:pPr>
      <w:r>
        <w:rPr>
          <w:rFonts w:ascii="Arial" w:cs="Arial" w:eastAsia="Arial" w:hAnsi="Arial"/>
          <w:sz w:val="16"/>
          <w:szCs w:val="16"/>
          <w:color w:val="auto"/>
        </w:rPr>
        <w:t>Our directors are generally invited to visit any EXL office and have complete and open access to our management and employees.</w:t>
      </w:r>
    </w:p>
    <w:p>
      <w:pPr>
        <w:spacing w:after="0" w:line="199" w:lineRule="exact"/>
        <w:rPr>
          <w:sz w:val="20"/>
          <w:szCs w:val="20"/>
          <w:color w:val="auto"/>
        </w:rPr>
      </w:pPr>
    </w:p>
    <w:p>
      <w:pPr>
        <w:ind w:left="820" w:right="380"/>
        <w:spacing w:after="0" w:line="264" w:lineRule="auto"/>
        <w:rPr>
          <w:sz w:val="20"/>
          <w:szCs w:val="20"/>
          <w:color w:val="auto"/>
        </w:rPr>
      </w:pPr>
      <w:r>
        <w:rPr>
          <w:rFonts w:ascii="Arial" w:cs="Arial" w:eastAsia="Arial" w:hAnsi="Arial"/>
          <w:sz w:val="16"/>
          <w:szCs w:val="16"/>
          <w:color w:val="auto"/>
        </w:rPr>
        <w:t>They also take part in EXL company initiatives in which they can engage with our employees, stakeholders and community members directly.</w:t>
      </w:r>
    </w:p>
    <w:p>
      <w:pPr>
        <w:spacing w:after="0" w:line="95" w:lineRule="exact"/>
        <w:rPr>
          <w:sz w:val="20"/>
          <w:szCs w:val="20"/>
          <w:color w:val="auto"/>
        </w:rPr>
      </w:pPr>
    </w:p>
    <w:p>
      <w:pPr>
        <w:jc w:val="right"/>
        <w:ind w:left="820" w:right="860"/>
        <w:spacing w:after="0" w:line="293" w:lineRule="auto"/>
        <w:rPr>
          <w:sz w:val="20"/>
          <w:szCs w:val="20"/>
          <w:color w:val="auto"/>
        </w:rPr>
      </w:pPr>
      <w:r>
        <w:rPr>
          <w:rFonts w:ascii="Arial" w:cs="Arial" w:eastAsia="Arial" w:hAnsi="Arial"/>
          <w:sz w:val="14"/>
          <w:szCs w:val="14"/>
          <w:color w:val="auto"/>
        </w:rPr>
        <w:t xml:space="preserve">•    In March 2023, together with our employee volunteers and </w:t>
      </w:r>
      <w:r>
        <w:rPr>
          <w:rFonts w:ascii="Arial" w:cs="Arial" w:eastAsia="Arial" w:hAnsi="Arial"/>
          <w:sz w:val="14"/>
          <w:szCs w:val="14"/>
          <w:b w:val="1"/>
          <w:bCs w:val="1"/>
          <w:color w:val="auto"/>
        </w:rPr>
        <w:t>Mr. Kapoor</w:t>
      </w:r>
      <w:r>
        <w:rPr>
          <w:rFonts w:ascii="Arial" w:cs="Arial" w:eastAsia="Arial" w:hAnsi="Arial"/>
          <w:sz w:val="14"/>
          <w:szCs w:val="14"/>
          <w:color w:val="auto"/>
        </w:rPr>
        <w:t xml:space="preserve">, </w:t>
      </w:r>
      <w:r>
        <w:rPr>
          <w:rFonts w:ascii="Arial" w:cs="Arial" w:eastAsia="Arial" w:hAnsi="Arial"/>
          <w:sz w:val="14"/>
          <w:szCs w:val="14"/>
          <w:b w:val="1"/>
          <w:bCs w:val="1"/>
          <w:color w:val="auto"/>
        </w:rPr>
        <w:t>Ms. Minto</w:t>
      </w:r>
      <w:r>
        <w:rPr>
          <w:rFonts w:ascii="Arial" w:cs="Arial" w:eastAsia="Arial" w:hAnsi="Arial"/>
          <w:sz w:val="14"/>
          <w:szCs w:val="14"/>
          <w:color w:val="auto"/>
        </w:rPr>
        <w:t xml:space="preserve"> participated in one of our</w:t>
      </w:r>
    </w:p>
    <w:p>
      <w:pPr>
        <w:spacing w:after="0" w:line="1" w:lineRule="exact"/>
        <w:rPr>
          <w:sz w:val="20"/>
          <w:szCs w:val="20"/>
          <w:color w:val="auto"/>
        </w:rPr>
      </w:pPr>
    </w:p>
    <w:p>
      <w:pPr>
        <w:ind w:left="760" w:hanging="8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community engagement activities under our Education</w:t>
      </w:r>
    </w:p>
    <w:p>
      <w:pPr>
        <w:spacing w:after="0" w:line="11" w:lineRule="exact"/>
        <w:rPr>
          <w:rFonts w:ascii="Arial" w:cs="Arial" w:eastAsia="Arial" w:hAnsi="Arial"/>
          <w:sz w:val="16"/>
          <w:szCs w:val="16"/>
          <w:color w:val="auto"/>
        </w:rPr>
      </w:pPr>
    </w:p>
    <w:p>
      <w:pPr>
        <w:ind w:left="980" w:right="1140"/>
        <w:spacing w:after="0" w:line="269" w:lineRule="auto"/>
        <w:rPr>
          <w:rFonts w:ascii="Arial" w:cs="Arial" w:eastAsia="Arial" w:hAnsi="Arial"/>
          <w:sz w:val="16"/>
          <w:szCs w:val="16"/>
          <w:color w:val="auto"/>
        </w:rPr>
      </w:pPr>
      <w:r>
        <w:rPr>
          <w:rFonts w:ascii="Arial" w:cs="Arial" w:eastAsia="Arial" w:hAnsi="Arial"/>
          <w:sz w:val="16"/>
          <w:szCs w:val="16"/>
          <w:color w:val="auto"/>
        </w:rPr>
        <w:t>as a Foundation Initiative with our partner, the OM School Foundation, in India.</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Mr. Pandit</w:t>
      </w:r>
      <w:r>
        <w:rPr>
          <w:rFonts w:ascii="Arial" w:cs="Arial" w:eastAsia="Arial" w:hAnsi="Arial"/>
          <w:sz w:val="16"/>
          <w:szCs w:val="16"/>
          <w:color w:val="auto"/>
        </w:rPr>
        <w:t xml:space="preserve"> participated in our 2022-2023 stockholder</w:t>
      </w:r>
    </w:p>
    <w:p>
      <w:pPr>
        <w:spacing w:after="0" w:line="19" w:lineRule="exact"/>
        <w:rPr>
          <w:sz w:val="20"/>
          <w:szCs w:val="20"/>
          <w:color w:val="auto"/>
        </w:rPr>
      </w:pPr>
    </w:p>
    <w:p>
      <w:pPr>
        <w:ind w:left="980" w:right="820" w:hanging="304"/>
        <w:spacing w:after="0" w:line="316" w:lineRule="auto"/>
        <w:tabs>
          <w:tab w:leader="none" w:pos="759" w:val="left"/>
        </w:tabs>
        <w:numPr>
          <w:ilvl w:val="0"/>
          <w:numId w:val="14"/>
        </w:numPr>
        <w:rPr>
          <w:rFonts w:ascii="Arial" w:cs="Arial" w:eastAsia="Arial" w:hAnsi="Arial"/>
          <w:sz w:val="14"/>
          <w:szCs w:val="14"/>
          <w:color w:val="auto"/>
        </w:rPr>
      </w:pPr>
      <w:r>
        <w:rPr>
          <w:rFonts w:ascii="Arial" w:cs="Arial" w:eastAsia="Arial" w:hAnsi="Arial"/>
          <w:sz w:val="14"/>
          <w:szCs w:val="14"/>
          <w:color w:val="auto"/>
        </w:rPr>
        <w:t>   engagement program, by joining management in a discussion with one of our stockholders. See “Corporate governance—stockholder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Director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-1648460</wp:posOffset>
            </wp:positionV>
            <wp:extent cx="7179310"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-433705</wp:posOffset>
            </wp:positionV>
            <wp:extent cx="6740525" cy="70631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40525" cy="7063105"/>
                    </a:xfrm>
                    <a:prstGeom prst="rect">
                      <a:avLst/>
                    </a:prstGeom>
                    <a:noFill/>
                  </pic:spPr>
                </pic:pic>
              </a:graphicData>
            </a:graphic>
          </wp:anchor>
        </w:drawing>
      </w:r>
    </w:p>
    <w:p>
      <w:pPr>
        <w:spacing w:after="0" w:line="66" w:lineRule="exact"/>
        <w:rPr>
          <w:sz w:val="20"/>
          <w:szCs w:val="20"/>
          <w:color w:val="auto"/>
        </w:rPr>
      </w:pPr>
    </w:p>
    <w:p>
      <w:pPr>
        <w:ind w:left="920" w:right="120"/>
        <w:spacing w:after="0" w:line="274" w:lineRule="auto"/>
        <w:rPr>
          <w:sz w:val="20"/>
          <w:szCs w:val="20"/>
          <w:color w:val="auto"/>
        </w:rPr>
      </w:pPr>
      <w:r>
        <w:rPr>
          <w:rFonts w:ascii="Arial" w:cs="Arial" w:eastAsia="Arial" w:hAnsi="Arial"/>
          <w:sz w:val="16"/>
          <w:szCs w:val="16"/>
          <w:color w:val="auto"/>
        </w:rPr>
        <w:t>We encourage our board members to participate in director continuing education (“DCE”):</w:t>
      </w:r>
    </w:p>
    <w:p>
      <w:pPr>
        <w:spacing w:after="0" w:line="191" w:lineRule="exact"/>
        <w:rPr>
          <w:sz w:val="20"/>
          <w:szCs w:val="20"/>
          <w:color w:val="auto"/>
        </w:rPr>
      </w:pPr>
    </w:p>
    <w:p>
      <w:pPr>
        <w:ind w:left="1380" w:right="60" w:hanging="233"/>
        <w:spacing w:after="0" w:line="274" w:lineRule="auto"/>
        <w:rPr>
          <w:sz w:val="20"/>
          <w:szCs w:val="20"/>
          <w:color w:val="auto"/>
        </w:rPr>
      </w:pPr>
      <w:r>
        <w:rPr>
          <w:rFonts w:ascii="Arial" w:cs="Arial" w:eastAsia="Arial" w:hAnsi="Arial"/>
          <w:sz w:val="16"/>
          <w:szCs w:val="16"/>
          <w:color w:val="auto"/>
        </w:rPr>
        <w:t>•    We provide reimbursements for participation in DCE courses</w:t>
      </w:r>
    </w:p>
    <w:p>
      <w:pPr>
        <w:spacing w:after="0" w:line="204" w:lineRule="exact"/>
        <w:rPr>
          <w:sz w:val="20"/>
          <w:szCs w:val="20"/>
          <w:color w:val="auto"/>
        </w:rPr>
      </w:pPr>
    </w:p>
    <w:p>
      <w:pPr>
        <w:ind w:left="460" w:right="60" w:hanging="233"/>
        <w:spacing w:after="0" w:line="258" w:lineRule="auto"/>
        <w:rPr>
          <w:sz w:val="20"/>
          <w:szCs w:val="20"/>
          <w:color w:val="auto"/>
        </w:rPr>
      </w:pPr>
      <w:r>
        <w:rPr>
          <w:rFonts w:ascii="Arial" w:cs="Arial" w:eastAsia="Arial" w:hAnsi="Arial"/>
          <w:sz w:val="16"/>
          <w:szCs w:val="16"/>
          <w:color w:val="auto"/>
        </w:rPr>
        <w:t xml:space="preserve">•    We maintain a subscription for our directors with the National Association of Corporate Directors (“NACD”) and our directors actively take part in NACD offerings. For example, </w:t>
      </w:r>
      <w:r>
        <w:rPr>
          <w:rFonts w:ascii="Arial" w:cs="Arial" w:eastAsia="Arial" w:hAnsi="Arial"/>
          <w:sz w:val="16"/>
          <w:szCs w:val="16"/>
          <w:b w:val="1"/>
          <w:bCs w:val="1"/>
          <w:color w:val="auto"/>
        </w:rPr>
        <w:t>Ms.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Studenmund </w:t>
      </w:r>
      <w:r>
        <w:rPr>
          <w:rFonts w:ascii="Arial" w:cs="Arial" w:eastAsia="Arial" w:hAnsi="Arial"/>
          <w:sz w:val="16"/>
          <w:szCs w:val="16"/>
          <w:color w:val="auto"/>
        </w:rPr>
        <w:t>is on an NACD Southern California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that meets regularly to discuss compensation committee matters</w:t>
      </w:r>
    </w:p>
    <w:p>
      <w:pPr>
        <w:spacing w:after="0" w:line="101" w:lineRule="exact"/>
        <w:rPr>
          <w:sz w:val="20"/>
          <w:szCs w:val="20"/>
          <w:color w:val="auto"/>
        </w:rPr>
      </w:pPr>
    </w:p>
    <w:p>
      <w:pPr>
        <w:ind w:left="460" w:right="300" w:hanging="233"/>
        <w:spacing w:after="0" w:line="305" w:lineRule="auto"/>
        <w:rPr>
          <w:sz w:val="20"/>
          <w:szCs w:val="20"/>
          <w:color w:val="auto"/>
        </w:rPr>
      </w:pPr>
      <w:r>
        <w:rPr>
          <w:rFonts w:ascii="Arial" w:cs="Arial" w:eastAsia="Arial" w:hAnsi="Arial"/>
          <w:sz w:val="14"/>
          <w:szCs w:val="14"/>
          <w:color w:val="auto"/>
        </w:rPr>
        <w:t>•    We provide regular updates to our directors on corporate governance and ESG matters, executive compensation developments and trends, accounting standards changes, risk management matters and other legal and other topics of interest from a variety of internal and external sources.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Our directors are active DCE participants: For example, in 2022, </w:t>
      </w:r>
      <w:r>
        <w:rPr>
          <w:rFonts w:ascii="Arial" w:cs="Arial" w:eastAsia="Arial" w:hAnsi="Arial"/>
          <w:sz w:val="14"/>
          <w:szCs w:val="14"/>
          <w:b w:val="1"/>
          <w:bCs w:val="1"/>
          <w:color w:val="auto"/>
        </w:rPr>
        <w:t>Ms.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Pipes</w:t>
      </w:r>
      <w:r>
        <w:rPr>
          <w:rFonts w:ascii="Arial" w:cs="Arial" w:eastAsia="Arial" w:hAnsi="Arial"/>
          <w:sz w:val="16"/>
          <w:szCs w:val="16"/>
          <w:color w:val="auto"/>
        </w:rPr>
        <w:t>:</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attended the annual KPMG Board Leadership Conference,</w:t>
      </w:r>
    </w:p>
    <w:p>
      <w:pPr>
        <w:spacing w:after="0" w:line="128" w:lineRule="exact"/>
        <w:rPr>
          <w:sz w:val="20"/>
          <w:szCs w:val="20"/>
          <w:color w:val="auto"/>
        </w:rPr>
      </w:pPr>
    </w:p>
    <w:p>
      <w:pPr>
        <w:ind w:left="460" w:right="780" w:hanging="233"/>
        <w:spacing w:after="0" w:line="347" w:lineRule="auto"/>
        <w:rPr>
          <w:sz w:val="20"/>
          <w:szCs w:val="20"/>
          <w:color w:val="auto"/>
        </w:rPr>
      </w:pPr>
      <w:r>
        <w:rPr>
          <w:rFonts w:ascii="Arial" w:cs="Arial" w:eastAsia="Arial" w:hAnsi="Arial"/>
          <w:sz w:val="14"/>
          <w:szCs w:val="14"/>
          <w:color w:val="auto"/>
        </w:rPr>
        <w:t>•    participated in over 50 hours of courses and trainings on cybersecurity and ESG, among other topics, and</w:t>
      </w:r>
    </w:p>
    <w:p>
      <w:pPr>
        <w:spacing w:after="0" w:line="42" w:lineRule="exact"/>
        <w:rPr>
          <w:sz w:val="20"/>
          <w:szCs w:val="20"/>
          <w:color w:val="auto"/>
        </w:rPr>
      </w:pPr>
    </w:p>
    <w:p>
      <w:pPr>
        <w:jc w:val="both"/>
        <w:ind w:left="460" w:right="520" w:hanging="233"/>
        <w:spacing w:after="0" w:line="264" w:lineRule="auto"/>
        <w:rPr>
          <w:sz w:val="20"/>
          <w:szCs w:val="20"/>
          <w:color w:val="auto"/>
        </w:rPr>
      </w:pPr>
      <w:r>
        <w:rPr>
          <w:rFonts w:ascii="Arial" w:cs="Arial" w:eastAsia="Arial" w:hAnsi="Arial"/>
          <w:sz w:val="16"/>
          <w:szCs w:val="16"/>
          <w:color w:val="auto"/>
        </w:rPr>
        <w:t>•    received an NACD Cybersecurity certification following her participation in the NACD’s course on Cybersecurity led by Carnegie Mellon University.</w:t>
      </w:r>
    </w:p>
    <w:p>
      <w:pPr>
        <w:spacing w:after="0" w:line="199" w:lineRule="exact"/>
        <w:rPr>
          <w:sz w:val="20"/>
          <w:szCs w:val="20"/>
          <w:color w:val="auto"/>
        </w:rPr>
      </w:pPr>
    </w:p>
    <w:p>
      <w:pPr>
        <w:ind w:right="340"/>
        <w:spacing w:after="0" w:line="274" w:lineRule="auto"/>
        <w:rPr>
          <w:sz w:val="20"/>
          <w:szCs w:val="20"/>
          <w:color w:val="auto"/>
        </w:rPr>
      </w:pPr>
      <w:r>
        <w:rPr>
          <w:rFonts w:ascii="Arial" w:cs="Arial" w:eastAsia="Arial" w:hAnsi="Arial"/>
          <w:sz w:val="16"/>
          <w:szCs w:val="16"/>
          <w:color w:val="auto"/>
        </w:rPr>
        <w:t>Certain of our directors are also involved in industry-level governance matters. For example:</w:t>
      </w:r>
    </w:p>
    <w:p>
      <w:pPr>
        <w:spacing w:after="0" w:line="83" w:lineRule="exact"/>
        <w:rPr>
          <w:sz w:val="20"/>
          <w:szCs w:val="20"/>
          <w:color w:val="auto"/>
        </w:rPr>
      </w:pPr>
    </w:p>
    <w:p>
      <w:pPr>
        <w:ind w:left="460" w:right="40" w:hanging="233"/>
        <w:spacing w:after="0" w:line="299" w:lineRule="auto"/>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Mr. Mittal</w:t>
      </w:r>
      <w:r>
        <w:rPr>
          <w:rFonts w:ascii="Arial" w:cs="Arial" w:eastAsia="Arial" w:hAnsi="Arial"/>
          <w:sz w:val="14"/>
          <w:szCs w:val="14"/>
          <w:color w:val="auto"/>
        </w:rPr>
        <w:t xml:space="preserve"> is the former president and chairman of the National Association of Software and Service Companies (“NASSCOM”), an Indian trade association and governance group focused on the information technology and business process outsourcing industry, in which we, and many of our U.S. peer companies with operations in India, are members. He advises NASSCOM on best practices for corporate governance and is currently assisting NASSCOM in the development of data privacy legislation in India.</w:t>
      </w:r>
    </w:p>
    <w:p>
      <w:pPr>
        <w:spacing w:after="0" w:line="200" w:lineRule="exact"/>
        <w:rPr>
          <w:sz w:val="20"/>
          <w:szCs w:val="20"/>
          <w:color w:val="auto"/>
        </w:rPr>
      </w:pPr>
    </w:p>
    <w:p>
      <w:pPr>
        <w:sectPr>
          <w:pgSz w:w="11900" w:h="16838" w:orient="portrait"/>
          <w:cols w:equalWidth="0" w:num="2">
            <w:col w:w="5300" w:space="640"/>
            <w:col w:w="4720"/>
          </w:cols>
          <w:pgMar w:left="320" w:top="47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Anne Minto</w:t>
            </w:r>
          </w:p>
        </w:tc>
        <w:tc>
          <w:tcPr>
            <w:tcW w:w="1420" w:type="dxa"/>
            <w:vAlign w:val="bottom"/>
          </w:tcPr>
          <w:p>
            <w:pPr>
              <w:spacing w:after="0"/>
              <w:rPr>
                <w:sz w:val="20"/>
                <w:szCs w:val="20"/>
                <w:color w:val="auto"/>
              </w:rPr>
            </w:pPr>
            <w:r>
              <w:rPr>
                <w:rFonts w:ascii="Arial" w:cs="Arial" w:eastAsia="Arial" w:hAnsi="Arial"/>
                <w:sz w:val="14"/>
                <w:szCs w:val="14"/>
                <w:b w:val="1"/>
                <w:bCs w:val="1"/>
                <w:i w:val="1"/>
                <w:iCs w:val="1"/>
                <w:color w:val="auto"/>
              </w:rPr>
              <w:t>Kristy Pipes</w:t>
            </w:r>
          </w:p>
        </w:tc>
        <w:tc>
          <w:tcPr>
            <w:tcW w:w="15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Rohit Kapoor</w:t>
            </w:r>
          </w:p>
        </w:tc>
        <w:tc>
          <w:tcPr>
            <w:tcW w:w="1920" w:type="dxa"/>
            <w:vAlign w:val="bottom"/>
          </w:tcPr>
          <w:p>
            <w:pPr>
              <w:ind w:left="440"/>
              <w:spacing w:after="0"/>
              <w:rPr>
                <w:sz w:val="20"/>
                <w:szCs w:val="20"/>
                <w:color w:val="auto"/>
              </w:rPr>
            </w:pPr>
            <w:r>
              <w:rPr>
                <w:rFonts w:ascii="Arial" w:cs="Arial" w:eastAsia="Arial" w:hAnsi="Arial"/>
                <w:sz w:val="14"/>
                <w:szCs w:val="14"/>
                <w:b w:val="1"/>
                <w:bCs w:val="1"/>
                <w:i w:val="1"/>
                <w:iCs w:val="1"/>
                <w:color w:val="auto"/>
              </w:rPr>
              <w:t>Vikram Pandit</w:t>
            </w:r>
          </w:p>
        </w:tc>
        <w:tc>
          <w:tcPr>
            <w:tcW w:w="164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Som Mittal</w:t>
            </w:r>
          </w:p>
        </w:tc>
        <w:tc>
          <w:tcPr>
            <w:tcW w:w="1420" w:type="dxa"/>
            <w:vAlign w:val="bottom"/>
          </w:tcPr>
          <w:p>
            <w:pPr>
              <w:ind w:left="260"/>
              <w:spacing w:after="0"/>
              <w:rPr>
                <w:sz w:val="20"/>
                <w:szCs w:val="20"/>
                <w:color w:val="auto"/>
              </w:rPr>
            </w:pPr>
            <w:r>
              <w:rPr>
                <w:rFonts w:ascii="Arial" w:cs="Arial" w:eastAsia="Arial" w:hAnsi="Arial"/>
                <w:sz w:val="14"/>
                <w:szCs w:val="14"/>
                <w:b w:val="1"/>
                <w:bCs w:val="1"/>
                <w:i w:val="1"/>
                <w:iCs w:val="1"/>
                <w:color w:val="auto"/>
                <w:w w:val="85"/>
              </w:rPr>
              <w:t>Jaynie Studenmund</w:t>
            </w:r>
          </w:p>
        </w:tc>
      </w:tr>
      <w:tr>
        <w:trPr>
          <w:trHeight w:val="143"/>
        </w:trPr>
        <w:tc>
          <w:tcPr>
            <w:tcW w:w="340" w:type="dxa"/>
            <w:vAlign w:val="bottom"/>
          </w:tcPr>
          <w:p>
            <w:pPr>
              <w:spacing w:after="0"/>
              <w:rPr>
                <w:sz w:val="12"/>
                <w:szCs w:val="12"/>
                <w:color w:val="auto"/>
              </w:rPr>
            </w:pPr>
          </w:p>
        </w:tc>
        <w:tc>
          <w:tcPr>
            <w:tcW w:w="1980" w:type="dxa"/>
            <w:vAlign w:val="bottom"/>
            <w:gridSpan w:val="2"/>
          </w:tcPr>
          <w:p>
            <w:pPr>
              <w:ind w:left="180"/>
              <w:spacing w:after="0" w:line="143" w:lineRule="exact"/>
              <w:rPr>
                <w:sz w:val="20"/>
                <w:szCs w:val="20"/>
                <w:color w:val="auto"/>
              </w:rPr>
            </w:pPr>
            <w:r>
              <w:rPr>
                <w:rFonts w:ascii="Arial" w:cs="Arial" w:eastAsia="Arial" w:hAnsi="Arial"/>
                <w:sz w:val="14"/>
                <w:szCs w:val="14"/>
                <w:i w:val="1"/>
                <w:iCs w:val="1"/>
                <w:color w:val="auto"/>
              </w:rPr>
              <w:t>Independent director</w:t>
            </w:r>
          </w:p>
        </w:tc>
        <w:tc>
          <w:tcPr>
            <w:tcW w:w="1420" w:type="dxa"/>
            <w:vAlign w:val="bottom"/>
          </w:tcPr>
          <w:p>
            <w:pPr>
              <w:spacing w:after="0" w:line="143" w:lineRule="exact"/>
              <w:rPr>
                <w:sz w:val="20"/>
                <w:szCs w:val="20"/>
                <w:color w:val="auto"/>
              </w:rPr>
            </w:pPr>
            <w:r>
              <w:rPr>
                <w:rFonts w:ascii="Arial" w:cs="Arial" w:eastAsia="Arial" w:hAnsi="Arial"/>
                <w:sz w:val="14"/>
                <w:szCs w:val="14"/>
                <w:i w:val="1"/>
                <w:iCs w:val="1"/>
                <w:color w:val="auto"/>
              </w:rPr>
              <w:t>Independent director</w:t>
            </w:r>
          </w:p>
        </w:tc>
        <w:tc>
          <w:tcPr>
            <w:tcW w:w="1520" w:type="dxa"/>
            <w:vAlign w:val="bottom"/>
          </w:tcPr>
          <w:p>
            <w:pPr>
              <w:ind w:left="260"/>
              <w:spacing w:after="0" w:line="143" w:lineRule="exact"/>
              <w:rPr>
                <w:sz w:val="20"/>
                <w:szCs w:val="20"/>
                <w:color w:val="auto"/>
              </w:rPr>
            </w:pPr>
            <w:r>
              <w:rPr>
                <w:rFonts w:ascii="Arial" w:cs="Arial" w:eastAsia="Arial" w:hAnsi="Arial"/>
                <w:sz w:val="14"/>
                <w:szCs w:val="14"/>
                <w:i w:val="1"/>
                <w:iCs w:val="1"/>
                <w:color w:val="auto"/>
              </w:rPr>
              <w:t>Vice Chairman</w:t>
            </w:r>
          </w:p>
        </w:tc>
        <w:tc>
          <w:tcPr>
            <w:tcW w:w="1920" w:type="dxa"/>
            <w:vAlign w:val="bottom"/>
          </w:tcPr>
          <w:p>
            <w:pPr>
              <w:ind w:left="440"/>
              <w:spacing w:after="0" w:line="143" w:lineRule="exact"/>
              <w:rPr>
                <w:sz w:val="20"/>
                <w:szCs w:val="20"/>
                <w:color w:val="auto"/>
              </w:rPr>
            </w:pPr>
            <w:r>
              <w:rPr>
                <w:rFonts w:ascii="Arial" w:cs="Arial" w:eastAsia="Arial" w:hAnsi="Arial"/>
                <w:sz w:val="14"/>
                <w:szCs w:val="14"/>
                <w:i w:val="1"/>
                <w:iCs w:val="1"/>
                <w:color w:val="auto"/>
              </w:rPr>
              <w:t>Independent Chairman</w:t>
            </w:r>
          </w:p>
        </w:tc>
        <w:tc>
          <w:tcPr>
            <w:tcW w:w="1640" w:type="dxa"/>
            <w:vAlign w:val="bottom"/>
          </w:tcPr>
          <w:p>
            <w:pPr>
              <w:ind w:left="200"/>
              <w:spacing w:after="0" w:line="143" w:lineRule="exact"/>
              <w:rPr>
                <w:sz w:val="20"/>
                <w:szCs w:val="20"/>
                <w:color w:val="auto"/>
              </w:rPr>
            </w:pPr>
            <w:r>
              <w:rPr>
                <w:rFonts w:ascii="Arial" w:cs="Arial" w:eastAsia="Arial" w:hAnsi="Arial"/>
                <w:sz w:val="14"/>
                <w:szCs w:val="14"/>
                <w:i w:val="1"/>
                <w:iCs w:val="1"/>
                <w:color w:val="auto"/>
              </w:rPr>
              <w:t>Independent director</w:t>
            </w:r>
          </w:p>
        </w:tc>
        <w:tc>
          <w:tcPr>
            <w:tcW w:w="1420" w:type="dxa"/>
            <w:vAlign w:val="bottom"/>
          </w:tcPr>
          <w:p>
            <w:pPr>
              <w:ind w:left="260"/>
              <w:spacing w:after="0" w:line="143" w:lineRule="exact"/>
              <w:rPr>
                <w:sz w:val="20"/>
                <w:szCs w:val="20"/>
                <w:color w:val="auto"/>
              </w:rPr>
            </w:pPr>
            <w:r>
              <w:rPr>
                <w:rFonts w:ascii="Arial" w:cs="Arial" w:eastAsia="Arial" w:hAnsi="Arial"/>
                <w:sz w:val="14"/>
                <w:szCs w:val="14"/>
                <w:i w:val="1"/>
                <w:iCs w:val="1"/>
                <w:color w:val="auto"/>
                <w:w w:val="88"/>
              </w:rPr>
              <w:t>Independent director</w:t>
            </w:r>
          </w:p>
        </w:tc>
      </w:tr>
      <w:tr>
        <w:trPr>
          <w:trHeight w:val="176"/>
        </w:trPr>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tcPr>
          <w:p>
            <w:pPr>
              <w:ind w:left="260"/>
              <w:spacing w:after="0"/>
              <w:rPr>
                <w:sz w:val="20"/>
                <w:szCs w:val="20"/>
                <w:color w:val="auto"/>
              </w:rPr>
            </w:pPr>
            <w:r>
              <w:rPr>
                <w:rFonts w:ascii="Arial" w:cs="Arial" w:eastAsia="Arial" w:hAnsi="Arial"/>
                <w:sz w:val="14"/>
                <w:szCs w:val="14"/>
                <w:i w:val="1"/>
                <w:iCs w:val="1"/>
                <w:color w:val="auto"/>
              </w:rPr>
              <w:t>and CEO</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523"/>
        </w:trPr>
        <w:tc>
          <w:tcPr>
            <w:tcW w:w="34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32</w:t>
            </w:r>
          </w:p>
        </w:tc>
        <w:tc>
          <w:tcPr>
            <w:tcW w:w="400" w:type="dxa"/>
            <w:vAlign w:val="bottom"/>
          </w:tcPr>
          <w:p>
            <w:pPr>
              <w:ind w:left="200"/>
              <w:spacing w:after="0"/>
              <w:rPr>
                <w:sz w:val="20"/>
                <w:szCs w:val="20"/>
                <w:color w:val="auto"/>
              </w:rPr>
            </w:pPr>
            <w:r>
              <w:rPr>
                <w:rFonts w:ascii="Arial" w:cs="Arial" w:eastAsia="Arial" w:hAnsi="Arial"/>
                <w:sz w:val="28"/>
                <w:szCs w:val="28"/>
                <w:b w:val="1"/>
                <w:bCs w:val="1"/>
                <w:color w:val="FB4E0B"/>
              </w:rPr>
              <w:t>/</w:t>
            </w:r>
          </w:p>
        </w:tc>
        <w:tc>
          <w:tcPr>
            <w:tcW w:w="1580" w:type="dxa"/>
            <w:vAlign w:val="bottom"/>
          </w:tcPr>
          <w:p>
            <w:pPr>
              <w:ind w:left="140"/>
              <w:spacing w:after="0"/>
              <w:rPr>
                <w:sz w:val="20"/>
                <w:szCs w:val="20"/>
                <w:color w:val="auto"/>
              </w:rPr>
            </w:pPr>
            <w:r>
              <w:rPr>
                <w:rFonts w:ascii="Arial" w:cs="Arial" w:eastAsia="Arial" w:hAnsi="Arial"/>
                <w:sz w:val="13"/>
                <w:szCs w:val="13"/>
                <w:color w:val="auto"/>
                <w:w w:val="90"/>
              </w:rPr>
              <w:t>EXL 2023 Proxy Statement</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660"/>
          </w:cols>
          <w:pgMar w:left="320" w:top="473" w:right="9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Board leadership structure</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Vikram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-1929130</wp:posOffset>
            </wp:positionV>
            <wp:extent cx="1404620" cy="17183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Independent Chairman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640"/>
        <w:spacing w:after="0" w:line="286" w:lineRule="auto"/>
        <w:rPr>
          <w:sz w:val="20"/>
          <w:szCs w:val="20"/>
          <w:color w:val="auto"/>
        </w:rPr>
      </w:pPr>
      <w:r>
        <w:rPr>
          <w:rFonts w:ascii="Arial" w:cs="Arial" w:eastAsia="Arial" w:hAnsi="Arial"/>
          <w:sz w:val="17"/>
          <w:szCs w:val="17"/>
          <w:color w:val="auto"/>
        </w:rPr>
        <w:t>Our board of directors is currently led by Vikram Pandit, our Chairman, and Rohit Kapoor, 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404620" cy="17183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pacing w:after="0" w:line="165" w:lineRule="exact"/>
        <w:rPr>
          <w:sz w:val="20"/>
          <w:szCs w:val="20"/>
          <w:color w:val="auto"/>
        </w:rPr>
      </w:pPr>
    </w:p>
    <w:p>
      <w:pPr>
        <w:ind w:left="2640" w:right="20"/>
        <w:spacing w:after="0" w:line="276" w:lineRule="auto"/>
        <w:rPr>
          <w:sz w:val="20"/>
          <w:szCs w:val="20"/>
          <w:color w:val="auto"/>
        </w:rPr>
      </w:pPr>
      <w:r>
        <w:rPr>
          <w:rFonts w:ascii="Arial" w:cs="Arial" w:eastAsia="Arial" w:hAnsi="Arial"/>
          <w:sz w:val="16"/>
          <w:szCs w:val="16"/>
          <w:color w:val="auto"/>
        </w:rPr>
        <w:t>Our Fifth Amended and Restated By-laws (our “By-laws”) provide that our Chairman or, in the absence of our Chairman, our Lead Director (if there is a Lead Director serving at such time), or in the absence of both our Chairman and Lead Director, our CEO, calls meetings of our board of directors to order and acts as the chair for those board meetings. In the absence of our Chairman, our Lead Director (if there is a Lead Director serving at such time), and our CEO, a majority of our directors present may elect as chair of the meeting any director present. Independent directors meet at least quarterly in executive session without any management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Rohit Kapoor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Vice Chairman and CEO</w:t>
      </w:r>
    </w:p>
    <w:p>
      <w:pPr>
        <w:spacing w:after="0" w:line="169" w:lineRule="exact"/>
        <w:rPr>
          <w:sz w:val="20"/>
          <w:szCs w:val="20"/>
          <w:color w:val="auto"/>
        </w:rPr>
      </w:pPr>
    </w:p>
    <w:p>
      <w:pPr>
        <w:sectPr>
          <w:pgSz w:w="11900" w:h="16838" w:orient="portrait"/>
          <w:cols w:equalWidth="0" w:num="2">
            <w:col w:w="2580" w:space="720"/>
            <w:col w:w="7640"/>
          </w:cols>
          <w:pgMar w:left="320" w:top="473" w:right="639" w:bottom="1440" w:gutter="0" w:footer="0" w:header="0"/>
          <w:type w:val="continuous"/>
        </w:sectPr>
      </w:pPr>
    </w:p>
    <w:p>
      <w:pPr>
        <w:ind w:left="320" w:right="220"/>
        <w:spacing w:after="0" w:line="270" w:lineRule="auto"/>
        <w:rPr>
          <w:sz w:val="20"/>
          <w:szCs w:val="20"/>
          <w:color w:val="auto"/>
        </w:rPr>
      </w:pPr>
      <w:r>
        <w:rPr>
          <w:rFonts w:ascii="Arial" w:cs="Arial" w:eastAsia="Arial" w:hAnsi="Arial"/>
          <w:sz w:val="17"/>
          <w:szCs w:val="17"/>
          <w:color w:val="auto"/>
        </w:rPr>
        <w:t>directors or members of the Company’s management present. Our Corporate Governance Guidelines provide that in the absence of our Chairman, our Lead Director (if there is a Lead Director serving at such time) or, in the absence of the Lead Director, a director chosen by the directors meeting in executive session, presides at all executive sessions.</w:t>
      </w:r>
    </w:p>
    <w:p>
      <w:pPr>
        <w:spacing w:after="0" w:line="277" w:lineRule="exact"/>
        <w:rPr>
          <w:sz w:val="20"/>
          <w:szCs w:val="20"/>
          <w:color w:val="auto"/>
        </w:rPr>
      </w:pPr>
    </w:p>
    <w:p>
      <w:pPr>
        <w:ind w:left="320" w:right="20"/>
        <w:spacing w:after="0" w:line="260" w:lineRule="auto"/>
        <w:rPr>
          <w:sz w:val="20"/>
          <w:szCs w:val="20"/>
          <w:color w:val="auto"/>
        </w:rPr>
      </w:pPr>
      <w:r>
        <w:rPr>
          <w:rFonts w:ascii="Arial" w:cs="Arial" w:eastAsia="Arial" w:hAnsi="Arial"/>
          <w:sz w:val="17"/>
          <w:szCs w:val="17"/>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As a result, the Company will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287"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For the foregoing reasons, our board of directors has determined that its leadership structure is appropriate and in the best interests of our stockholders at this time.</w:t>
      </w:r>
    </w:p>
    <w:p>
      <w:pPr>
        <w:spacing w:after="0" w:line="21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33</w:t>
      </w:r>
    </w:p>
    <w:p>
      <w:pPr>
        <w:sectPr>
          <w:pgSz w:w="11900" w:h="16838" w:orient="portrait"/>
          <w:cols w:equalWidth="0" w:num="1">
            <w:col w:w="10940"/>
          </w:cols>
          <w:pgMar w:left="320" w:top="473" w:right="6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500"/>
          </w:cols>
          <w:pgMar w:left="320" w:top="473" w:right="107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Director qualifications, refreshment and evaluations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Director qualifications</w:t>
      </w:r>
    </w:p>
    <w:p>
      <w:pPr>
        <w:spacing w:after="0" w:line="130" w:lineRule="exact"/>
        <w:rPr>
          <w:sz w:val="20"/>
          <w:szCs w:val="20"/>
          <w:color w:val="auto"/>
        </w:rPr>
      </w:pPr>
    </w:p>
    <w:p>
      <w:pPr>
        <w:ind w:left="320" w:right="880"/>
        <w:spacing w:after="0" w:line="300" w:lineRule="auto"/>
        <w:rPr>
          <w:sz w:val="20"/>
          <w:szCs w:val="20"/>
          <w:color w:val="auto"/>
        </w:rPr>
      </w:pPr>
      <w:r>
        <w:rPr>
          <w:rFonts w:ascii="Arial" w:cs="Arial" w:eastAsia="Arial" w:hAnsi="Arial"/>
          <w:sz w:val="15"/>
          <w:szCs w:val="15"/>
          <w:color w:val="auto"/>
        </w:rPr>
        <w:t>The board of directors considers it paramount to achieving excellence in corporate governance to assemble a board of directors that, taken together, has the breadth of skills, qualifications, experience and attributes appropriate for functioning as the board of directors of our Company and working productively with management. The Nominating and Governance Committee of the board is responsible for recommending nominees who are qualified and bring a diverse set of skills and qualifications to oversee the Company effectively.</w:t>
      </w:r>
    </w:p>
    <w:p>
      <w:pPr>
        <w:spacing w:after="0" w:line="182" w:lineRule="exact"/>
        <w:rPr>
          <w:sz w:val="20"/>
          <w:szCs w:val="20"/>
          <w:color w:val="auto"/>
        </w:rPr>
      </w:pPr>
    </w:p>
    <w:p>
      <w:pPr>
        <w:ind w:left="320" w:right="500"/>
        <w:spacing w:after="0" w:line="298" w:lineRule="auto"/>
        <w:rPr>
          <w:sz w:val="20"/>
          <w:szCs w:val="20"/>
          <w:color w:val="auto"/>
        </w:rPr>
      </w:pPr>
      <w:r>
        <w:rPr>
          <w:rFonts w:ascii="Arial" w:cs="Arial" w:eastAsia="Arial" w:hAnsi="Arial"/>
          <w:sz w:val="15"/>
          <w:szCs w:val="15"/>
          <w:color w:val="auto"/>
        </w:rPr>
        <w:t>The Nominating and Governance Committee has not formally established any minimum qualifications for director candidates, but pursuant to our Corporate Governance Guidelines, our board of directors seeks members from diverse professional and personal backgrounds who combine a broad spectrum of experience and expertise with a reputation for integrity. The Nominating and Governance Committee assesses each director candidate’s independence, diversity (including age, ethnicity, race and gender, among others), skills and experience in the context of the needs of the board of directors. The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-231140</wp:posOffset>
            </wp:positionV>
            <wp:extent cx="2354580" cy="21640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54580" cy="2164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we look for in board nominees</w:t>
      </w:r>
    </w:p>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2"/>
          <w:szCs w:val="12"/>
          <w:color w:val="auto"/>
        </w:rPr>
        <w:t xml:space="preserve">    Strategic insight and broad business perspective</w:t>
      </w:r>
    </w:p>
    <w:p>
      <w:pPr>
        <w:spacing w:after="0" w:line="66"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 Critical and innovative thinking</w:t>
      </w:r>
    </w:p>
    <w:p>
      <w:pPr>
        <w:spacing w:after="0" w:line="61"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 High ethical standards and integrity</w:t>
      </w:r>
    </w:p>
    <w:p>
      <w:pPr>
        <w:spacing w:after="0" w:line="61"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 Mutual respect for other board members</w:t>
      </w:r>
    </w:p>
    <w:p>
      <w:pPr>
        <w:spacing w:after="0" w:line="61"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 Ability to debate constructively</w:t>
      </w:r>
    </w:p>
    <w:p>
      <w:pPr>
        <w:spacing w:after="0" w:line="61"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 Candid, assertive, open minded</w:t>
      </w:r>
    </w:p>
    <w:p>
      <w:pPr>
        <w:spacing w:after="0" w:line="61"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 Availability and commitment to serve</w:t>
      </w:r>
    </w:p>
    <w:p>
      <w:pPr>
        <w:spacing w:after="0" w:line="61" w:lineRule="exact"/>
        <w:rPr>
          <w:sz w:val="20"/>
          <w:szCs w:val="20"/>
          <w:color w:val="auto"/>
        </w:rPr>
      </w:pPr>
    </w:p>
    <w:p>
      <w:pPr>
        <w:ind w:left="340" w:right="140" w:hanging="346"/>
        <w:spacing w:after="0"/>
        <w:rPr>
          <w:sz w:val="20"/>
          <w:szCs w:val="20"/>
          <w:color w:val="auto"/>
        </w:rPr>
      </w:pPr>
      <w:r>
        <w:rPr>
          <w:sz w:val="1"/>
          <w:szCs w:val="1"/>
          <w:color w:val="auto"/>
        </w:rPr>
        <w:drawing>
          <wp:inline distT="0" distB="0" distL="0" distR="0">
            <wp:extent cx="156845" cy="990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 Commitment to accountability, excellence and continuous improvement</w:t>
      </w:r>
    </w:p>
    <w:p>
      <w:pPr>
        <w:spacing w:after="0" w:line="51" w:lineRule="exact"/>
        <w:rPr>
          <w:sz w:val="20"/>
          <w:szCs w:val="20"/>
          <w:color w:val="auto"/>
        </w:rPr>
      </w:pPr>
    </w:p>
    <w:p>
      <w:pPr>
        <w:ind w:right="60"/>
        <w:spacing w:after="0" w:line="346" w:lineRule="auto"/>
        <w:rPr>
          <w:sz w:val="20"/>
          <w:szCs w:val="20"/>
          <w:color w:val="auto"/>
        </w:rPr>
      </w:pPr>
      <w:r>
        <w:rPr>
          <w:sz w:val="1"/>
          <w:szCs w:val="1"/>
          <w:color w:val="auto"/>
        </w:rPr>
        <w:drawing>
          <wp:inline distT="0" distB="0" distL="0" distR="0">
            <wp:extent cx="156845" cy="990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color w:val="auto"/>
        </w:rPr>
        <w:t xml:space="preserve">    Commitment to driving our growth and success </w:t>
      </w:r>
      <w:r>
        <w:rPr>
          <w:sz w:val="1"/>
          <w:szCs w:val="1"/>
          <w:color w:val="auto"/>
        </w:rPr>
        <w:drawing>
          <wp:inline distT="0" distB="0" distL="0" distR="0">
            <wp:extent cx="156845" cy="990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Arial" w:cs="Arial" w:eastAsia="Arial" w:hAnsi="Arial"/>
          <w:sz w:val="14"/>
          <w:szCs w:val="14"/>
          <w:i w:val="1"/>
          <w:iCs w:val="1"/>
          <w:color w:val="auto"/>
        </w:rPr>
        <w:t xml:space="preserve">    </w:t>
      </w:r>
      <w:r>
        <w:rPr>
          <w:rFonts w:ascii="Arial" w:cs="Arial" w:eastAsia="Arial" w:hAnsi="Arial"/>
          <w:sz w:val="14"/>
          <w:szCs w:val="14"/>
          <w:color w:val="auto"/>
        </w:rPr>
        <w:t>Proven leadership skills</w:t>
      </w:r>
    </w:p>
    <w:p>
      <w:pPr>
        <w:spacing w:after="0" w:line="111" w:lineRule="exact"/>
        <w:rPr>
          <w:sz w:val="20"/>
          <w:szCs w:val="20"/>
          <w:color w:val="auto"/>
        </w:rPr>
      </w:pPr>
    </w:p>
    <w:p>
      <w:pPr>
        <w:sectPr>
          <w:pgSz w:w="11900" w:h="16838" w:orient="portrait"/>
          <w:cols w:equalWidth="0" w:num="2">
            <w:col w:w="6720" w:space="720"/>
            <w:col w:w="3060"/>
          </w:cols>
          <w:pgMar w:left="320" w:top="473" w:right="1079" w:bottom="1440" w:gutter="0" w:footer="0" w:header="0"/>
          <w:type w:val="continuous"/>
        </w:sectPr>
      </w:pPr>
    </w:p>
    <w:p>
      <w:pPr>
        <w:ind w:left="320"/>
        <w:spacing w:after="0" w:line="270" w:lineRule="auto"/>
        <w:rPr>
          <w:sz w:val="20"/>
          <w:szCs w:val="20"/>
          <w:color w:val="auto"/>
        </w:rPr>
      </w:pPr>
      <w:r>
        <w:rPr>
          <w:rFonts w:ascii="Arial" w:cs="Arial" w:eastAsia="Arial" w:hAnsi="Arial"/>
          <w:sz w:val="17"/>
          <w:szCs w:val="17"/>
          <w:color w:val="auto"/>
        </w:rPr>
        <w:t>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light of our business, the primary areas of experience, qualifications and attributes typically sought and put forward by the Nominating and</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Governance Committee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156845</wp:posOffset>
            </wp:positionV>
            <wp:extent cx="5402580" cy="19742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02580" cy="19742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Executive leadership</w:t>
      </w:r>
    </w:p>
    <w:p>
      <w:pPr>
        <w:spacing w:after="0" w:line="19" w:lineRule="exact"/>
        <w:rPr>
          <w:sz w:val="20"/>
          <w:szCs w:val="20"/>
          <w:color w:val="auto"/>
        </w:rPr>
      </w:pPr>
    </w:p>
    <w:p>
      <w:pPr>
        <w:ind w:left="1380" w:right="1880"/>
        <w:spacing w:after="0" w:line="269" w:lineRule="auto"/>
        <w:rPr>
          <w:sz w:val="20"/>
          <w:szCs w:val="20"/>
          <w:color w:val="auto"/>
        </w:rPr>
      </w:pPr>
      <w:r>
        <w:rPr>
          <w:rFonts w:ascii="Arial" w:cs="Arial" w:eastAsia="Arial" w:hAnsi="Arial"/>
          <w:sz w:val="16"/>
          <w:szCs w:val="16"/>
          <w:color w:val="auto"/>
        </w:rPr>
        <w:t>Experience holding significant leadership positions, including as a CEO or head of a significant business, to help us drive business strategy, growth and performance.</w:t>
      </w:r>
    </w:p>
    <w:p>
      <w:pPr>
        <w:spacing w:after="0" w:line="200" w:lineRule="exact"/>
        <w:rPr>
          <w:sz w:val="20"/>
          <w:szCs w:val="20"/>
          <w:color w:val="auto"/>
        </w:rPr>
      </w:pPr>
    </w:p>
    <w:p>
      <w:pPr>
        <w:spacing w:after="0" w:line="277"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Finance and accounting</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Experience with finance, accounting or financial reporting processes, to help drive financial performance.</w:t>
      </w:r>
    </w:p>
    <w:p>
      <w:pPr>
        <w:spacing w:after="0" w:line="200" w:lineRule="exact"/>
        <w:rPr>
          <w:sz w:val="20"/>
          <w:szCs w:val="20"/>
          <w:color w:val="auto"/>
        </w:rPr>
      </w:pPr>
    </w:p>
    <w:p>
      <w:pPr>
        <w:spacing w:after="0" w:line="311"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Global companies</w:t>
      </w:r>
    </w:p>
    <w:p>
      <w:pPr>
        <w:spacing w:after="0" w:line="19" w:lineRule="exact"/>
        <w:rPr>
          <w:sz w:val="20"/>
          <w:szCs w:val="20"/>
          <w:color w:val="auto"/>
        </w:rPr>
      </w:pPr>
    </w:p>
    <w:p>
      <w:pPr>
        <w:ind w:left="1380" w:right="2260"/>
        <w:spacing w:after="0" w:line="269" w:lineRule="auto"/>
        <w:rPr>
          <w:sz w:val="20"/>
          <w:szCs w:val="20"/>
          <w:color w:val="auto"/>
        </w:rPr>
      </w:pPr>
      <w:r>
        <w:rPr>
          <w:rFonts w:ascii="Arial" w:cs="Arial" w:eastAsia="Arial" w:hAnsi="Arial"/>
          <w:sz w:val="16"/>
          <w:szCs w:val="16"/>
          <w:color w:val="auto"/>
        </w:rPr>
        <w:t>Experience working outside of the United States or with multinational companies, to help facilitate our global expansion.</w:t>
      </w:r>
    </w:p>
    <w:p>
      <w:pPr>
        <w:spacing w:after="0" w:line="368"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500"/>
          </w:cols>
          <w:pgMar w:left="320" w:top="473" w:right="10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226060</wp:posOffset>
            </wp:positionV>
            <wp:extent cx="5402580" cy="61956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02580" cy="619569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Board experience</w:t>
      </w:r>
    </w:p>
    <w:p>
      <w:pPr>
        <w:spacing w:after="0" w:line="19" w:lineRule="exact"/>
        <w:rPr>
          <w:sz w:val="20"/>
          <w:szCs w:val="20"/>
          <w:color w:val="auto"/>
        </w:rPr>
      </w:pPr>
    </w:p>
    <w:p>
      <w:pPr>
        <w:ind w:left="1380" w:right="2460"/>
        <w:spacing w:after="0" w:line="269" w:lineRule="auto"/>
        <w:rPr>
          <w:sz w:val="20"/>
          <w:szCs w:val="20"/>
          <w:color w:val="auto"/>
        </w:rPr>
      </w:pPr>
      <w:r>
        <w:rPr>
          <w:rFonts w:ascii="Arial" w:cs="Arial" w:eastAsia="Arial" w:hAnsi="Arial"/>
          <w:sz w:val="16"/>
          <w:szCs w:val="16"/>
          <w:color w:val="auto"/>
        </w:rPr>
        <w:t>Understanding of public company board of director and fiduciary duties, to help provide perspective on corporate governance best practices and related matters.</w:t>
      </w:r>
    </w:p>
    <w:p>
      <w:pPr>
        <w:spacing w:after="0" w:line="399"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Digital operations and solutions</w:t>
      </w:r>
    </w:p>
    <w:p>
      <w:pPr>
        <w:spacing w:after="0" w:line="19" w:lineRule="exact"/>
        <w:rPr>
          <w:sz w:val="20"/>
          <w:szCs w:val="20"/>
          <w:color w:val="auto"/>
        </w:rPr>
      </w:pPr>
    </w:p>
    <w:p>
      <w:pPr>
        <w:ind w:left="1380" w:right="2860"/>
        <w:spacing w:after="0" w:line="269" w:lineRule="auto"/>
        <w:rPr>
          <w:sz w:val="20"/>
          <w:szCs w:val="20"/>
          <w:color w:val="auto"/>
        </w:rPr>
      </w:pPr>
      <w:r>
        <w:rPr>
          <w:rFonts w:ascii="Arial" w:cs="Arial" w:eastAsia="Arial" w:hAnsi="Arial"/>
          <w:sz w:val="16"/>
          <w:szCs w:val="16"/>
          <w:color w:val="auto"/>
        </w:rPr>
        <w:t>Experience with digital operations and solutions, artificial intelligence and machine learning, and other key technologies that are central to our business.</w:t>
      </w:r>
    </w:p>
    <w:p>
      <w:pPr>
        <w:spacing w:after="0" w:line="399"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Client and industry knowledge</w:t>
      </w:r>
    </w:p>
    <w:p>
      <w:pPr>
        <w:spacing w:after="0" w:line="19" w:lineRule="exact"/>
        <w:rPr>
          <w:sz w:val="20"/>
          <w:szCs w:val="20"/>
          <w:color w:val="auto"/>
        </w:rPr>
      </w:pPr>
    </w:p>
    <w:p>
      <w:pPr>
        <w:ind w:left="1380" w:right="2160"/>
        <w:spacing w:after="0" w:line="261" w:lineRule="auto"/>
        <w:rPr>
          <w:sz w:val="20"/>
          <w:szCs w:val="20"/>
          <w:color w:val="auto"/>
        </w:rPr>
      </w:pPr>
      <w:r>
        <w:rPr>
          <w:rFonts w:ascii="Arial" w:cs="Arial" w:eastAsia="Arial" w:hAnsi="Arial"/>
          <w:sz w:val="16"/>
          <w:szCs w:val="16"/>
          <w:color w:val="auto"/>
        </w:rPr>
        <w:t>Experience with our key client industries, including insurance, healthcare, banking and financial services, finance/accounting, and our other capabilities, to help deepen our knowledge of our key industry verticals and markets in which we do business.</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Risk oversight/management</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Experience assessing and overseeing the overall risk profile of multinational public companies.</w:t>
      </w:r>
    </w:p>
    <w:p>
      <w:pPr>
        <w:spacing w:after="0" w:line="200" w:lineRule="exact"/>
        <w:rPr>
          <w:sz w:val="20"/>
          <w:szCs w:val="20"/>
          <w:color w:val="auto"/>
        </w:rPr>
      </w:pPr>
    </w:p>
    <w:p>
      <w:pPr>
        <w:spacing w:after="0" w:line="285"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Human capital management</w:t>
      </w:r>
    </w:p>
    <w:p>
      <w:pPr>
        <w:spacing w:after="0" w:line="19" w:lineRule="exact"/>
        <w:rPr>
          <w:sz w:val="20"/>
          <w:szCs w:val="20"/>
          <w:color w:val="auto"/>
        </w:rPr>
      </w:pPr>
    </w:p>
    <w:p>
      <w:pPr>
        <w:ind w:left="1380" w:right="2220"/>
        <w:spacing w:after="0" w:line="341" w:lineRule="auto"/>
        <w:rPr>
          <w:sz w:val="20"/>
          <w:szCs w:val="20"/>
          <w:color w:val="auto"/>
        </w:rPr>
      </w:pPr>
      <w:r>
        <w:rPr>
          <w:rFonts w:ascii="Arial" w:cs="Arial" w:eastAsia="Arial" w:hAnsi="Arial"/>
          <w:sz w:val="14"/>
          <w:szCs w:val="14"/>
          <w:color w:val="auto"/>
        </w:rPr>
        <w:t>Experience in management and development of human capital, including management of a large workforce, diversity and inclusion, talent development, workplace health and safety, compensation and other human capital issues.</w:t>
      </w:r>
    </w:p>
    <w:p>
      <w:pPr>
        <w:spacing w:after="0" w:line="35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Diverse backgrounds</w:t>
      </w:r>
    </w:p>
    <w:p>
      <w:pPr>
        <w:spacing w:after="0" w:line="19" w:lineRule="exact"/>
        <w:rPr>
          <w:sz w:val="20"/>
          <w:szCs w:val="20"/>
          <w:color w:val="auto"/>
        </w:rPr>
      </w:pPr>
    </w:p>
    <w:p>
      <w:pPr>
        <w:ind w:left="1380" w:right="2540"/>
        <w:spacing w:after="0" w:line="341" w:lineRule="auto"/>
        <w:rPr>
          <w:sz w:val="20"/>
          <w:szCs w:val="20"/>
          <w:color w:val="auto"/>
        </w:rPr>
      </w:pPr>
      <w:r>
        <w:rPr>
          <w:rFonts w:ascii="Arial" w:cs="Arial" w:eastAsia="Arial" w:hAnsi="Arial"/>
          <w:sz w:val="14"/>
          <w:szCs w:val="14"/>
          <w:color w:val="auto"/>
        </w:rPr>
        <w:t>We seek directors with diverse professional and personal backgrounds and perspectives to promote the values of diversity and inclusion from the top and to provide perspective from varying viewpoints.</w:t>
      </w:r>
    </w:p>
    <w:p>
      <w:pPr>
        <w:spacing w:after="0" w:line="35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Experience in ESG matters</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Experience in managing ESG matters, incorporating them into business and strategy and associated risks.</w:t>
      </w:r>
    </w:p>
    <w:p>
      <w:pPr>
        <w:spacing w:after="0" w:line="200" w:lineRule="exact"/>
        <w:rPr>
          <w:sz w:val="20"/>
          <w:szCs w:val="20"/>
          <w:color w:val="auto"/>
        </w:rPr>
      </w:pP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Information and cybersecurity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Experience in information and cybersecurity matters, best practices and associated risks.</w:t>
      </w:r>
    </w:p>
    <w:p>
      <w:pPr>
        <w:spacing w:after="0" w:line="200" w:lineRule="exact"/>
        <w:rPr>
          <w:sz w:val="20"/>
          <w:szCs w:val="20"/>
          <w:color w:val="auto"/>
        </w:rPr>
      </w:pPr>
    </w:p>
    <w:p>
      <w:pPr>
        <w:spacing w:after="0" w:line="363"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Mergers and acquisitions</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Experience in mergers and acquisitions as a component of business development and strategy.</w:t>
      </w:r>
    </w:p>
    <w:p>
      <w:pPr>
        <w:spacing w:after="0" w:line="200" w:lineRule="exact"/>
        <w:rPr>
          <w:sz w:val="20"/>
          <w:szCs w:val="20"/>
          <w:color w:val="auto"/>
        </w:rPr>
      </w:pPr>
    </w:p>
    <w:p>
      <w:pPr>
        <w:spacing w:after="0" w:line="337"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Marketing</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Experience in marketing and branding of multinational companies.</w:t>
      </w:r>
    </w:p>
    <w:p>
      <w:pPr>
        <w:spacing w:after="0" w:line="200" w:lineRule="exact"/>
        <w:rPr>
          <w:sz w:val="20"/>
          <w:szCs w:val="20"/>
          <w:color w:val="auto"/>
        </w:rPr>
      </w:pPr>
    </w:p>
    <w:p>
      <w:pPr>
        <w:spacing w:after="0" w:line="345"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35</w:t>
      </w:r>
    </w:p>
    <w:p>
      <w:pPr>
        <w:sectPr>
          <w:pgSz w:w="11900" w:h="16838" w:orient="portrait"/>
          <w:cols w:equalWidth="0" w:num="1">
            <w:col w:w="10940"/>
          </w:cols>
          <w:pgMar w:left="320" w:top="473" w:right="6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Refreshment</w:t>
      </w:r>
    </w:p>
    <w:p>
      <w:pPr>
        <w:spacing w:after="0" w:line="247" w:lineRule="exact"/>
        <w:rPr>
          <w:sz w:val="20"/>
          <w:szCs w:val="20"/>
          <w:color w:val="auto"/>
        </w:rPr>
      </w:pPr>
    </w:p>
    <w:p>
      <w:pPr>
        <w:ind w:left="320" w:right="160"/>
        <w:spacing w:after="0" w:line="295" w:lineRule="auto"/>
        <w:rPr>
          <w:sz w:val="20"/>
          <w:szCs w:val="20"/>
          <w:color w:val="auto"/>
        </w:rPr>
      </w:pPr>
      <w:r>
        <w:rPr>
          <w:rFonts w:ascii="Arial" w:cs="Arial" w:eastAsia="Arial" w:hAnsi="Arial"/>
          <w:sz w:val="16"/>
          <w:szCs w:val="16"/>
          <w:color w:val="auto"/>
        </w:rPr>
        <w:t>Our Nominating and Governance Committee regularly considers the size and composition of our board (and its committees) on a continual basis with an aim toward creating a balanced board with extensive experience and institutional knowledge, and fresh perspective and insight.</w:t>
      </w:r>
    </w:p>
    <w:p>
      <w:pPr>
        <w:spacing w:after="0" w:line="310" w:lineRule="exact"/>
        <w:rPr>
          <w:sz w:val="20"/>
          <w:szCs w:val="20"/>
          <w:color w:val="auto"/>
        </w:rPr>
      </w:pPr>
    </w:p>
    <w:p>
      <w:pPr>
        <w:ind w:left="320" w:right="160"/>
        <w:spacing w:after="0" w:line="261" w:lineRule="auto"/>
        <w:rPr>
          <w:sz w:val="20"/>
          <w:szCs w:val="20"/>
          <w:color w:val="auto"/>
        </w:rPr>
      </w:pPr>
      <w:r>
        <w:rPr>
          <w:rFonts w:ascii="Arial" w:cs="Arial" w:eastAsia="Arial" w:hAnsi="Arial"/>
          <w:sz w:val="17"/>
          <w:szCs w:val="17"/>
          <w:color w:val="auto"/>
        </w:rPr>
        <w:t>Considerations include whether the composition of the board of directors (and its committees) includes sufficient diversity and independent skill sets and background as appropriate for our immediate and long-term strategic needs. These considerations are also informed by discussions with our investors through stockholder engagement. In terms of diversity, our board, following the Annual Meeting will be 29% diverse in terms of gender and 57% diverse in terms of ethnic/racial diversity.</w:t>
      </w:r>
    </w:p>
    <w:p>
      <w:pPr>
        <w:spacing w:after="0" w:line="338"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In considering board composition, our Nominating and Governance Committee also considers the length of tenure of the directors as a whole. Following the Annual Meeting (assuming the election of all nominees), we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407035</wp:posOffset>
            </wp:positionV>
            <wp:extent cx="4064000" cy="916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64000"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FB4E0B"/>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173355</wp:posOffset>
            </wp:positionV>
            <wp:extent cx="2147570" cy="16275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47570" cy="1627505"/>
                    </a:xfrm>
                    <a:prstGeom prst="rect">
                      <a:avLst/>
                    </a:prstGeom>
                    <a:noFill/>
                  </pic:spPr>
                </pic:pic>
              </a:graphicData>
            </a:graphic>
          </wp:anchor>
        </w:drawing>
      </w:r>
    </w:p>
    <w:p>
      <w:pPr>
        <w:spacing w:after="0" w:line="295"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4"/>
          <w:szCs w:val="14"/>
          <w:b w:val="1"/>
          <w:bCs w:val="1"/>
          <w:color w:val="FFFFFF"/>
        </w:rPr>
        <w:t>ADDITIONS</w:t>
      </w:r>
      <w:r>
        <w:rPr>
          <w:sz w:val="20"/>
          <w:szCs w:val="20"/>
          <w:color w:val="auto"/>
        </w:rPr>
        <w:tab/>
      </w:r>
      <w:r>
        <w:rPr>
          <w:rFonts w:ascii="Arial" w:cs="Arial" w:eastAsia="Arial" w:hAnsi="Arial"/>
          <w:sz w:val="14"/>
          <w:szCs w:val="14"/>
          <w:b w:val="1"/>
          <w:bCs w:val="1"/>
          <w:color w:val="FFFFFF"/>
        </w:rPr>
        <w:t>EXITS</w:t>
      </w:r>
    </w:p>
    <w:p>
      <w:pPr>
        <w:spacing w:after="0" w:line="200" w:lineRule="exact"/>
        <w:rPr>
          <w:sz w:val="20"/>
          <w:szCs w:val="20"/>
          <w:color w:val="auto"/>
        </w:rPr>
      </w:pPr>
    </w:p>
    <w:p>
      <w:pPr>
        <w:spacing w:after="0" w:line="276" w:lineRule="exact"/>
        <w:rPr>
          <w:sz w:val="20"/>
          <w:szCs w:val="20"/>
          <w:color w:val="auto"/>
        </w:rPr>
      </w:pPr>
    </w:p>
    <w:p>
      <w:pPr>
        <w:ind w:left="280"/>
        <w:spacing w:after="0"/>
        <w:tabs>
          <w:tab w:leader="none" w:pos="19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FB4E0B"/>
        </w:rPr>
        <w:t>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Pr>
          <w:p>
            <w:pPr>
              <w:spacing w:after="0"/>
              <w:rPr>
                <w:sz w:val="20"/>
                <w:szCs w:val="20"/>
                <w:color w:val="auto"/>
              </w:rPr>
            </w:pPr>
            <w:r>
              <w:rPr>
                <w:rFonts w:ascii="Arial" w:cs="Arial" w:eastAsia="Arial" w:hAnsi="Arial"/>
                <w:sz w:val="14"/>
                <w:szCs w:val="14"/>
                <w:b w:val="1"/>
                <w:bCs w:val="1"/>
                <w:color w:val="auto"/>
              </w:rPr>
              <w:t>Andreas Fibig</w:t>
            </w: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w w:val="90"/>
              </w:rPr>
              <w:t>Garen Staglin</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679"/>
        <w:spacing w:after="0"/>
        <w:rPr>
          <w:sz w:val="20"/>
          <w:szCs w:val="20"/>
          <w:color w:val="auto"/>
        </w:rPr>
      </w:pPr>
      <w:r>
        <w:rPr>
          <w:rFonts w:ascii="Arial" w:cs="Arial" w:eastAsia="Arial" w:hAnsi="Arial"/>
          <w:sz w:val="14"/>
          <w:szCs w:val="14"/>
          <w:b w:val="1"/>
          <w:bCs w:val="1"/>
          <w:color w:val="FB4E0B"/>
        </w:rPr>
        <w:t>2023</w:t>
      </w:r>
    </w:p>
    <w:p>
      <w:pPr>
        <w:spacing w:after="0" w:line="97"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Anne Minto</w:t>
      </w:r>
    </w:p>
    <w:p>
      <w:pPr>
        <w:jc w:val="right"/>
        <w:ind w:right="420"/>
        <w:spacing w:after="0"/>
        <w:rPr>
          <w:sz w:val="20"/>
          <w:szCs w:val="20"/>
          <w:color w:val="auto"/>
        </w:rPr>
      </w:pPr>
      <w:r>
        <w:rPr>
          <w:rFonts w:ascii="Arial" w:cs="Arial" w:eastAsia="Arial" w:hAnsi="Arial"/>
          <w:sz w:val="14"/>
          <w:szCs w:val="14"/>
          <w:b w:val="1"/>
          <w:bCs w:val="1"/>
          <w:color w:val="auto"/>
        </w:rPr>
        <w:t>Clyde Ostler</w:t>
      </w:r>
    </w:p>
    <w:p>
      <w:pPr>
        <w:spacing w:after="0" w:line="419" w:lineRule="exact"/>
        <w:rPr>
          <w:sz w:val="20"/>
          <w:szCs w:val="20"/>
          <w:color w:val="auto"/>
        </w:rPr>
      </w:pPr>
    </w:p>
    <w:p>
      <w:pPr>
        <w:sectPr>
          <w:pgSz w:w="11900" w:h="16838" w:orient="portrait"/>
          <w:cols w:equalWidth="0" w:num="2">
            <w:col w:w="7300" w:space="720"/>
            <w:col w:w="292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spacing w:after="0" w:line="279" w:lineRule="auto"/>
        <w:rPr>
          <w:sz w:val="20"/>
          <w:szCs w:val="20"/>
          <w:color w:val="auto"/>
        </w:rPr>
      </w:pPr>
      <w:r>
        <w:rPr>
          <w:rFonts w:ascii="Arial" w:cs="Arial" w:eastAsia="Arial" w:hAnsi="Arial"/>
          <w:sz w:val="16"/>
          <w:szCs w:val="16"/>
          <w:color w:val="auto"/>
        </w:rPr>
        <w:t>While the Company does not maintain term limits, our Corporate Governance Guidelines provide that the expectations for new directors is a maximum term of ten years. Each of our director nominees, other than our Vice Chairman and CEO, has served on the board for less than ten years as of the date of this Proxy Statement. The board actively manages board refreshment and succession planning at the board and committee level. For example, the board generally expects that each member serve on two committees, and that each committee chair serve for a maximum of five years. The board expects that over the next few years, the committee and board composition will continue to change due to rotation and retirement. The Nominating and Governance Committee will identify successors based on the goal of maintaining the board’s overall balance of experience and perspective. A recommendation regarding board (and committee) composition is shared with the full board of directors on an annual basis.</w:t>
      </w:r>
    </w:p>
    <w:p>
      <w:pPr>
        <w:spacing w:after="0" w:line="83"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4997450" cy="51962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97450" cy="519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37</w:t>
      </w:r>
    </w:p>
    <w:p>
      <w:pPr>
        <w:sectPr>
          <w:pgSz w:w="11900" w:h="16838" w:orient="portrait"/>
          <w:cols w:equalWidth="0" w:num="1">
            <w:col w:w="10940"/>
          </w:cols>
          <w:pgMar w:left="320" w:top="473" w:right="6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Committee rotation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rotate committee and committee chair assignments based on the current composition of the board. Recent rotations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172085</wp:posOffset>
            </wp:positionV>
            <wp:extent cx="4403090" cy="9994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03090" cy="99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Former director</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Board evaluations</w:t>
      </w:r>
    </w:p>
    <w:p>
      <w:pPr>
        <w:spacing w:after="0" w:line="117"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We consider the continued effectiveness of the board and its committees as critical to our long-term success and stockholder value. The board evaluates its performance and the performance of it committees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125095</wp:posOffset>
            </wp:positionV>
            <wp:extent cx="5815330" cy="3321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15330" cy="332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38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20"/>
          </w:cols>
          <w:pgMar w:left="320" w:top="473" w:right="7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Succession planning</w:t>
      </w:r>
    </w:p>
    <w:p>
      <w:pPr>
        <w:spacing w:after="0" w:line="221" w:lineRule="exact"/>
        <w:rPr>
          <w:sz w:val="20"/>
          <w:szCs w:val="20"/>
          <w:color w:val="auto"/>
        </w:rPr>
      </w:pPr>
    </w:p>
    <w:p>
      <w:pPr>
        <w:ind w:left="320" w:right="80"/>
        <w:spacing w:after="0" w:line="265" w:lineRule="auto"/>
        <w:rPr>
          <w:sz w:val="20"/>
          <w:szCs w:val="20"/>
          <w:color w:val="auto"/>
        </w:rPr>
      </w:pPr>
      <w:r>
        <w:rPr>
          <w:rFonts w:ascii="Arial" w:cs="Arial" w:eastAsia="Arial" w:hAnsi="Arial"/>
          <w:sz w:val="17"/>
          <w:szCs w:val="17"/>
          <w:color w:val="auto"/>
        </w:rPr>
        <w:t>Our board of directors is responsible for developing and annually reassessing succession plans for our CEO and other key executive officers of the Company, and preparing contingency plans for interim CEO succession in the event of an unexpected occurrence for board review. We actively plan for the succession of our executive officers (including those who are retiring or departing from the Company), and regularly consider our strong pipeline of internal and external candidates.</w:t>
      </w:r>
    </w:p>
    <w:p>
      <w:pPr>
        <w:spacing w:after="0" w:line="38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Committees</w:t>
      </w:r>
    </w:p>
    <w:p>
      <w:pPr>
        <w:spacing w:after="0" w:line="221" w:lineRule="exact"/>
        <w:rPr>
          <w:sz w:val="20"/>
          <w:szCs w:val="20"/>
          <w:color w:val="auto"/>
        </w:rPr>
      </w:pPr>
    </w:p>
    <w:p>
      <w:pPr>
        <w:ind w:left="320" w:right="140"/>
        <w:spacing w:after="0" w:line="261" w:lineRule="auto"/>
        <w:rPr>
          <w:sz w:val="20"/>
          <w:szCs w:val="20"/>
          <w:color w:val="auto"/>
        </w:rPr>
      </w:pPr>
      <w:r>
        <w:rPr>
          <w:rFonts w:ascii="Arial" w:cs="Arial" w:eastAsia="Arial" w:hAnsi="Arial"/>
          <w:sz w:val="17"/>
          <w:szCs w:val="17"/>
          <w:color w:val="auto"/>
        </w:rPr>
        <w:t>Our board of directors currently has three standing committees: the Audit Committee, the Compensation and Talent Management Committee and the Nominating and Governance Committee. As discussed above, our board of directors has determined that each member of the Audit, Compensation and Talent Management and Nominating and Governance Committees meets the independence and experience requirements of the Nasdaq Stock Market and federal securities laws. Copies of our committee charters can be found on the Investor Relations page of our website at: https://ir.exlservice.com/corporate-governance. Information on our website referred to in this Proxy Statement does not constitute a part of this Proxy Statement.</w:t>
      </w:r>
    </w:p>
    <w:p>
      <w:pPr>
        <w:spacing w:after="0" w:line="182"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The following table sets forth the current chairs and members of each standing committee of the board of directors. As an executive director, Mr. Kapoor does not serve on any board committee.</w:t>
      </w:r>
    </w:p>
    <w:p>
      <w:pPr>
        <w:spacing w:after="0" w:line="179"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760" w:type="dxa"/>
            <w:vAlign w:val="bottom"/>
          </w:tcPr>
          <w:p>
            <w:pPr>
              <w:jc w:val="center"/>
              <w:ind w:left="2693"/>
              <w:spacing w:after="0"/>
              <w:rPr>
                <w:sz w:val="20"/>
                <w:szCs w:val="20"/>
                <w:color w:val="auto"/>
              </w:rPr>
            </w:pPr>
            <w:r>
              <w:rPr>
                <w:rFonts w:ascii="Arial" w:cs="Arial" w:eastAsia="Arial" w:hAnsi="Arial"/>
                <w:sz w:val="17"/>
                <w:szCs w:val="17"/>
                <w:b w:val="1"/>
                <w:bCs w:val="1"/>
                <w:color w:val="FB4E0B"/>
                <w:w w:val="96"/>
              </w:rPr>
              <w:t>Audit</w:t>
            </w:r>
          </w:p>
        </w:tc>
        <w:tc>
          <w:tcPr>
            <w:tcW w:w="3300" w:type="dxa"/>
            <w:vAlign w:val="bottom"/>
          </w:tcPr>
          <w:p>
            <w:pPr>
              <w:jc w:val="center"/>
              <w:ind w:left="153"/>
              <w:spacing w:after="0"/>
              <w:rPr>
                <w:sz w:val="20"/>
                <w:szCs w:val="20"/>
                <w:color w:val="auto"/>
              </w:rPr>
            </w:pPr>
            <w:r>
              <w:rPr>
                <w:rFonts w:ascii="Arial" w:cs="Arial" w:eastAsia="Arial" w:hAnsi="Arial"/>
                <w:sz w:val="17"/>
                <w:szCs w:val="17"/>
                <w:b w:val="1"/>
                <w:bCs w:val="1"/>
                <w:color w:val="FB4E0B"/>
                <w:w w:val="90"/>
              </w:rPr>
              <w:t>Compensation and</w:t>
            </w:r>
          </w:p>
        </w:tc>
        <w:tc>
          <w:tcPr>
            <w:tcW w:w="2560" w:type="dxa"/>
            <w:vAlign w:val="bottom"/>
          </w:tcPr>
          <w:p>
            <w:pPr>
              <w:jc w:val="center"/>
              <w:ind w:right="33"/>
              <w:spacing w:after="0"/>
              <w:rPr>
                <w:sz w:val="20"/>
                <w:szCs w:val="20"/>
                <w:color w:val="auto"/>
              </w:rPr>
            </w:pPr>
            <w:r>
              <w:rPr>
                <w:rFonts w:ascii="Arial" w:cs="Arial" w:eastAsia="Arial" w:hAnsi="Arial"/>
                <w:sz w:val="17"/>
                <w:szCs w:val="17"/>
                <w:b w:val="1"/>
                <w:bCs w:val="1"/>
                <w:color w:val="FB4E0B"/>
                <w:w w:val="93"/>
              </w:rPr>
              <w:t>Nominating and</w:t>
            </w:r>
          </w:p>
        </w:tc>
      </w:tr>
      <w:tr>
        <w:trPr>
          <w:trHeight w:val="246"/>
        </w:trPr>
        <w:tc>
          <w:tcPr>
            <w:tcW w:w="4760" w:type="dxa"/>
            <w:vAlign w:val="bottom"/>
            <w:tcBorders>
              <w:bottom w:val="single" w:sz="8" w:color="FB4E0B"/>
            </w:tcBorders>
          </w:tcPr>
          <w:p>
            <w:pPr>
              <w:jc w:val="center"/>
              <w:ind w:left="2693"/>
              <w:spacing w:after="0"/>
              <w:rPr>
                <w:sz w:val="20"/>
                <w:szCs w:val="20"/>
                <w:color w:val="auto"/>
              </w:rPr>
            </w:pPr>
            <w:r>
              <w:rPr>
                <w:rFonts w:ascii="Arial" w:cs="Arial" w:eastAsia="Arial" w:hAnsi="Arial"/>
                <w:sz w:val="17"/>
                <w:szCs w:val="17"/>
                <w:b w:val="1"/>
                <w:bCs w:val="1"/>
                <w:color w:val="FB4E0B"/>
                <w:w w:val="93"/>
              </w:rPr>
              <w:t>Committee</w:t>
            </w:r>
          </w:p>
        </w:tc>
        <w:tc>
          <w:tcPr>
            <w:tcW w:w="3300" w:type="dxa"/>
            <w:vAlign w:val="bottom"/>
            <w:tcBorders>
              <w:bottom w:val="single" w:sz="8" w:color="FB4E0B"/>
            </w:tcBorders>
          </w:tcPr>
          <w:p>
            <w:pPr>
              <w:jc w:val="center"/>
              <w:ind w:left="153"/>
              <w:spacing w:after="0"/>
              <w:rPr>
                <w:sz w:val="20"/>
                <w:szCs w:val="20"/>
                <w:color w:val="auto"/>
              </w:rPr>
            </w:pPr>
            <w:r>
              <w:rPr>
                <w:rFonts w:ascii="Arial" w:cs="Arial" w:eastAsia="Arial" w:hAnsi="Arial"/>
                <w:sz w:val="17"/>
                <w:szCs w:val="17"/>
                <w:b w:val="1"/>
                <w:bCs w:val="1"/>
                <w:color w:val="FB4E0B"/>
                <w:w w:val="93"/>
              </w:rPr>
              <w:t>Talent Management Committee</w:t>
            </w:r>
          </w:p>
        </w:tc>
        <w:tc>
          <w:tcPr>
            <w:tcW w:w="2560" w:type="dxa"/>
            <w:vAlign w:val="bottom"/>
            <w:tcBorders>
              <w:bottom w:val="single" w:sz="8" w:color="FB4E0B"/>
            </w:tcBorders>
          </w:tcPr>
          <w:p>
            <w:pPr>
              <w:jc w:val="center"/>
              <w:ind w:right="33"/>
              <w:spacing w:after="0"/>
              <w:rPr>
                <w:sz w:val="20"/>
                <w:szCs w:val="20"/>
                <w:color w:val="auto"/>
              </w:rPr>
            </w:pPr>
            <w:r>
              <w:rPr>
                <w:rFonts w:ascii="Arial" w:cs="Arial" w:eastAsia="Arial" w:hAnsi="Arial"/>
                <w:sz w:val="17"/>
                <w:szCs w:val="17"/>
                <w:b w:val="1"/>
                <w:bCs w:val="1"/>
                <w:color w:val="FB4E0B"/>
                <w:w w:val="92"/>
              </w:rPr>
              <w:t>Governance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6740525" cy="2973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40525" cy="2973705"/>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Kristy Pipes</w:t>
      </w:r>
      <w:r>
        <w:rPr>
          <w:rFonts w:ascii="Arial" w:cs="Arial" w:eastAsia="Arial" w:hAnsi="Arial"/>
          <w:sz w:val="17"/>
          <w:szCs w:val="17"/>
          <w:b w:val="1"/>
          <w:bCs w:val="1"/>
          <w:color w:val="FB4E0B"/>
        </w:rPr>
        <w:t>*</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Andreas Fibig</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Clyde Ostler*</w:t>
      </w:r>
      <w:r>
        <w:rPr>
          <w:rFonts w:ascii="Arial" w:cs="Arial" w:eastAsia="Arial" w:hAnsi="Arial"/>
          <w:sz w:val="17"/>
          <w:szCs w:val="17"/>
          <w:b w:val="1"/>
          <w:bCs w:val="1"/>
          <w:color w:val="FB4E0B"/>
        </w:rPr>
        <w:t>*</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Nitin Sahney</w:t>
      </w:r>
      <w:r>
        <w:rPr>
          <w:rFonts w:ascii="Arial" w:cs="Arial" w:eastAsia="Arial" w:hAnsi="Arial"/>
          <w:sz w:val="17"/>
          <w:szCs w:val="17"/>
          <w:b w:val="1"/>
          <w:bCs w:val="1"/>
          <w:color w:val="FB4E0B"/>
        </w:rPr>
        <w:t>*</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Jaynie Studenmund</w:t>
      </w:r>
      <w:r>
        <w:rPr>
          <w:rFonts w:ascii="Arial" w:cs="Arial" w:eastAsia="Arial" w:hAnsi="Arial"/>
          <w:sz w:val="17"/>
          <w:szCs w:val="17"/>
          <w:b w:val="1"/>
          <w:bCs w:val="1"/>
          <w:color w:val="FB4E0B"/>
        </w:rPr>
        <w:t>*</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Vikram Pandit </w:t>
      </w:r>
      <w:r>
        <w:rPr>
          <w:rFonts w:ascii="Arial" w:cs="Arial" w:eastAsia="Arial" w:hAnsi="Arial"/>
          <w:sz w:val="17"/>
          <w:szCs w:val="17"/>
          <w:b w:val="1"/>
          <w:bCs w:val="1"/>
          <w:color w:val="FB4E0B"/>
        </w:rPr>
        <w:t>(Chairman)</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Anne Minto*</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Som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247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40525" cy="24765"/>
                    </a:xfrm>
                    <a:prstGeom prst="rect">
                      <a:avLst/>
                    </a:prstGeom>
                    <a:noFill/>
                  </pic:spPr>
                </pic:pic>
              </a:graphicData>
            </a:graphic>
          </wp:anchor>
        </w:drawing>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86"/>
        </w:trPr>
        <w:tc>
          <w:tcPr>
            <w:tcW w:w="2140" w:type="dxa"/>
            <w:vAlign w:val="bottom"/>
          </w:tcPr>
          <w:p>
            <w:pPr>
              <w:ind w:left="540"/>
              <w:spacing w:after="0"/>
              <w:rPr>
                <w:sz w:val="20"/>
                <w:szCs w:val="20"/>
                <w:color w:val="auto"/>
              </w:rPr>
            </w:pPr>
            <w:r>
              <w:rPr>
                <w:rFonts w:ascii="Arial" w:cs="Arial" w:eastAsia="Arial" w:hAnsi="Arial"/>
                <w:sz w:val="17"/>
                <w:szCs w:val="17"/>
                <w:b w:val="1"/>
                <w:bCs w:val="1"/>
                <w:color w:val="auto"/>
              </w:rPr>
              <w:t>Chair</w:t>
            </w:r>
          </w:p>
        </w:tc>
        <w:tc>
          <w:tcPr>
            <w:tcW w:w="540" w:type="dxa"/>
            <w:vAlign w:val="bottom"/>
            <w:shd w:val="clear" w:color="auto" w:fill="7F7F7F"/>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7"/>
                <w:szCs w:val="17"/>
                <w:b w:val="1"/>
                <w:bCs w:val="1"/>
                <w:color w:val="auto"/>
                <w:w w:val="95"/>
              </w:rPr>
              <w:t>Member</w:t>
            </w:r>
          </w:p>
        </w:tc>
        <w:tc>
          <w:tcPr>
            <w:tcW w:w="0" w:type="dxa"/>
            <w:vAlign w:val="bottom"/>
          </w:tcPr>
          <w:p>
            <w:pPr>
              <w:spacing w:after="0"/>
              <w:rPr>
                <w:sz w:val="1"/>
                <w:szCs w:val="1"/>
                <w:color w:val="auto"/>
              </w:rPr>
            </w:pPr>
          </w:p>
        </w:tc>
      </w:tr>
      <w:tr>
        <w:trPr>
          <w:trHeight w:val="104"/>
        </w:trPr>
        <w:tc>
          <w:tcPr>
            <w:tcW w:w="2140" w:type="dxa"/>
            <w:vAlign w:val="bottom"/>
            <w:vMerge w:val="restart"/>
          </w:tcPr>
          <w:p>
            <w:pPr>
              <w:spacing w:after="0"/>
              <w:rPr>
                <w:sz w:val="20"/>
                <w:szCs w:val="20"/>
                <w:color w:val="auto"/>
              </w:rPr>
            </w:pPr>
            <w:r>
              <w:rPr>
                <w:rFonts w:ascii="Arial" w:cs="Arial" w:eastAsia="Arial" w:hAnsi="Arial"/>
                <w:sz w:val="14"/>
                <w:szCs w:val="14"/>
                <w:color w:val="auto"/>
              </w:rPr>
              <w:t>*Not standing for re-election</w:t>
            </w:r>
          </w:p>
        </w:tc>
        <w:tc>
          <w:tcPr>
            <w:tcW w:w="540" w:type="dxa"/>
            <w:vAlign w:val="bottom"/>
            <w:shd w:val="clear" w:color="auto" w:fill="7F7F7F"/>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1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spacing w:after="0"/>
              <w:rPr>
                <w:sz w:val="20"/>
                <w:szCs w:val="20"/>
                <w:color w:val="auto"/>
              </w:rPr>
            </w:pPr>
            <w:r>
              <w:rPr>
                <w:rFonts w:ascii="Arial" w:cs="Arial" w:eastAsia="Arial" w:hAnsi="Arial"/>
                <w:sz w:val="14"/>
                <w:szCs w:val="14"/>
                <w:color w:val="FB4E0B"/>
                <w:w w:val="99"/>
              </w:rPr>
              <w:t>*</w:t>
            </w:r>
            <w:r>
              <w:rPr>
                <w:rFonts w:ascii="Arial" w:cs="Arial" w:eastAsia="Arial" w:hAnsi="Arial"/>
                <w:sz w:val="14"/>
                <w:szCs w:val="14"/>
                <w:color w:val="000000"/>
                <w:w w:val="99"/>
              </w:rPr>
              <w:t>Audit Committee Financial Expert</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-504190</wp:posOffset>
            </wp:positionV>
            <wp:extent cx="255905" cy="2476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5905" cy="247650"/>
                    </a:xfrm>
                    <a:prstGeom prst="rect">
                      <a:avLst/>
                    </a:prstGeom>
                    <a:noFill/>
                  </pic:spPr>
                </pic:pic>
              </a:graphicData>
            </a:graphic>
          </wp:anchor>
        </w:drawing>
      </w:r>
    </w:p>
    <w:p>
      <w:pPr>
        <w:spacing w:after="0" w:line="220"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39</w:t>
      </w:r>
    </w:p>
    <w:p>
      <w:pPr>
        <w:sectPr>
          <w:pgSz w:w="11900" w:h="16838" w:orient="portrait"/>
          <w:cols w:equalWidth="0" w:num="1">
            <w:col w:w="10940"/>
          </w:cols>
          <w:pgMar w:left="320" w:top="473" w:right="6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Audit Committee</w:t>
      </w:r>
    </w:p>
    <w:p>
      <w:pPr>
        <w:spacing w:after="0" w:line="117" w:lineRule="exact"/>
        <w:rPr>
          <w:sz w:val="20"/>
          <w:szCs w:val="20"/>
          <w:color w:val="auto"/>
        </w:rPr>
      </w:pPr>
    </w:p>
    <w:p>
      <w:pPr>
        <w:ind w:left="320" w:right="180"/>
        <w:spacing w:after="0" w:line="299" w:lineRule="auto"/>
        <w:rPr>
          <w:sz w:val="20"/>
          <w:szCs w:val="20"/>
          <w:color w:val="auto"/>
        </w:rPr>
      </w:pPr>
      <w:r>
        <w:rPr>
          <w:rFonts w:ascii="Arial" w:cs="Arial" w:eastAsia="Arial" w:hAnsi="Arial"/>
          <w:sz w:val="15"/>
          <w:szCs w:val="15"/>
          <w:color w:val="auto"/>
        </w:rPr>
        <w:t>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cybersecurity program and cyber strategy-related risks; business continuity and disaster recovery planning; and ESG-related disclosure, processes and controls. Our Audit Committee’s risk oversight is discussed below beginning on page 43. Our Audit Committee charter permits the committee to form and delegate authority to subcommittees when appropriate, provided that the subcommittees are composed entirely of directors who satisfy the applicable requirement of federal securities laws as well as independence requirements of the Nasdaq Stock Market.</w:t>
      </w:r>
    </w:p>
    <w:p>
      <w:pPr>
        <w:sectPr>
          <w:pgSz w:w="11900" w:h="16838" w:orient="portrait"/>
          <w:cols w:equalWidth="0" w:num="1">
            <w:col w:w="10940"/>
          </w:cols>
          <w:pgMar w:left="320" w:top="473" w:right="639" w:bottom="1440" w:gutter="0" w:footer="0" w:header="0"/>
        </w:sectPr>
      </w:pPr>
    </w:p>
    <w:p>
      <w:pPr>
        <w:spacing w:after="0" w:line="349" w:lineRule="exact"/>
        <w:rPr>
          <w:sz w:val="20"/>
          <w:szCs w:val="20"/>
          <w:color w:val="auto"/>
        </w:rPr>
      </w:pPr>
    </w:p>
    <w:p>
      <w:pPr>
        <w:ind w:left="320"/>
        <w:spacing w:after="0" w:line="275" w:lineRule="auto"/>
        <w:rPr>
          <w:sz w:val="20"/>
          <w:szCs w:val="20"/>
          <w:color w:val="auto"/>
        </w:rPr>
      </w:pPr>
      <w:r>
        <w:rPr>
          <w:rFonts w:ascii="Arial" w:cs="Arial" w:eastAsia="Arial" w:hAnsi="Arial"/>
          <w:sz w:val="16"/>
          <w:szCs w:val="16"/>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cybersecurity program and cyber strategy-related risks. The Audit Committee was established in accordance with Section 3(a)(58)(A) of the Securities Exchange Act of 1934 (the “Exchange Act”). Our Audit Committee annually reviews and assesses the adequacy of the Audit Committee charter and its own performance.</w:t>
      </w:r>
    </w:p>
    <w:p>
      <w:pPr>
        <w:spacing w:after="0" w:line="280" w:lineRule="exact"/>
        <w:rPr>
          <w:sz w:val="20"/>
          <w:szCs w:val="20"/>
          <w:color w:val="auto"/>
        </w:rPr>
      </w:pPr>
    </w:p>
    <w:p>
      <w:pPr>
        <w:ind w:left="320" w:right="260"/>
        <w:spacing w:after="0" w:line="295"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must also be recommended by our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40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FFFFFF"/>
        </w:rPr>
        <w:t>Audit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-202565</wp:posOffset>
            </wp:positionV>
            <wp:extent cx="3296285" cy="1437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96285" cy="1437640"/>
                    </a:xfrm>
                    <a:prstGeom prst="rect">
                      <a:avLst/>
                    </a:prstGeom>
                    <a:noFill/>
                  </pic:spPr>
                </pic:pic>
              </a:graphicData>
            </a:graphic>
          </wp:anchor>
        </w:drawing>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Kristy Pipes, Chair*</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Andreas Fibig</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Clyde Ostler*</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Nitin Sahney*</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Jaynie Studenmund*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540" w:type="dxa"/>
            <w:vAlign w:val="bottom"/>
            <w:shd w:val="clear" w:color="auto" w:fill="D8D8D8"/>
          </w:tcPr>
          <w:p>
            <w:pPr>
              <w:ind w:left="400"/>
              <w:spacing w:after="0"/>
              <w:rPr>
                <w:sz w:val="20"/>
                <w:szCs w:val="20"/>
                <w:color w:val="auto"/>
              </w:rPr>
            </w:pPr>
            <w:r>
              <w:rPr>
                <w:rFonts w:ascii="Arial" w:cs="Arial" w:eastAsia="Arial" w:hAnsi="Arial"/>
                <w:sz w:val="12"/>
                <w:szCs w:val="12"/>
                <w:color w:val="auto"/>
                <w:w w:val="73"/>
              </w:rPr>
              <w:t>• </w:t>
            </w:r>
          </w:p>
        </w:tc>
        <w:tc>
          <w:tcPr>
            <w:tcW w:w="466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Accounting and financial reporting processes</w:t>
            </w:r>
          </w:p>
        </w:tc>
      </w:tr>
      <w:tr>
        <w:trPr>
          <w:trHeight w:val="308"/>
        </w:trPr>
        <w:tc>
          <w:tcPr>
            <w:tcW w:w="540" w:type="dxa"/>
            <w:vAlign w:val="bottom"/>
            <w:shd w:val="clear" w:color="auto" w:fill="D8D8D8"/>
          </w:tcPr>
          <w:p>
            <w:pPr>
              <w:ind w:left="400"/>
              <w:spacing w:after="0"/>
              <w:rPr>
                <w:sz w:val="20"/>
                <w:szCs w:val="20"/>
                <w:color w:val="auto"/>
              </w:rPr>
            </w:pPr>
            <w:r>
              <w:rPr>
                <w:rFonts w:ascii="Arial" w:cs="Arial" w:eastAsia="Arial" w:hAnsi="Arial"/>
                <w:sz w:val="12"/>
                <w:szCs w:val="12"/>
                <w:color w:val="auto"/>
                <w:w w:val="73"/>
              </w:rPr>
              <w:t>• </w:t>
            </w:r>
          </w:p>
        </w:tc>
        <w:tc>
          <w:tcPr>
            <w:tcW w:w="4660" w:type="dxa"/>
            <w:vAlign w:val="bottom"/>
            <w:shd w:val="clear" w:color="auto" w:fill="D8D8D8"/>
          </w:tcPr>
          <w:p>
            <w:pPr>
              <w:ind w:left="60"/>
              <w:spacing w:after="0"/>
              <w:rPr>
                <w:sz w:val="20"/>
                <w:szCs w:val="20"/>
                <w:color w:val="auto"/>
              </w:rPr>
            </w:pPr>
            <w:r>
              <w:rPr>
                <w:rFonts w:ascii="Arial" w:cs="Arial" w:eastAsia="Arial" w:hAnsi="Arial"/>
                <w:sz w:val="16"/>
                <w:szCs w:val="16"/>
                <w:color w:val="auto"/>
                <w:w w:val="92"/>
              </w:rPr>
              <w:t>  Our independent registered public accounting firm’s appointment and</w:t>
            </w:r>
          </w:p>
        </w:tc>
      </w:tr>
      <w:tr>
        <w:trPr>
          <w:trHeight w:val="199"/>
        </w:trPr>
        <w:tc>
          <w:tcPr>
            <w:tcW w:w="540" w:type="dxa"/>
            <w:vAlign w:val="bottom"/>
            <w:shd w:val="clear" w:color="auto" w:fill="D8D8D8"/>
          </w:tcPr>
          <w:p>
            <w:pPr>
              <w:spacing w:after="0"/>
              <w:rPr>
                <w:sz w:val="17"/>
                <w:szCs w:val="17"/>
                <w:color w:val="auto"/>
              </w:rPr>
            </w:pPr>
          </w:p>
        </w:tc>
        <w:tc>
          <w:tcPr>
            <w:tcW w:w="46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independence</w:t>
            </w:r>
          </w:p>
        </w:tc>
      </w:tr>
      <w:tr>
        <w:trPr>
          <w:trHeight w:val="312"/>
        </w:trPr>
        <w:tc>
          <w:tcPr>
            <w:tcW w:w="540" w:type="dxa"/>
            <w:vAlign w:val="bottom"/>
            <w:shd w:val="clear" w:color="auto" w:fill="D8D8D8"/>
          </w:tcPr>
          <w:p>
            <w:pPr>
              <w:ind w:left="400"/>
              <w:spacing w:after="0"/>
              <w:rPr>
                <w:sz w:val="20"/>
                <w:szCs w:val="20"/>
                <w:color w:val="auto"/>
              </w:rPr>
            </w:pPr>
            <w:r>
              <w:rPr>
                <w:rFonts w:ascii="Arial" w:cs="Arial" w:eastAsia="Arial" w:hAnsi="Arial"/>
                <w:sz w:val="12"/>
                <w:szCs w:val="12"/>
                <w:color w:val="auto"/>
                <w:w w:val="73"/>
              </w:rPr>
              <w:t>• </w:t>
            </w:r>
          </w:p>
        </w:tc>
        <w:tc>
          <w:tcPr>
            <w:tcW w:w="4660" w:type="dxa"/>
            <w:vAlign w:val="bottom"/>
            <w:shd w:val="clear" w:color="auto" w:fill="D8D8D8"/>
          </w:tcPr>
          <w:p>
            <w:pPr>
              <w:ind w:left="60"/>
              <w:spacing w:after="0"/>
              <w:rPr>
                <w:sz w:val="20"/>
                <w:szCs w:val="20"/>
                <w:color w:val="auto"/>
              </w:rPr>
            </w:pPr>
            <w:r>
              <w:rPr>
                <w:rFonts w:ascii="Arial" w:cs="Arial" w:eastAsia="Arial" w:hAnsi="Arial"/>
                <w:sz w:val="16"/>
                <w:szCs w:val="16"/>
                <w:color w:val="auto"/>
              </w:rPr>
              <w:t>  The audit of our financial statements and internal audit function</w:t>
            </w:r>
          </w:p>
        </w:tc>
      </w:tr>
      <w:tr>
        <w:trPr>
          <w:trHeight w:val="308"/>
        </w:trPr>
        <w:tc>
          <w:tcPr>
            <w:tcW w:w="540" w:type="dxa"/>
            <w:vAlign w:val="bottom"/>
            <w:shd w:val="clear" w:color="auto" w:fill="D8D8D8"/>
          </w:tcPr>
          <w:p>
            <w:pPr>
              <w:ind w:left="400"/>
              <w:spacing w:after="0"/>
              <w:rPr>
                <w:sz w:val="20"/>
                <w:szCs w:val="20"/>
                <w:color w:val="auto"/>
              </w:rPr>
            </w:pPr>
            <w:r>
              <w:rPr>
                <w:rFonts w:ascii="Arial" w:cs="Arial" w:eastAsia="Arial" w:hAnsi="Arial"/>
                <w:sz w:val="12"/>
                <w:szCs w:val="12"/>
                <w:color w:val="auto"/>
                <w:w w:val="73"/>
              </w:rPr>
              <w:t>• </w:t>
            </w:r>
          </w:p>
        </w:tc>
        <w:tc>
          <w:tcPr>
            <w:tcW w:w="4660" w:type="dxa"/>
            <w:vAlign w:val="bottom"/>
            <w:shd w:val="clear" w:color="auto" w:fill="D8D8D8"/>
          </w:tcPr>
          <w:p>
            <w:pPr>
              <w:ind w:left="60"/>
              <w:spacing w:after="0"/>
              <w:rPr>
                <w:sz w:val="20"/>
                <w:szCs w:val="20"/>
                <w:color w:val="auto"/>
              </w:rPr>
            </w:pPr>
            <w:r>
              <w:rPr>
                <w:rFonts w:ascii="Arial" w:cs="Arial" w:eastAsia="Arial" w:hAnsi="Arial"/>
                <w:sz w:val="16"/>
                <w:szCs w:val="16"/>
                <w:color w:val="auto"/>
                <w:w w:val="92"/>
              </w:rPr>
              <w:t>  Other key areas including cybersecurity, ESG disclosures, processes</w:t>
            </w:r>
          </w:p>
        </w:tc>
      </w:tr>
      <w:tr>
        <w:trPr>
          <w:trHeight w:val="195"/>
        </w:trPr>
        <w:tc>
          <w:tcPr>
            <w:tcW w:w="540" w:type="dxa"/>
            <w:vAlign w:val="bottom"/>
            <w:shd w:val="clear" w:color="auto" w:fill="D8D8D8"/>
          </w:tcPr>
          <w:p>
            <w:pPr>
              <w:spacing w:after="0"/>
              <w:rPr>
                <w:sz w:val="16"/>
                <w:szCs w:val="16"/>
                <w:color w:val="auto"/>
              </w:rPr>
            </w:pPr>
          </w:p>
        </w:tc>
        <w:tc>
          <w:tcPr>
            <w:tcW w:w="4660" w:type="dxa"/>
            <w:vAlign w:val="bottom"/>
            <w:shd w:val="clear" w:color="auto" w:fill="D8D8D8"/>
          </w:tcPr>
          <w:p>
            <w:pPr>
              <w:ind w:left="160"/>
              <w:spacing w:after="0"/>
              <w:rPr>
                <w:sz w:val="20"/>
                <w:szCs w:val="20"/>
                <w:color w:val="auto"/>
              </w:rPr>
            </w:pPr>
            <w:r>
              <w:rPr>
                <w:rFonts w:ascii="Arial" w:cs="Arial" w:eastAsia="Arial" w:hAnsi="Arial"/>
                <w:sz w:val="16"/>
                <w:szCs w:val="16"/>
                <w:color w:val="auto"/>
                <w:w w:val="97"/>
              </w:rPr>
              <w:t>and controls, litigation, business continuity and disaster recovery,</w:t>
            </w:r>
          </w:p>
        </w:tc>
      </w:tr>
      <w:tr>
        <w:trPr>
          <w:trHeight w:val="199"/>
        </w:trPr>
        <w:tc>
          <w:tcPr>
            <w:tcW w:w="540" w:type="dxa"/>
            <w:vAlign w:val="bottom"/>
            <w:shd w:val="clear" w:color="auto" w:fill="D8D8D8"/>
          </w:tcPr>
          <w:p>
            <w:pPr>
              <w:spacing w:after="0"/>
              <w:rPr>
                <w:sz w:val="17"/>
                <w:szCs w:val="17"/>
                <w:color w:val="auto"/>
              </w:rPr>
            </w:pPr>
          </w:p>
        </w:tc>
        <w:tc>
          <w:tcPr>
            <w:tcW w:w="46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compliance and regulatory enforcement matters</w:t>
            </w:r>
          </w:p>
        </w:tc>
      </w:tr>
      <w:tr>
        <w:trPr>
          <w:trHeight w:val="136"/>
        </w:trPr>
        <w:tc>
          <w:tcPr>
            <w:tcW w:w="540" w:type="dxa"/>
            <w:vAlign w:val="bottom"/>
            <w:shd w:val="clear" w:color="auto" w:fill="D8D8D8"/>
          </w:tcPr>
          <w:p>
            <w:pPr>
              <w:spacing w:after="0"/>
              <w:rPr>
                <w:sz w:val="11"/>
                <w:szCs w:val="11"/>
                <w:color w:val="auto"/>
              </w:rPr>
            </w:pPr>
          </w:p>
        </w:tc>
        <w:tc>
          <w:tcPr>
            <w:tcW w:w="4660" w:type="dxa"/>
            <w:vAlign w:val="bottom"/>
            <w:shd w:val="clear" w:color="auto" w:fill="D8D8D8"/>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296285" cy="3467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96285" cy="346710"/>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167005</wp:posOffset>
            </wp:positionV>
            <wp:extent cx="3296285" cy="255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96285" cy="255905"/>
                    </a:xfrm>
                    <a:prstGeom prst="rect">
                      <a:avLst/>
                    </a:prstGeom>
                    <a:noFill/>
                  </pic:spPr>
                </pic:pic>
              </a:graphicData>
            </a:graphic>
          </wp:anchor>
        </w:drawing>
      </w:r>
    </w:p>
    <w:p>
      <w:pPr>
        <w:spacing w:after="0" w:line="263"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FB4E0B"/>
        </w:rPr>
        <w:t>7 committee meetings in 2022</w:t>
      </w:r>
    </w:p>
    <w:p>
      <w:pPr>
        <w:sectPr>
          <w:pgSz w:w="11900" w:h="16838" w:orient="portrait"/>
          <w:cols w:equalWidth="0" w:num="2">
            <w:col w:w="5340" w:space="400"/>
            <w:col w:w="5200"/>
          </w:cols>
          <w:pgMar w:left="320" w:top="473" w:right="6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Compensation and Talent Management Committee</w:t>
      </w:r>
    </w:p>
    <w:p>
      <w:pPr>
        <w:spacing w:after="0" w:line="156" w:lineRule="exact"/>
        <w:rPr>
          <w:sz w:val="20"/>
          <w:szCs w:val="20"/>
          <w:color w:val="auto"/>
        </w:rPr>
      </w:pPr>
    </w:p>
    <w:p>
      <w:pPr>
        <w:ind w:left="320" w:right="20"/>
        <w:spacing w:after="0" w:line="395" w:lineRule="auto"/>
        <w:rPr>
          <w:sz w:val="20"/>
          <w:szCs w:val="20"/>
          <w:color w:val="auto"/>
        </w:rPr>
      </w:pPr>
      <w:r>
        <w:rPr>
          <w:rFonts w:ascii="Arial" w:cs="Arial" w:eastAsia="Arial" w:hAnsi="Arial"/>
          <w:sz w:val="15"/>
          <w:szCs w:val="15"/>
          <w:color w:val="auto"/>
        </w:rPr>
        <w:t>Our Compensation and Talent Management Committee reviews and recommends policies relating to compensation and benefits of our directors, officers and employees and is responsible for approving the compensation of our Vice Chairman and CEO and other executive officers, as well as our employee benefit policies, programs and administration. Our Compensation and Talent Management Committee reviews, evaluates and makes recommendations to our board of directors with respect to our incentive compensation plans and equity-based plans and administers the issuance of awards under our equity incentive plans. Our Compensation and Talent Management Committee also provides oversight with respect to human capital management matters, including diversity, equity and inclusion, and talent and leadership engagement, development, and training and, in 2022, changed its name from Compensation Committee to Compensation and Talent Management Committee to reflect these responsibilities. Our Compensation and Talent Management Committee charter permits the committee to form and delegate authority to subcommittees when appropriate, provided that the subcommittees are composed entirely of directors who satisfy the applicable independence requirements of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53975</wp:posOffset>
            </wp:positionV>
            <wp:extent cx="3296285" cy="3632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96285" cy="36322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112" w:lineRule="exact"/>
        <w:rPr>
          <w:sz w:val="20"/>
          <w:szCs w:val="20"/>
          <w:color w:val="auto"/>
        </w:rPr>
      </w:pPr>
    </w:p>
    <w:p>
      <w:pPr>
        <w:ind w:left="320"/>
        <w:spacing w:after="0" w:line="365" w:lineRule="auto"/>
        <w:rPr>
          <w:sz w:val="20"/>
          <w:szCs w:val="20"/>
          <w:color w:val="auto"/>
        </w:rPr>
      </w:pPr>
      <w:r>
        <w:rPr>
          <w:rFonts w:ascii="Arial" w:cs="Arial" w:eastAsia="Arial" w:hAnsi="Arial"/>
          <w:sz w:val="16"/>
          <w:szCs w:val="16"/>
          <w:color w:val="auto"/>
        </w:rPr>
        <w:t>Our Compensation and Talent Management Committee charter also permits the committee to retain advisors, consultants or other professionals to assist the Compensation and Talent Management Committee to evaluate director, Vice Chairman and CEO or other senior executive compensation and to carry out its duties. For 2022, our Compensation and Talent Management Committee retained the services of Farient Advisors LLC (“Farient”), a qualified and independent compensation consultant, to aid the Compensation and Talent Management Committee in performing its review of executive compensation including executive compensation benchmarking and peer group analysis. Our Compensation and Talent Management Committee annually reviews and assesses the adequacy of the Compensation and Talent Management Committee charter and its own performance. Additional information regarding our Compensation and Talent Management Committee’s processes and procedures for considering executive compensation are addressed in the Compensation Discussion and Analysis below.</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Compensation and Talent Management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3296285" cy="11150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96285" cy="11150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Jaynie Studenmund, Chair</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Anne Minto</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Som Mittal</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Clyde Ostler</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Vikram Pandit</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Kristy Pipes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3"/>
              </w:rPr>
              <w:t>• </w:t>
            </w:r>
          </w:p>
        </w:tc>
        <w:tc>
          <w:tcPr>
            <w:tcW w:w="4800" w:type="dxa"/>
            <w:vAlign w:val="bottom"/>
            <w:shd w:val="clear" w:color="auto" w:fill="D8D8D8"/>
          </w:tcPr>
          <w:p>
            <w:pPr>
              <w:ind w:left="40"/>
              <w:spacing w:after="0"/>
              <w:rPr>
                <w:sz w:val="20"/>
                <w:szCs w:val="20"/>
                <w:color w:val="auto"/>
              </w:rPr>
            </w:pPr>
            <w:r>
              <w:rPr>
                <w:rFonts w:ascii="Arial" w:cs="Arial" w:eastAsia="Arial" w:hAnsi="Arial"/>
                <w:sz w:val="16"/>
                <w:szCs w:val="16"/>
                <w:color w:val="auto"/>
                <w:w w:val="99"/>
              </w:rPr>
              <w:t>   Overall compensation risk management, including recommending</w:t>
            </w:r>
          </w:p>
        </w:tc>
      </w:tr>
      <w:tr>
        <w:trPr>
          <w:trHeight w:val="199"/>
        </w:trPr>
        <w:tc>
          <w:tcPr>
            <w:tcW w:w="400" w:type="dxa"/>
            <w:vAlign w:val="bottom"/>
            <w:shd w:val="clear" w:color="auto" w:fill="D8D8D8"/>
          </w:tcPr>
          <w:p>
            <w:pPr>
              <w:spacing w:after="0"/>
              <w:rPr>
                <w:sz w:val="17"/>
                <w:szCs w:val="17"/>
                <w:color w:val="auto"/>
              </w:rPr>
            </w:pPr>
          </w:p>
        </w:tc>
        <w:tc>
          <w:tcPr>
            <w:tcW w:w="4800" w:type="dxa"/>
            <w:vAlign w:val="bottom"/>
            <w:shd w:val="clear" w:color="auto" w:fill="D8D8D8"/>
          </w:tcPr>
          <w:p>
            <w:pPr>
              <w:ind w:left="160"/>
              <w:spacing w:after="0"/>
              <w:rPr>
                <w:sz w:val="20"/>
                <w:szCs w:val="20"/>
                <w:color w:val="auto"/>
              </w:rPr>
            </w:pPr>
            <w:r>
              <w:rPr>
                <w:rFonts w:ascii="Arial" w:cs="Arial" w:eastAsia="Arial" w:hAnsi="Arial"/>
                <w:sz w:val="16"/>
                <w:szCs w:val="16"/>
                <w:color w:val="auto"/>
              </w:rPr>
              <w:t>incentive compensation plans</w:t>
            </w:r>
          </w:p>
        </w:tc>
      </w:tr>
      <w:tr>
        <w:trPr>
          <w:trHeight w:val="312"/>
        </w:trPr>
        <w:tc>
          <w:tcPr>
            <w:tcW w:w="40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3"/>
              </w:rPr>
              <w:t>• </w:t>
            </w:r>
          </w:p>
        </w:tc>
        <w:tc>
          <w:tcPr>
            <w:tcW w:w="4800" w:type="dxa"/>
            <w:vAlign w:val="bottom"/>
            <w:shd w:val="clear" w:color="auto" w:fill="D8D8D8"/>
          </w:tcPr>
          <w:p>
            <w:pPr>
              <w:ind w:left="40"/>
              <w:spacing w:after="0"/>
              <w:rPr>
                <w:sz w:val="20"/>
                <w:szCs w:val="20"/>
                <w:color w:val="auto"/>
              </w:rPr>
            </w:pPr>
            <w:r>
              <w:rPr>
                <w:rFonts w:ascii="Arial" w:cs="Arial" w:eastAsia="Arial" w:hAnsi="Arial"/>
                <w:sz w:val="16"/>
                <w:szCs w:val="16"/>
                <w:color w:val="auto"/>
              </w:rPr>
              <w:t>   Retention of advisors or other compensation consultants</w:t>
            </w:r>
          </w:p>
        </w:tc>
      </w:tr>
      <w:tr>
        <w:trPr>
          <w:trHeight w:val="308"/>
        </w:trPr>
        <w:tc>
          <w:tcPr>
            <w:tcW w:w="40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3"/>
              </w:rPr>
              <w:t>• </w:t>
            </w:r>
          </w:p>
        </w:tc>
        <w:tc>
          <w:tcPr>
            <w:tcW w:w="4800" w:type="dxa"/>
            <w:vAlign w:val="bottom"/>
            <w:shd w:val="clear" w:color="auto" w:fill="D8D8D8"/>
          </w:tcPr>
          <w:p>
            <w:pPr>
              <w:ind w:left="40"/>
              <w:spacing w:after="0"/>
              <w:rPr>
                <w:sz w:val="20"/>
                <w:szCs w:val="20"/>
                <w:color w:val="auto"/>
              </w:rPr>
            </w:pPr>
            <w:r>
              <w:rPr>
                <w:rFonts w:ascii="Arial" w:cs="Arial" w:eastAsia="Arial" w:hAnsi="Arial"/>
                <w:sz w:val="16"/>
                <w:szCs w:val="16"/>
                <w:color w:val="auto"/>
                <w:w w:val="94"/>
              </w:rPr>
              <w:t>   Oversight of human capital management matters, including diversity,</w:t>
            </w:r>
          </w:p>
        </w:tc>
      </w:tr>
      <w:tr>
        <w:trPr>
          <w:trHeight w:val="199"/>
        </w:trPr>
        <w:tc>
          <w:tcPr>
            <w:tcW w:w="400" w:type="dxa"/>
            <w:vAlign w:val="bottom"/>
            <w:shd w:val="clear" w:color="auto" w:fill="D8D8D8"/>
          </w:tcPr>
          <w:p>
            <w:pPr>
              <w:spacing w:after="0"/>
              <w:rPr>
                <w:sz w:val="17"/>
                <w:szCs w:val="17"/>
                <w:color w:val="auto"/>
              </w:rPr>
            </w:pPr>
          </w:p>
        </w:tc>
        <w:tc>
          <w:tcPr>
            <w:tcW w:w="4800" w:type="dxa"/>
            <w:vAlign w:val="bottom"/>
            <w:shd w:val="clear" w:color="auto" w:fill="D8D8D8"/>
          </w:tcPr>
          <w:p>
            <w:pPr>
              <w:ind w:left="160"/>
              <w:spacing w:after="0"/>
              <w:rPr>
                <w:sz w:val="20"/>
                <w:szCs w:val="20"/>
                <w:color w:val="auto"/>
              </w:rPr>
            </w:pPr>
            <w:r>
              <w:rPr>
                <w:rFonts w:ascii="Arial" w:cs="Arial" w:eastAsia="Arial" w:hAnsi="Arial"/>
                <w:sz w:val="16"/>
                <w:szCs w:val="16"/>
                <w:color w:val="auto"/>
              </w:rPr>
              <w:t>equity and inclusion</w:t>
            </w:r>
          </w:p>
        </w:tc>
      </w:tr>
      <w:tr>
        <w:trPr>
          <w:trHeight w:val="312"/>
        </w:trPr>
        <w:tc>
          <w:tcPr>
            <w:tcW w:w="40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3"/>
              </w:rPr>
              <w:t>• </w:t>
            </w:r>
          </w:p>
        </w:tc>
        <w:tc>
          <w:tcPr>
            <w:tcW w:w="4800" w:type="dxa"/>
            <w:vAlign w:val="bottom"/>
            <w:shd w:val="clear" w:color="auto" w:fill="D8D8D8"/>
          </w:tcPr>
          <w:p>
            <w:pPr>
              <w:ind w:left="40"/>
              <w:spacing w:after="0"/>
              <w:rPr>
                <w:sz w:val="20"/>
                <w:szCs w:val="20"/>
                <w:color w:val="auto"/>
              </w:rPr>
            </w:pPr>
            <w:r>
              <w:rPr>
                <w:rFonts w:ascii="Arial" w:cs="Arial" w:eastAsia="Arial" w:hAnsi="Arial"/>
                <w:sz w:val="16"/>
                <w:szCs w:val="16"/>
                <w:color w:val="auto"/>
              </w:rPr>
              <w:t>   No interlocks or insider participation</w:t>
            </w:r>
          </w:p>
        </w:tc>
      </w:tr>
      <w:tr>
        <w:trPr>
          <w:trHeight w:val="259"/>
        </w:trPr>
        <w:tc>
          <w:tcPr>
            <w:tcW w:w="400" w:type="dxa"/>
            <w:vAlign w:val="bottom"/>
            <w:tcBorders>
              <w:bottom w:val="single" w:sz="8" w:color="FB4E0B"/>
            </w:tcBorders>
            <w:shd w:val="clear" w:color="auto" w:fill="D8D8D8"/>
          </w:tcPr>
          <w:p>
            <w:pPr>
              <w:spacing w:after="0"/>
              <w:rPr>
                <w:sz w:val="22"/>
                <w:szCs w:val="22"/>
                <w:color w:val="auto"/>
              </w:rPr>
            </w:pPr>
          </w:p>
        </w:tc>
        <w:tc>
          <w:tcPr>
            <w:tcW w:w="4800" w:type="dxa"/>
            <w:vAlign w:val="bottom"/>
            <w:tcBorders>
              <w:bottom w:val="single" w:sz="8" w:color="FB4E0B"/>
            </w:tcBorders>
            <w:shd w:val="clear" w:color="auto" w:fill="D8D8D8"/>
          </w:tcPr>
          <w:p>
            <w:pPr>
              <w:spacing w:after="0"/>
              <w:rPr>
                <w:sz w:val="22"/>
                <w:szCs w:val="22"/>
                <w:color w:val="auto"/>
              </w:rPr>
            </w:pPr>
          </w:p>
        </w:tc>
      </w:tr>
      <w:tr>
        <w:trPr>
          <w:trHeight w:val="299"/>
        </w:trPr>
        <w:tc>
          <w:tcPr>
            <w:tcW w:w="400" w:type="dxa"/>
            <w:vAlign w:val="bottom"/>
            <w:shd w:val="clear" w:color="auto" w:fill="D8D8D8"/>
          </w:tcPr>
          <w:p>
            <w:pPr>
              <w:spacing w:after="0"/>
              <w:rPr>
                <w:sz w:val="24"/>
                <w:szCs w:val="24"/>
                <w:color w:val="auto"/>
              </w:rPr>
            </w:pPr>
          </w:p>
        </w:tc>
        <w:tc>
          <w:tcPr>
            <w:tcW w:w="4800" w:type="dxa"/>
            <w:vAlign w:val="bottom"/>
            <w:shd w:val="clear" w:color="auto" w:fill="D8D8D8"/>
          </w:tcPr>
          <w:p>
            <w:pPr>
              <w:ind w:left="1100"/>
              <w:spacing w:after="0"/>
              <w:rPr>
                <w:sz w:val="20"/>
                <w:szCs w:val="20"/>
                <w:color w:val="auto"/>
              </w:rPr>
            </w:pPr>
            <w:r>
              <w:rPr>
                <w:rFonts w:ascii="Arial" w:cs="Arial" w:eastAsia="Arial" w:hAnsi="Arial"/>
                <w:sz w:val="17"/>
                <w:szCs w:val="17"/>
                <w:b w:val="1"/>
                <w:bCs w:val="1"/>
                <w:color w:val="FB4E0B"/>
              </w:rPr>
              <w:t>5 committee meetings in 2022</w:t>
            </w:r>
          </w:p>
        </w:tc>
      </w:tr>
      <w:tr>
        <w:trPr>
          <w:trHeight w:val="169"/>
        </w:trPr>
        <w:tc>
          <w:tcPr>
            <w:tcW w:w="400" w:type="dxa"/>
            <w:vAlign w:val="bottom"/>
            <w:shd w:val="clear" w:color="auto" w:fill="D8D8D8"/>
          </w:tcPr>
          <w:p>
            <w:pPr>
              <w:spacing w:after="0"/>
              <w:rPr>
                <w:sz w:val="14"/>
                <w:szCs w:val="14"/>
                <w:color w:val="auto"/>
              </w:rPr>
            </w:pPr>
          </w:p>
        </w:tc>
        <w:tc>
          <w:tcPr>
            <w:tcW w:w="4800" w:type="dxa"/>
            <w:vAlign w:val="bottom"/>
            <w:shd w:val="clear" w:color="auto" w:fill="D8D8D8"/>
          </w:tcPr>
          <w:p>
            <w:pPr>
              <w:spacing w:after="0"/>
              <w:rPr>
                <w:sz w:val="14"/>
                <w:szCs w:val="14"/>
                <w:color w:val="auto"/>
              </w:rPr>
            </w:pPr>
          </w:p>
        </w:tc>
      </w:tr>
    </w:tbl>
    <w:p>
      <w:pPr>
        <w:spacing w:after="0" w:line="391" w:lineRule="exact"/>
        <w:rPr>
          <w:sz w:val="20"/>
          <w:szCs w:val="20"/>
          <w:color w:val="auto"/>
        </w:rPr>
      </w:pPr>
    </w:p>
    <w:p>
      <w:pPr>
        <w:sectPr>
          <w:pgSz w:w="11900" w:h="16838" w:orient="portrait"/>
          <w:cols w:equalWidth="0" w:num="2">
            <w:col w:w="5360" w:space="380"/>
            <w:col w:w="5200"/>
          </w:cols>
          <w:pgMar w:left="320" w:top="473" w:right="639" w:bottom="1440" w:gutter="0" w:footer="0" w:header="0"/>
          <w:type w:val="continuous"/>
        </w:sectPr>
      </w:pPr>
    </w:p>
    <w:p>
      <w:pPr>
        <w:spacing w:after="0" w:line="26" w:lineRule="exact"/>
        <w:rPr>
          <w:sz w:val="20"/>
          <w:szCs w:val="20"/>
          <w:color w:val="auto"/>
        </w:rPr>
      </w:pPr>
    </w:p>
    <w:p>
      <w:pPr>
        <w:ind w:left="320" w:right="60"/>
        <w:spacing w:after="0" w:line="366" w:lineRule="auto"/>
        <w:rPr>
          <w:sz w:val="20"/>
          <w:szCs w:val="20"/>
          <w:color w:val="auto"/>
        </w:rPr>
      </w:pPr>
      <w:r>
        <w:rPr>
          <w:rFonts w:ascii="Arial" w:cs="Arial" w:eastAsia="Arial" w:hAnsi="Arial"/>
          <w:sz w:val="17"/>
          <w:szCs w:val="17"/>
          <w:color w:val="auto"/>
        </w:rPr>
        <w:t>The members of our Compensation and Talent Management Committee are appointed by our board of directors. All new members of our Compensation and Talent Management Committee must be recommended by our Nominating and Governance Committee.</w:t>
      </w:r>
    </w:p>
    <w:p>
      <w:pPr>
        <w:spacing w:after="0" w:line="158" w:lineRule="exact"/>
        <w:rPr>
          <w:sz w:val="20"/>
          <w:szCs w:val="20"/>
          <w:color w:val="auto"/>
        </w:rPr>
      </w:pPr>
    </w:p>
    <w:p>
      <w:pPr>
        <w:jc w:val="both"/>
        <w:ind w:left="320" w:right="240"/>
        <w:spacing w:after="0" w:line="465" w:lineRule="auto"/>
        <w:rPr>
          <w:sz w:val="20"/>
          <w:szCs w:val="20"/>
          <w:color w:val="auto"/>
        </w:rPr>
      </w:pPr>
      <w:r>
        <w:rPr>
          <w:rFonts w:ascii="Arial" w:cs="Arial" w:eastAsia="Arial" w:hAnsi="Arial"/>
          <w:sz w:val="15"/>
          <w:szCs w:val="15"/>
          <w:color w:val="auto"/>
        </w:rPr>
        <w:t>During 2022, none of our executive officers served as a member of the board of directors or Compensation and Talent Management Committee of (or similar) any entity that has one or more executive officers who serve on our board of directors or Compensation and Talent Management Committee.</w:t>
      </w:r>
    </w:p>
    <w:p>
      <w:pPr>
        <w:spacing w:after="0" w:line="119"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41</w:t>
      </w:r>
    </w:p>
    <w:p>
      <w:pPr>
        <w:sectPr>
          <w:pgSz w:w="11900" w:h="16838" w:orient="portrait"/>
          <w:cols w:equalWidth="0" w:num="1">
            <w:col w:w="10940"/>
          </w:cols>
          <w:pgMar w:left="320" w:top="473" w:right="6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Nominating and Governance Committee</w:t>
      </w:r>
    </w:p>
    <w:p>
      <w:pPr>
        <w:spacing w:after="0" w:line="3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Nominating and Governance Committee is responsible for:</w:t>
      </w:r>
    </w:p>
    <w:p>
      <w:pPr>
        <w:spacing w:after="0" w:line="91" w:lineRule="exact"/>
        <w:rPr>
          <w:sz w:val="20"/>
          <w:szCs w:val="20"/>
          <w:color w:val="auto"/>
        </w:rPr>
      </w:pPr>
    </w:p>
    <w:p>
      <w:pPr>
        <w:ind w:left="320" w:hanging="4"/>
        <w:spacing w:after="0" w:line="362" w:lineRule="auto"/>
        <w:tabs>
          <w:tab w:leader="none" w:pos="5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identifying and recommending candidates for election to our board of directors using selection criteria approved by our board of directors, reviewing composition of the board and committee membership and overseeing board refreshment and director compensation and benefits matters, (ii) developing and recommending to our board of directors Corporate Governance Guidelines, including independence standards, and other board procedures or corporate governance policies, as well as any changes to such guidelines, procedures or policies or to any of our organizational documents;</w:t>
      </w:r>
    </w:p>
    <w:p>
      <w:pPr>
        <w:ind w:left="320" w:right="100" w:hanging="4"/>
        <w:spacing w:after="0" w:line="369" w:lineRule="auto"/>
        <w:tabs>
          <w:tab w:leader="none" w:pos="6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overseeing our board of director and management evaluations and our director education program, and (iv) overseeing our ESG goals, policies and practices. Our Nominating and Governance Committee charter permits the committee to form and delegate authority to subcommittees when appropriate, provided that the subcommittees are composed entirely of directors who satisfy the applicable independence requirements of the Nasdaq Stock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FFFFFF"/>
        </w:rPr>
        <w:t>Nominating and Governance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-210820</wp:posOffset>
            </wp:positionV>
            <wp:extent cx="3296285" cy="1404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96285" cy="1404620"/>
                    </a:xfrm>
                    <a:prstGeom prst="rect">
                      <a:avLst/>
                    </a:prstGeom>
                    <a:noFill/>
                  </pic:spPr>
                </pic:pic>
              </a:graphicData>
            </a:graphic>
          </wp:anchor>
        </w:drawing>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Nitin Sahney, Chair</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Andreas Fibig</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Anne Minto</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Som Mittal</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Vikram Pandit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20" w:type="dxa"/>
            <w:vAlign w:val="bottom"/>
            <w:shd w:val="clear" w:color="auto" w:fill="D8D8D8"/>
          </w:tcPr>
          <w:p>
            <w:pPr>
              <w:ind w:left="380"/>
              <w:spacing w:after="0"/>
              <w:rPr>
                <w:sz w:val="20"/>
                <w:szCs w:val="20"/>
                <w:color w:val="auto"/>
              </w:rPr>
            </w:pPr>
            <w:r>
              <w:rPr>
                <w:rFonts w:ascii="Arial" w:cs="Arial" w:eastAsia="Arial" w:hAnsi="Arial"/>
                <w:sz w:val="12"/>
                <w:szCs w:val="12"/>
                <w:color w:val="auto"/>
                <w:w w:val="73"/>
              </w:rPr>
              <w:t>• </w:t>
            </w:r>
          </w:p>
        </w:tc>
        <w:tc>
          <w:tcPr>
            <w:tcW w:w="4680" w:type="dxa"/>
            <w:vAlign w:val="bottom"/>
            <w:shd w:val="clear" w:color="auto" w:fill="D8D8D8"/>
          </w:tcPr>
          <w:p>
            <w:pPr>
              <w:ind w:left="60"/>
              <w:spacing w:after="0"/>
              <w:rPr>
                <w:sz w:val="20"/>
                <w:szCs w:val="20"/>
                <w:color w:val="auto"/>
              </w:rPr>
            </w:pPr>
            <w:r>
              <w:rPr>
                <w:rFonts w:ascii="Arial" w:cs="Arial" w:eastAsia="Arial" w:hAnsi="Arial"/>
                <w:sz w:val="16"/>
                <w:szCs w:val="16"/>
                <w:color w:val="auto"/>
                <w:w w:val="89"/>
              </w:rPr>
              <w:t>  Reviewing composition of the board, overseeing board refreshment and</w:t>
            </w:r>
          </w:p>
        </w:tc>
      </w:tr>
      <w:tr>
        <w:trPr>
          <w:trHeight w:val="199"/>
        </w:trPr>
        <w:tc>
          <w:tcPr>
            <w:tcW w:w="520" w:type="dxa"/>
            <w:vAlign w:val="bottom"/>
            <w:shd w:val="clear" w:color="auto" w:fill="D8D8D8"/>
          </w:tcPr>
          <w:p>
            <w:pPr>
              <w:spacing w:after="0"/>
              <w:rPr>
                <w:sz w:val="17"/>
                <w:szCs w:val="17"/>
                <w:color w:val="auto"/>
              </w:rPr>
            </w:pPr>
          </w:p>
        </w:tc>
        <w:tc>
          <w:tcPr>
            <w:tcW w:w="46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identifying and recommending board candidates</w:t>
            </w:r>
          </w:p>
        </w:tc>
      </w:tr>
      <w:tr>
        <w:trPr>
          <w:trHeight w:val="308"/>
        </w:trPr>
        <w:tc>
          <w:tcPr>
            <w:tcW w:w="520" w:type="dxa"/>
            <w:vAlign w:val="bottom"/>
            <w:shd w:val="clear" w:color="auto" w:fill="D8D8D8"/>
          </w:tcPr>
          <w:p>
            <w:pPr>
              <w:ind w:left="380"/>
              <w:spacing w:after="0"/>
              <w:rPr>
                <w:sz w:val="20"/>
                <w:szCs w:val="20"/>
                <w:color w:val="auto"/>
              </w:rPr>
            </w:pPr>
            <w:r>
              <w:rPr>
                <w:rFonts w:ascii="Arial" w:cs="Arial" w:eastAsia="Arial" w:hAnsi="Arial"/>
                <w:sz w:val="12"/>
                <w:szCs w:val="12"/>
                <w:color w:val="auto"/>
                <w:w w:val="73"/>
              </w:rPr>
              <w:t>• </w:t>
            </w:r>
          </w:p>
        </w:tc>
        <w:tc>
          <w:tcPr>
            <w:tcW w:w="4680" w:type="dxa"/>
            <w:vAlign w:val="bottom"/>
            <w:shd w:val="clear" w:color="auto" w:fill="D8D8D8"/>
          </w:tcPr>
          <w:p>
            <w:pPr>
              <w:ind w:left="60"/>
              <w:spacing w:after="0"/>
              <w:rPr>
                <w:sz w:val="20"/>
                <w:szCs w:val="20"/>
                <w:color w:val="auto"/>
              </w:rPr>
            </w:pPr>
            <w:r>
              <w:rPr>
                <w:rFonts w:ascii="Arial" w:cs="Arial" w:eastAsia="Arial" w:hAnsi="Arial"/>
                <w:sz w:val="16"/>
                <w:szCs w:val="16"/>
                <w:color w:val="auto"/>
                <w:w w:val="95"/>
              </w:rPr>
              <w:t>  Developing and recommending governance practices, including our</w:t>
            </w:r>
          </w:p>
        </w:tc>
      </w:tr>
      <w:tr>
        <w:trPr>
          <w:trHeight w:val="199"/>
        </w:trPr>
        <w:tc>
          <w:tcPr>
            <w:tcW w:w="520" w:type="dxa"/>
            <w:vAlign w:val="bottom"/>
            <w:shd w:val="clear" w:color="auto" w:fill="D8D8D8"/>
          </w:tcPr>
          <w:p>
            <w:pPr>
              <w:spacing w:after="0"/>
              <w:rPr>
                <w:sz w:val="17"/>
                <w:szCs w:val="17"/>
                <w:color w:val="auto"/>
              </w:rPr>
            </w:pPr>
          </w:p>
        </w:tc>
        <w:tc>
          <w:tcPr>
            <w:tcW w:w="4680" w:type="dxa"/>
            <w:vAlign w:val="bottom"/>
            <w:shd w:val="clear" w:color="auto" w:fill="D8D8D8"/>
          </w:tcPr>
          <w:p>
            <w:pPr>
              <w:ind w:left="160"/>
              <w:spacing w:after="0"/>
              <w:rPr>
                <w:sz w:val="20"/>
                <w:szCs w:val="20"/>
                <w:color w:val="auto"/>
              </w:rPr>
            </w:pPr>
            <w:r>
              <w:rPr>
                <w:rFonts w:ascii="Arial" w:cs="Arial" w:eastAsia="Arial" w:hAnsi="Arial"/>
                <w:sz w:val="16"/>
                <w:szCs w:val="16"/>
                <w:color w:val="auto"/>
              </w:rPr>
              <w:t>Corporate Governance Guidelines</w:t>
            </w:r>
          </w:p>
        </w:tc>
      </w:tr>
      <w:tr>
        <w:trPr>
          <w:trHeight w:val="312"/>
        </w:trPr>
        <w:tc>
          <w:tcPr>
            <w:tcW w:w="520" w:type="dxa"/>
            <w:vAlign w:val="bottom"/>
            <w:shd w:val="clear" w:color="auto" w:fill="D8D8D8"/>
          </w:tcPr>
          <w:p>
            <w:pPr>
              <w:ind w:left="380"/>
              <w:spacing w:after="0"/>
              <w:rPr>
                <w:sz w:val="20"/>
                <w:szCs w:val="20"/>
                <w:color w:val="auto"/>
              </w:rPr>
            </w:pPr>
            <w:r>
              <w:rPr>
                <w:rFonts w:ascii="Arial" w:cs="Arial" w:eastAsia="Arial" w:hAnsi="Arial"/>
                <w:sz w:val="12"/>
                <w:szCs w:val="12"/>
                <w:color w:val="auto"/>
                <w:w w:val="73"/>
              </w:rPr>
              <w:t>• </w:t>
            </w:r>
          </w:p>
        </w:tc>
        <w:tc>
          <w:tcPr>
            <w:tcW w:w="4680" w:type="dxa"/>
            <w:vAlign w:val="bottom"/>
            <w:shd w:val="clear" w:color="auto" w:fill="D8D8D8"/>
          </w:tcPr>
          <w:p>
            <w:pPr>
              <w:ind w:left="60"/>
              <w:spacing w:after="0"/>
              <w:rPr>
                <w:sz w:val="20"/>
                <w:szCs w:val="20"/>
                <w:color w:val="auto"/>
              </w:rPr>
            </w:pPr>
            <w:r>
              <w:rPr>
                <w:rFonts w:ascii="Arial" w:cs="Arial" w:eastAsia="Arial" w:hAnsi="Arial"/>
                <w:sz w:val="16"/>
                <w:szCs w:val="16"/>
                <w:color w:val="auto"/>
              </w:rPr>
              <w:t>  Overseeing board evaluations</w:t>
            </w:r>
          </w:p>
        </w:tc>
      </w:tr>
      <w:tr>
        <w:trPr>
          <w:trHeight w:val="312"/>
        </w:trPr>
        <w:tc>
          <w:tcPr>
            <w:tcW w:w="520" w:type="dxa"/>
            <w:vAlign w:val="bottom"/>
            <w:shd w:val="clear" w:color="auto" w:fill="D8D8D8"/>
          </w:tcPr>
          <w:p>
            <w:pPr>
              <w:ind w:left="380"/>
              <w:spacing w:after="0"/>
              <w:rPr>
                <w:sz w:val="20"/>
                <w:szCs w:val="20"/>
                <w:color w:val="auto"/>
              </w:rPr>
            </w:pPr>
            <w:r>
              <w:rPr>
                <w:rFonts w:ascii="Arial" w:cs="Arial" w:eastAsia="Arial" w:hAnsi="Arial"/>
                <w:sz w:val="12"/>
                <w:szCs w:val="12"/>
                <w:color w:val="auto"/>
                <w:w w:val="73"/>
              </w:rPr>
              <w:t>• </w:t>
            </w:r>
          </w:p>
        </w:tc>
        <w:tc>
          <w:tcPr>
            <w:tcW w:w="4680" w:type="dxa"/>
            <w:vAlign w:val="bottom"/>
            <w:shd w:val="clear" w:color="auto" w:fill="D8D8D8"/>
          </w:tcPr>
          <w:p>
            <w:pPr>
              <w:ind w:left="60"/>
              <w:spacing w:after="0"/>
              <w:rPr>
                <w:sz w:val="20"/>
                <w:szCs w:val="20"/>
                <w:color w:val="auto"/>
              </w:rPr>
            </w:pPr>
            <w:r>
              <w:rPr>
                <w:rFonts w:ascii="Arial" w:cs="Arial" w:eastAsia="Arial" w:hAnsi="Arial"/>
                <w:sz w:val="16"/>
                <w:szCs w:val="16"/>
                <w:color w:val="auto"/>
              </w:rPr>
              <w:t>  Overseeing our ESG goals, policies and practices</w:t>
            </w:r>
          </w:p>
        </w:tc>
      </w:tr>
      <w:tr>
        <w:trPr>
          <w:trHeight w:val="220"/>
        </w:trPr>
        <w:tc>
          <w:tcPr>
            <w:tcW w:w="520" w:type="dxa"/>
            <w:vAlign w:val="bottom"/>
            <w:tcBorders>
              <w:bottom w:val="single" w:sz="8" w:color="FB4E0B"/>
            </w:tcBorders>
            <w:shd w:val="clear" w:color="auto" w:fill="D8D8D8"/>
          </w:tcPr>
          <w:p>
            <w:pPr>
              <w:spacing w:after="0"/>
              <w:rPr>
                <w:sz w:val="19"/>
                <w:szCs w:val="19"/>
                <w:color w:val="auto"/>
              </w:rPr>
            </w:pPr>
          </w:p>
        </w:tc>
        <w:tc>
          <w:tcPr>
            <w:tcW w:w="4680" w:type="dxa"/>
            <w:vAlign w:val="bottom"/>
            <w:tcBorders>
              <w:bottom w:val="single" w:sz="8" w:color="FB4E0B"/>
            </w:tcBorders>
            <w:shd w:val="clear" w:color="auto" w:fill="D8D8D8"/>
          </w:tcPr>
          <w:p>
            <w:pPr>
              <w:spacing w:after="0"/>
              <w:rPr>
                <w:sz w:val="19"/>
                <w:szCs w:val="19"/>
                <w:color w:val="auto"/>
              </w:rPr>
            </w:pPr>
          </w:p>
        </w:tc>
      </w:tr>
      <w:tr>
        <w:trPr>
          <w:trHeight w:val="299"/>
        </w:trPr>
        <w:tc>
          <w:tcPr>
            <w:tcW w:w="520" w:type="dxa"/>
            <w:vAlign w:val="bottom"/>
            <w:shd w:val="clear" w:color="auto" w:fill="D8D8D8"/>
          </w:tcPr>
          <w:p>
            <w:pPr>
              <w:spacing w:after="0"/>
              <w:rPr>
                <w:sz w:val="24"/>
                <w:szCs w:val="24"/>
                <w:color w:val="auto"/>
              </w:rPr>
            </w:pPr>
          </w:p>
        </w:tc>
        <w:tc>
          <w:tcPr>
            <w:tcW w:w="4680" w:type="dxa"/>
            <w:vAlign w:val="bottom"/>
            <w:shd w:val="clear" w:color="auto" w:fill="D8D8D8"/>
          </w:tcPr>
          <w:p>
            <w:pPr>
              <w:ind w:left="980"/>
              <w:spacing w:after="0"/>
              <w:rPr>
                <w:sz w:val="20"/>
                <w:szCs w:val="20"/>
                <w:color w:val="auto"/>
              </w:rPr>
            </w:pPr>
            <w:r>
              <w:rPr>
                <w:rFonts w:ascii="Arial" w:cs="Arial" w:eastAsia="Arial" w:hAnsi="Arial"/>
                <w:sz w:val="17"/>
                <w:szCs w:val="17"/>
                <w:b w:val="1"/>
                <w:bCs w:val="1"/>
                <w:color w:val="FB4E0B"/>
              </w:rPr>
              <w:t>5 committee meetings in 2022</w:t>
            </w:r>
          </w:p>
        </w:tc>
      </w:tr>
      <w:tr>
        <w:trPr>
          <w:trHeight w:val="169"/>
        </w:trPr>
        <w:tc>
          <w:tcPr>
            <w:tcW w:w="520" w:type="dxa"/>
            <w:vAlign w:val="bottom"/>
            <w:shd w:val="clear" w:color="auto" w:fill="D8D8D8"/>
          </w:tcPr>
          <w:p>
            <w:pPr>
              <w:spacing w:after="0"/>
              <w:rPr>
                <w:sz w:val="14"/>
                <w:szCs w:val="14"/>
                <w:color w:val="auto"/>
              </w:rPr>
            </w:pPr>
          </w:p>
        </w:tc>
        <w:tc>
          <w:tcPr>
            <w:tcW w:w="4680" w:type="dxa"/>
            <w:vAlign w:val="bottom"/>
            <w:shd w:val="clear" w:color="auto" w:fill="D8D8D8"/>
          </w:tcPr>
          <w:p>
            <w:pPr>
              <w:spacing w:after="0"/>
              <w:rPr>
                <w:sz w:val="14"/>
                <w:szCs w:val="14"/>
                <w:color w:val="auto"/>
              </w:rPr>
            </w:pPr>
          </w:p>
        </w:tc>
      </w:tr>
    </w:tbl>
    <w:p>
      <w:pPr>
        <w:spacing w:after="0" w:line="437" w:lineRule="exact"/>
        <w:rPr>
          <w:sz w:val="20"/>
          <w:szCs w:val="20"/>
          <w:color w:val="auto"/>
        </w:rPr>
      </w:pPr>
    </w:p>
    <w:p>
      <w:pPr>
        <w:sectPr>
          <w:pgSz w:w="11900" w:h="16838" w:orient="portrait"/>
          <w:cols w:equalWidth="0" w:num="2">
            <w:col w:w="5380" w:space="360"/>
            <w:col w:w="5200"/>
          </w:cols>
          <w:pgMar w:left="320" w:top="473" w:right="639" w:bottom="1440" w:gutter="0" w:footer="0" w:header="0"/>
          <w:type w:val="continuous"/>
        </w:sectPr>
      </w:pPr>
    </w:p>
    <w:p>
      <w:pPr>
        <w:spacing w:after="0" w:line="18" w:lineRule="exact"/>
        <w:rPr>
          <w:sz w:val="20"/>
          <w:szCs w:val="20"/>
          <w:color w:val="auto"/>
        </w:rPr>
      </w:pPr>
    </w:p>
    <w:p>
      <w:pPr>
        <w:ind w:left="320" w:right="520"/>
        <w:spacing w:after="0" w:line="350" w:lineRule="auto"/>
        <w:rPr>
          <w:sz w:val="20"/>
          <w:szCs w:val="20"/>
          <w:color w:val="auto"/>
        </w:rPr>
      </w:pPr>
      <w:r>
        <w:rPr>
          <w:rFonts w:ascii="Arial" w:cs="Arial" w:eastAsia="Arial" w:hAnsi="Arial"/>
          <w:sz w:val="17"/>
          <w:szCs w:val="17"/>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290" w:lineRule="exact"/>
        <w:rPr>
          <w:sz w:val="20"/>
          <w:szCs w:val="20"/>
          <w:color w:val="auto"/>
        </w:rPr>
      </w:pPr>
    </w:p>
    <w:p>
      <w:pPr>
        <w:ind w:left="320" w:right="260"/>
        <w:spacing w:after="0" w:line="446" w:lineRule="auto"/>
        <w:rPr>
          <w:sz w:val="20"/>
          <w:szCs w:val="20"/>
          <w:color w:val="auto"/>
        </w:rPr>
      </w:pPr>
      <w:r>
        <w:rPr>
          <w:rFonts w:ascii="Arial" w:cs="Arial" w:eastAsia="Arial" w:hAnsi="Arial"/>
          <w:sz w:val="15"/>
          <w:szCs w:val="15"/>
          <w:color w:val="auto"/>
        </w:rPr>
        <w:t>The Nominating and Governance Committee also oversees our director onboarding and training program, which provides new directors with training regarding the Company’s policies and procedures and specific requirements that may be needed based on the director’s committee memberships.</w:t>
      </w:r>
    </w:p>
    <w:p>
      <w:pPr>
        <w:spacing w:after="0" w:line="218" w:lineRule="exact"/>
        <w:rPr>
          <w:sz w:val="20"/>
          <w:szCs w:val="20"/>
          <w:color w:val="auto"/>
        </w:rPr>
      </w:pPr>
    </w:p>
    <w:p>
      <w:pPr>
        <w:ind w:left="320" w:right="180"/>
        <w:spacing w:after="0" w:line="351" w:lineRule="auto"/>
        <w:rPr>
          <w:sz w:val="20"/>
          <w:szCs w:val="20"/>
          <w:color w:val="auto"/>
        </w:rPr>
      </w:pPr>
      <w:r>
        <w:rPr>
          <w:rFonts w:ascii="Arial" w:cs="Arial" w:eastAsia="Arial" w:hAnsi="Arial"/>
          <w:sz w:val="17"/>
          <w:szCs w:val="17"/>
          <w:color w:val="auto"/>
        </w:rPr>
        <w:t>In addition, the Nominating and Governance Committee oversees and reviews the Company’s ESG goals, policies and programs and the Company’s corporate governance policies and practices regularly. Our Nominating and Governance Committee is responsible for reviewing and assessing the adequacy of our organizational documents, and recommending any changes, as well as annually reviewing and assessing the adequacy of the Nominating and Governance Committee charter and its own performance. The members of our Nominating and Governance Committee are appointed by our board of directors.</w:t>
      </w:r>
    </w:p>
    <w:p>
      <w:pPr>
        <w:spacing w:after="0" w:line="47"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Board and committee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239395</wp:posOffset>
            </wp:positionV>
            <wp:extent cx="6740525" cy="14954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40525"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Full board oversight</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of directors is ultimately responsible for overseeing EXL’s risk management activities as a whole.</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60"/>
        <w:spacing w:after="0" w:line="305" w:lineRule="auto"/>
        <w:rPr>
          <w:sz w:val="20"/>
          <w:szCs w:val="20"/>
          <w:color w:val="auto"/>
        </w:rPr>
      </w:pPr>
      <w:r>
        <w:rPr>
          <w:rFonts w:ascii="Arial" w:cs="Arial" w:eastAsia="Arial" w:hAnsi="Arial"/>
          <w:sz w:val="14"/>
          <w:szCs w:val="14"/>
          <w:color w:val="auto"/>
        </w:rPr>
        <w:t>Our management is responsible for development of our risk management framework and methodological guidelines. Management is responsible for our day-to-day risks, and, because we are exposed to financial risks in multiple areas of our business, day-to-day risk management activities and processes are performed by multiple members of our senior and other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60"/>
        <w:spacing w:after="0" w:line="309" w:lineRule="auto"/>
        <w:rPr>
          <w:sz w:val="20"/>
          <w:szCs w:val="20"/>
          <w:color w:val="auto"/>
        </w:rPr>
      </w:pPr>
      <w:r>
        <w:rPr>
          <w:rFonts w:ascii="Arial" w:cs="Arial" w:eastAsia="Arial" w:hAnsi="Arial"/>
          <w:sz w:val="14"/>
          <w:szCs w:val="14"/>
          <w:color w:val="auto"/>
        </w:rPr>
        <w:t>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w:t>
      </w:r>
    </w:p>
    <w:p>
      <w:pPr>
        <w:spacing w:after="0" w:line="266" w:lineRule="exact"/>
        <w:rPr>
          <w:sz w:val="20"/>
          <w:szCs w:val="20"/>
          <w:color w:val="auto"/>
        </w:rPr>
      </w:pPr>
    </w:p>
    <w:p>
      <w:pPr>
        <w:sectPr>
          <w:pgSz w:w="11900" w:h="16838" w:orient="portrait"/>
          <w:cols w:equalWidth="0" w:num="2">
            <w:col w:w="5440" w:space="400"/>
            <w:col w:w="5100"/>
          </w:cols>
          <w:pgMar w:left="320" w:top="473" w:right="639" w:bottom="1440" w:gutter="0" w:footer="0" w:header="0"/>
          <w:type w:val="continuous"/>
        </w:sectPr>
      </w:pPr>
    </w:p>
    <w:tbl>
      <w:tblPr>
        <w:tblLayout w:type="fixed"/>
        <w:tblInd w:w="320" w:type="dxa"/>
        <w:tblCellMar>
          <w:top w:w="0" w:type="dxa"/>
          <w:left w:w="0" w:type="dxa"/>
          <w:bottom w:w="0" w:type="dxa"/>
          <w:right w:w="0" w:type="dxa"/>
        </w:tblCellMar>
      </w:tblPr>
      <w:tr>
        <w:trPr>
          <w:trHeight w:val="584"/>
        </w:trPr>
        <w:tc>
          <w:tcPr>
            <w:tcW w:w="120" w:type="dxa"/>
            <w:vAlign w:val="bottom"/>
            <w:shd w:val="clear" w:color="auto" w:fill="D8D8D8"/>
          </w:tcPr>
          <w:p>
            <w:pPr>
              <w:spacing w:after="0"/>
              <w:rPr>
                <w:sz w:val="24"/>
                <w:szCs w:val="24"/>
                <w:color w:val="auto"/>
              </w:rPr>
            </w:pPr>
          </w:p>
        </w:tc>
        <w:tc>
          <w:tcPr>
            <w:tcW w:w="3300" w:type="dxa"/>
            <w:vAlign w:val="bottom"/>
            <w:tcBorders>
              <w:top w:val="single" w:sz="8" w:color="FB4E0B"/>
            </w:tcBorders>
            <w:shd w:val="clear" w:color="auto" w:fill="D8D8D8"/>
          </w:tcPr>
          <w:p>
            <w:pPr>
              <w:ind w:left="120"/>
              <w:spacing w:after="0"/>
              <w:rPr>
                <w:sz w:val="20"/>
                <w:szCs w:val="20"/>
                <w:color w:val="auto"/>
              </w:rPr>
            </w:pPr>
            <w:r>
              <w:rPr>
                <w:rFonts w:ascii="Arial" w:cs="Arial" w:eastAsia="Arial" w:hAnsi="Arial"/>
                <w:sz w:val="16"/>
                <w:szCs w:val="16"/>
                <w:b w:val="1"/>
                <w:bCs w:val="1"/>
                <w:color w:val="auto"/>
              </w:rPr>
              <w:t>Audit Committee</w:t>
            </w:r>
          </w:p>
        </w:tc>
        <w:tc>
          <w:tcPr>
            <w:tcW w:w="3540" w:type="dxa"/>
            <w:vAlign w:val="bottom"/>
            <w:tcBorders>
              <w:top w:val="single" w:sz="8" w:color="FB4E0B"/>
            </w:tcBorders>
            <w:shd w:val="clear" w:color="auto" w:fill="D8D8D8"/>
          </w:tcPr>
          <w:p>
            <w:pPr>
              <w:ind w:left="320"/>
              <w:spacing w:after="0"/>
              <w:rPr>
                <w:sz w:val="20"/>
                <w:szCs w:val="20"/>
                <w:color w:val="auto"/>
              </w:rPr>
            </w:pPr>
            <w:r>
              <w:rPr>
                <w:rFonts w:ascii="Arial" w:cs="Arial" w:eastAsia="Arial" w:hAnsi="Arial"/>
                <w:sz w:val="16"/>
                <w:szCs w:val="16"/>
                <w:b w:val="1"/>
                <w:bCs w:val="1"/>
                <w:color w:val="auto"/>
              </w:rPr>
              <w:t>Nominating and Governance</w:t>
            </w:r>
          </w:p>
        </w:tc>
        <w:tc>
          <w:tcPr>
            <w:tcW w:w="2840" w:type="dxa"/>
            <w:vAlign w:val="bottom"/>
            <w:tcBorders>
              <w:top w:val="single" w:sz="8" w:color="FB4E0B"/>
            </w:tcBorders>
            <w:shd w:val="clear" w:color="auto" w:fill="D8D8D8"/>
          </w:tcPr>
          <w:p>
            <w:pPr>
              <w:ind w:left="260"/>
              <w:spacing w:after="0"/>
              <w:rPr>
                <w:sz w:val="20"/>
                <w:szCs w:val="20"/>
                <w:color w:val="auto"/>
              </w:rPr>
            </w:pPr>
            <w:r>
              <w:rPr>
                <w:rFonts w:ascii="Arial" w:cs="Arial" w:eastAsia="Arial" w:hAnsi="Arial"/>
                <w:sz w:val="16"/>
                <w:szCs w:val="16"/>
                <w:b w:val="1"/>
                <w:bCs w:val="1"/>
                <w:color w:val="auto"/>
              </w:rPr>
              <w:t>Compensation and Talent</w:t>
            </w:r>
          </w:p>
        </w:tc>
        <w:tc>
          <w:tcPr>
            <w:tcW w:w="420" w:type="dxa"/>
            <w:vAlign w:val="bottom"/>
            <w:tcBorders>
              <w:top w:val="single" w:sz="8" w:color="FB4E0B"/>
            </w:tcBorders>
            <w:shd w:val="clear" w:color="auto" w:fill="D8D8D8"/>
          </w:tcPr>
          <w:p>
            <w:pPr>
              <w:spacing w:after="0"/>
              <w:rPr>
                <w:sz w:val="24"/>
                <w:szCs w:val="24"/>
                <w:color w:val="auto"/>
              </w:rPr>
            </w:pPr>
          </w:p>
        </w:tc>
        <w:tc>
          <w:tcPr>
            <w:tcW w:w="180" w:type="dxa"/>
            <w:vAlign w:val="bottom"/>
            <w:tcBorders>
              <w:top w:val="single" w:sz="8" w:color="FB4E0B"/>
            </w:tcBorders>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199"/>
        </w:trPr>
        <w:tc>
          <w:tcPr>
            <w:tcW w:w="120" w:type="dxa"/>
            <w:vAlign w:val="bottom"/>
            <w:shd w:val="clear" w:color="auto" w:fill="D8D8D8"/>
          </w:tcPr>
          <w:p>
            <w:pPr>
              <w:spacing w:after="0"/>
              <w:rPr>
                <w:sz w:val="17"/>
                <w:szCs w:val="17"/>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Responsible for primary oversight of our risk</w:t>
            </w:r>
          </w:p>
        </w:tc>
        <w:tc>
          <w:tcPr>
            <w:tcW w:w="3540" w:type="dxa"/>
            <w:vAlign w:val="bottom"/>
            <w:shd w:val="clear" w:color="auto" w:fill="D8D8D8"/>
          </w:tcPr>
          <w:p>
            <w:pPr>
              <w:ind w:left="320"/>
              <w:spacing w:after="0"/>
              <w:rPr>
                <w:sz w:val="20"/>
                <w:szCs w:val="20"/>
                <w:color w:val="auto"/>
              </w:rPr>
            </w:pPr>
            <w:r>
              <w:rPr>
                <w:rFonts w:ascii="Arial" w:cs="Arial" w:eastAsia="Arial" w:hAnsi="Arial"/>
                <w:sz w:val="16"/>
                <w:szCs w:val="16"/>
                <w:b w:val="1"/>
                <w:bCs w:val="1"/>
                <w:color w:val="auto"/>
              </w:rPr>
              <w:t>Committee</w:t>
            </w:r>
          </w:p>
        </w:tc>
        <w:tc>
          <w:tcPr>
            <w:tcW w:w="2840" w:type="dxa"/>
            <w:vAlign w:val="bottom"/>
            <w:shd w:val="clear" w:color="auto" w:fill="D8D8D8"/>
          </w:tcPr>
          <w:p>
            <w:pPr>
              <w:ind w:left="260"/>
              <w:spacing w:after="0"/>
              <w:rPr>
                <w:sz w:val="20"/>
                <w:szCs w:val="20"/>
                <w:color w:val="auto"/>
              </w:rPr>
            </w:pPr>
            <w:r>
              <w:rPr>
                <w:rFonts w:ascii="Arial" w:cs="Arial" w:eastAsia="Arial" w:hAnsi="Arial"/>
                <w:sz w:val="16"/>
                <w:szCs w:val="16"/>
                <w:b w:val="1"/>
                <w:bCs w:val="1"/>
                <w:color w:val="auto"/>
              </w:rPr>
              <w:t>Management Committee</w:t>
            </w:r>
          </w:p>
        </w:tc>
        <w:tc>
          <w:tcPr>
            <w:tcW w:w="42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8"/>
              </w:rPr>
              <w:t>management, financial and cybersecurity risk</w:t>
            </w:r>
          </w:p>
        </w:tc>
        <w:tc>
          <w:tcPr>
            <w:tcW w:w="3540" w:type="dxa"/>
            <w:vAlign w:val="bottom"/>
            <w:shd w:val="clear" w:color="auto" w:fill="D8D8D8"/>
          </w:tcPr>
          <w:p>
            <w:pPr>
              <w:ind w:left="320"/>
              <w:spacing w:after="0"/>
              <w:rPr>
                <w:sz w:val="20"/>
                <w:szCs w:val="20"/>
                <w:color w:val="auto"/>
              </w:rPr>
            </w:pPr>
            <w:r>
              <w:rPr>
                <w:rFonts w:ascii="Arial" w:cs="Arial" w:eastAsia="Arial" w:hAnsi="Arial"/>
                <w:sz w:val="16"/>
                <w:szCs w:val="16"/>
                <w:color w:val="auto"/>
                <w:w w:val="98"/>
              </w:rPr>
              <w:t>Responsible for risk relating to environmental,</w:t>
            </w:r>
          </w:p>
        </w:tc>
        <w:tc>
          <w:tcPr>
            <w:tcW w:w="2840" w:type="dxa"/>
            <w:vAlign w:val="bottom"/>
            <w:shd w:val="clear" w:color="auto" w:fill="D8D8D8"/>
          </w:tcPr>
          <w:p>
            <w:pPr>
              <w:ind w:left="260"/>
              <w:spacing w:after="0"/>
              <w:rPr>
                <w:sz w:val="20"/>
                <w:szCs w:val="20"/>
                <w:color w:val="auto"/>
              </w:rPr>
            </w:pPr>
            <w:r>
              <w:rPr>
                <w:rFonts w:ascii="Arial" w:cs="Arial" w:eastAsia="Arial" w:hAnsi="Arial"/>
                <w:sz w:val="16"/>
                <w:szCs w:val="16"/>
                <w:color w:val="auto"/>
                <w:w w:val="88"/>
              </w:rPr>
              <w:t>Responsible for executive and employee</w:t>
            </w: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2"/>
              </w:rPr>
              <w:t>and reporting internal and external audit controls</w:t>
            </w:r>
          </w:p>
        </w:tc>
        <w:tc>
          <w:tcPr>
            <w:tcW w:w="3540" w:type="dxa"/>
            <w:vAlign w:val="bottom"/>
            <w:shd w:val="clear" w:color="auto" w:fill="D8D8D8"/>
          </w:tcPr>
          <w:p>
            <w:pPr>
              <w:ind w:left="320"/>
              <w:spacing w:after="0"/>
              <w:rPr>
                <w:sz w:val="20"/>
                <w:szCs w:val="20"/>
                <w:color w:val="auto"/>
              </w:rPr>
            </w:pPr>
            <w:r>
              <w:rPr>
                <w:rFonts w:ascii="Arial" w:cs="Arial" w:eastAsia="Arial" w:hAnsi="Arial"/>
                <w:sz w:val="16"/>
                <w:szCs w:val="16"/>
                <w:color w:val="auto"/>
              </w:rPr>
              <w:t>social and governance matters, conflicts of</w:t>
            </w:r>
          </w:p>
        </w:tc>
        <w:tc>
          <w:tcPr>
            <w:tcW w:w="3260" w:type="dxa"/>
            <w:vAlign w:val="bottom"/>
            <w:gridSpan w:val="2"/>
            <w:shd w:val="clear" w:color="auto" w:fill="D8D8D8"/>
          </w:tcPr>
          <w:p>
            <w:pPr>
              <w:ind w:left="260"/>
              <w:spacing w:after="0"/>
              <w:rPr>
                <w:sz w:val="20"/>
                <w:szCs w:val="20"/>
                <w:color w:val="auto"/>
              </w:rPr>
            </w:pPr>
            <w:r>
              <w:rPr>
                <w:rFonts w:ascii="Arial" w:cs="Arial" w:eastAsia="Arial" w:hAnsi="Arial"/>
                <w:sz w:val="16"/>
                <w:szCs w:val="16"/>
                <w:color w:val="auto"/>
                <w:w w:val="87"/>
              </w:rPr>
              <w:t>compensation and retention-related risk, as well</w:t>
            </w: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and regulatory requirements. Reviews and</w:t>
            </w:r>
          </w:p>
        </w:tc>
        <w:tc>
          <w:tcPr>
            <w:tcW w:w="3540" w:type="dxa"/>
            <w:vAlign w:val="bottom"/>
            <w:shd w:val="clear" w:color="auto" w:fill="D8D8D8"/>
          </w:tcPr>
          <w:p>
            <w:pPr>
              <w:ind w:left="320"/>
              <w:spacing w:after="0"/>
              <w:rPr>
                <w:sz w:val="20"/>
                <w:szCs w:val="20"/>
                <w:color w:val="auto"/>
              </w:rPr>
            </w:pPr>
            <w:r>
              <w:rPr>
                <w:rFonts w:ascii="Arial" w:cs="Arial" w:eastAsia="Arial" w:hAnsi="Arial"/>
                <w:sz w:val="16"/>
                <w:szCs w:val="16"/>
                <w:color w:val="auto"/>
                <w:w w:val="95"/>
              </w:rPr>
              <w:t>interest, and oversight of corporate governance</w:t>
            </w:r>
          </w:p>
        </w:tc>
        <w:tc>
          <w:tcPr>
            <w:tcW w:w="3660" w:type="dxa"/>
            <w:vAlign w:val="bottom"/>
            <w:gridSpan w:val="4"/>
            <w:shd w:val="clear" w:color="auto" w:fill="D8D8D8"/>
          </w:tcPr>
          <w:p>
            <w:pPr>
              <w:ind w:left="260"/>
              <w:spacing w:after="0"/>
              <w:rPr>
                <w:sz w:val="20"/>
                <w:szCs w:val="20"/>
                <w:color w:val="auto"/>
              </w:rPr>
            </w:pPr>
            <w:r>
              <w:rPr>
                <w:rFonts w:ascii="Arial" w:cs="Arial" w:eastAsia="Arial" w:hAnsi="Arial"/>
                <w:sz w:val="16"/>
                <w:szCs w:val="16"/>
                <w:color w:val="auto"/>
                <w:w w:val="97"/>
              </w:rPr>
              <w:t>as other human capital management-related risk.</w:t>
            </w: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4"/>
              </w:rPr>
              <w:t>discusses with management our enterprise risk</w:t>
            </w:r>
          </w:p>
        </w:tc>
        <w:tc>
          <w:tcPr>
            <w:tcW w:w="3540" w:type="dxa"/>
            <w:vAlign w:val="bottom"/>
            <w:shd w:val="clear" w:color="auto" w:fill="D8D8D8"/>
          </w:tcPr>
          <w:p>
            <w:pPr>
              <w:ind w:left="320"/>
              <w:spacing w:after="0"/>
              <w:rPr>
                <w:sz w:val="20"/>
                <w:szCs w:val="20"/>
                <w:color w:val="auto"/>
              </w:rPr>
            </w:pPr>
            <w:r>
              <w:rPr>
                <w:rFonts w:ascii="Arial" w:cs="Arial" w:eastAsia="Arial" w:hAnsi="Arial"/>
                <w:sz w:val="16"/>
                <w:szCs w:val="16"/>
                <w:color w:val="auto"/>
              </w:rPr>
              <w:t>policies and practices as a risk- steps</w:t>
            </w: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assessment, major financial risk and</w:t>
            </w:r>
          </w:p>
        </w:tc>
        <w:tc>
          <w:tcPr>
            <w:tcW w:w="3540" w:type="dxa"/>
            <w:vAlign w:val="bottom"/>
            <w:shd w:val="clear" w:color="auto" w:fill="D8D8D8"/>
          </w:tcPr>
          <w:p>
            <w:pPr>
              <w:ind w:left="320"/>
              <w:spacing w:after="0"/>
              <w:rPr>
                <w:sz w:val="20"/>
                <w:szCs w:val="20"/>
                <w:color w:val="auto"/>
              </w:rPr>
            </w:pPr>
            <w:r>
              <w:rPr>
                <w:rFonts w:ascii="Arial" w:cs="Arial" w:eastAsia="Arial" w:hAnsi="Arial"/>
                <w:sz w:val="16"/>
                <w:szCs w:val="16"/>
                <w:color w:val="auto"/>
              </w:rPr>
              <w:t>management-related measure.</w:t>
            </w: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cybersecurity exposures and the steps</w:t>
            </w:r>
          </w:p>
        </w:tc>
        <w:tc>
          <w:tcPr>
            <w:tcW w:w="3540" w:type="dxa"/>
            <w:vAlign w:val="bottom"/>
            <w:shd w:val="clear" w:color="auto" w:fill="D8D8D8"/>
          </w:tcPr>
          <w:p>
            <w:pPr>
              <w:spacing w:after="0"/>
              <w:rPr>
                <w:sz w:val="16"/>
                <w:szCs w:val="16"/>
                <w:color w:val="auto"/>
              </w:rPr>
            </w:pP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5"/>
              </w:rPr>
              <w:t>management has taken to monitor, control and</w:t>
            </w:r>
          </w:p>
        </w:tc>
        <w:tc>
          <w:tcPr>
            <w:tcW w:w="3540" w:type="dxa"/>
            <w:vAlign w:val="bottom"/>
            <w:shd w:val="clear" w:color="auto" w:fill="D8D8D8"/>
          </w:tcPr>
          <w:p>
            <w:pPr>
              <w:spacing w:after="0"/>
              <w:rPr>
                <w:sz w:val="16"/>
                <w:szCs w:val="16"/>
                <w:color w:val="auto"/>
              </w:rPr>
            </w:pP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manage such exposures, including our risk</w:t>
            </w:r>
          </w:p>
        </w:tc>
        <w:tc>
          <w:tcPr>
            <w:tcW w:w="3540" w:type="dxa"/>
            <w:vAlign w:val="bottom"/>
            <w:shd w:val="clear" w:color="auto" w:fill="D8D8D8"/>
          </w:tcPr>
          <w:p>
            <w:pPr>
              <w:spacing w:after="0"/>
              <w:rPr>
                <w:sz w:val="16"/>
                <w:szCs w:val="16"/>
                <w:color w:val="auto"/>
              </w:rPr>
            </w:pP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6"/>
              </w:rPr>
              <w:t>management guidelines and policies. Reviews</w:t>
            </w:r>
          </w:p>
        </w:tc>
        <w:tc>
          <w:tcPr>
            <w:tcW w:w="3540" w:type="dxa"/>
            <w:vAlign w:val="bottom"/>
            <w:shd w:val="clear" w:color="auto" w:fill="D8D8D8"/>
          </w:tcPr>
          <w:p>
            <w:pPr>
              <w:spacing w:after="0"/>
              <w:rPr>
                <w:sz w:val="16"/>
                <w:szCs w:val="16"/>
                <w:color w:val="auto"/>
              </w:rPr>
            </w:pP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4"/>
              </w:rPr>
              <w:t>and discusses with other board committees our</w:t>
            </w:r>
          </w:p>
        </w:tc>
        <w:tc>
          <w:tcPr>
            <w:tcW w:w="3540" w:type="dxa"/>
            <w:vAlign w:val="bottom"/>
            <w:shd w:val="clear" w:color="auto" w:fill="D8D8D8"/>
          </w:tcPr>
          <w:p>
            <w:pPr>
              <w:spacing w:after="0"/>
              <w:rPr>
                <w:sz w:val="16"/>
                <w:szCs w:val="16"/>
                <w:color w:val="auto"/>
              </w:rPr>
            </w:pP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w w:val="92"/>
              </w:rPr>
              <w:t>environmental, social and governance programs</w:t>
            </w:r>
          </w:p>
        </w:tc>
        <w:tc>
          <w:tcPr>
            <w:tcW w:w="3540" w:type="dxa"/>
            <w:vAlign w:val="bottom"/>
            <w:shd w:val="clear" w:color="auto" w:fill="D8D8D8"/>
          </w:tcPr>
          <w:p>
            <w:pPr>
              <w:spacing w:after="0"/>
              <w:rPr>
                <w:sz w:val="16"/>
                <w:szCs w:val="16"/>
                <w:color w:val="auto"/>
              </w:rPr>
            </w:pPr>
          </w:p>
        </w:tc>
        <w:tc>
          <w:tcPr>
            <w:tcW w:w="28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9"/>
        </w:trPr>
        <w:tc>
          <w:tcPr>
            <w:tcW w:w="120" w:type="dxa"/>
            <w:vAlign w:val="bottom"/>
            <w:shd w:val="clear" w:color="auto" w:fill="D8D8D8"/>
          </w:tcPr>
          <w:p>
            <w:pPr>
              <w:spacing w:after="0"/>
              <w:rPr>
                <w:sz w:val="17"/>
                <w:szCs w:val="17"/>
                <w:color w:val="auto"/>
              </w:rPr>
            </w:pPr>
          </w:p>
        </w:tc>
        <w:tc>
          <w:tcPr>
            <w:tcW w:w="3300" w:type="dxa"/>
            <w:vAlign w:val="bottom"/>
            <w:shd w:val="clear" w:color="auto" w:fill="D8D8D8"/>
          </w:tcPr>
          <w:p>
            <w:pPr>
              <w:ind w:left="120"/>
              <w:spacing w:after="0"/>
              <w:rPr>
                <w:sz w:val="20"/>
                <w:szCs w:val="20"/>
                <w:color w:val="auto"/>
              </w:rPr>
            </w:pPr>
            <w:r>
              <w:rPr>
                <w:rFonts w:ascii="Arial" w:cs="Arial" w:eastAsia="Arial" w:hAnsi="Arial"/>
                <w:sz w:val="16"/>
                <w:szCs w:val="16"/>
                <w:color w:val="auto"/>
              </w:rPr>
              <w:t>and related matters.</w:t>
            </w:r>
          </w:p>
        </w:tc>
        <w:tc>
          <w:tcPr>
            <w:tcW w:w="3540" w:type="dxa"/>
            <w:vAlign w:val="bottom"/>
            <w:shd w:val="clear" w:color="auto" w:fill="D8D8D8"/>
          </w:tcPr>
          <w:p>
            <w:pPr>
              <w:spacing w:after="0"/>
              <w:rPr>
                <w:sz w:val="17"/>
                <w:szCs w:val="17"/>
                <w:color w:val="auto"/>
              </w:rPr>
            </w:pPr>
          </w:p>
        </w:tc>
        <w:tc>
          <w:tcPr>
            <w:tcW w:w="2840" w:type="dxa"/>
            <w:vAlign w:val="bottom"/>
            <w:shd w:val="clear" w:color="auto" w:fill="D8D8D8"/>
          </w:tcPr>
          <w:p>
            <w:pPr>
              <w:spacing w:after="0"/>
              <w:rPr>
                <w:sz w:val="17"/>
                <w:szCs w:val="17"/>
                <w:color w:val="auto"/>
              </w:rPr>
            </w:pPr>
          </w:p>
        </w:tc>
        <w:tc>
          <w:tcPr>
            <w:tcW w:w="42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r>
      <w:tr>
        <w:trPr>
          <w:trHeight w:val="383"/>
        </w:trPr>
        <w:tc>
          <w:tcPr>
            <w:tcW w:w="120" w:type="dxa"/>
            <w:vAlign w:val="bottom"/>
            <w:shd w:val="clear" w:color="auto" w:fill="D8D8D8"/>
          </w:tcPr>
          <w:p>
            <w:pPr>
              <w:spacing w:after="0"/>
              <w:rPr>
                <w:sz w:val="24"/>
                <w:szCs w:val="24"/>
                <w:color w:val="auto"/>
              </w:rPr>
            </w:pPr>
          </w:p>
        </w:tc>
        <w:tc>
          <w:tcPr>
            <w:tcW w:w="3300" w:type="dxa"/>
            <w:vAlign w:val="bottom"/>
            <w:shd w:val="clear" w:color="auto" w:fill="D8D8D8"/>
          </w:tcPr>
          <w:p>
            <w:pPr>
              <w:spacing w:after="0"/>
              <w:rPr>
                <w:sz w:val="24"/>
                <w:szCs w:val="24"/>
                <w:color w:val="auto"/>
              </w:rPr>
            </w:pPr>
          </w:p>
        </w:tc>
        <w:tc>
          <w:tcPr>
            <w:tcW w:w="3540" w:type="dxa"/>
            <w:vAlign w:val="bottom"/>
            <w:shd w:val="clear" w:color="auto" w:fill="D8D8D8"/>
          </w:tcPr>
          <w:p>
            <w:pPr>
              <w:spacing w:after="0"/>
              <w:rPr>
                <w:sz w:val="24"/>
                <w:szCs w:val="24"/>
                <w:color w:val="auto"/>
              </w:rPr>
            </w:pPr>
          </w:p>
        </w:tc>
        <w:tc>
          <w:tcPr>
            <w:tcW w:w="2840" w:type="dxa"/>
            <w:vAlign w:val="bottom"/>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289"/>
        </w:trPr>
        <w:tc>
          <w:tcPr>
            <w:tcW w:w="120" w:type="dxa"/>
            <w:vAlign w:val="bottom"/>
            <w:shd w:val="clear" w:color="auto" w:fill="D8D8D8"/>
          </w:tcPr>
          <w:p>
            <w:pPr>
              <w:spacing w:after="0"/>
              <w:rPr>
                <w:sz w:val="24"/>
                <w:szCs w:val="24"/>
                <w:color w:val="auto"/>
              </w:rPr>
            </w:pPr>
          </w:p>
        </w:tc>
        <w:tc>
          <w:tcPr>
            <w:tcW w:w="10100" w:type="dxa"/>
            <w:vAlign w:val="bottom"/>
            <w:gridSpan w:val="4"/>
            <w:shd w:val="clear" w:color="auto" w:fill="FDA685"/>
          </w:tcPr>
          <w:p>
            <w:pPr>
              <w:ind w:left="120"/>
              <w:spacing w:after="0"/>
              <w:rPr>
                <w:sz w:val="20"/>
                <w:szCs w:val="20"/>
                <w:color w:val="auto"/>
              </w:rPr>
            </w:pPr>
            <w:r>
              <w:rPr>
                <w:rFonts w:ascii="Arial" w:cs="Arial" w:eastAsia="Arial" w:hAnsi="Arial"/>
                <w:sz w:val="16"/>
                <w:szCs w:val="16"/>
                <w:color w:val="auto"/>
                <w:w w:val="89"/>
              </w:rPr>
              <w:t>Our management maintains, as part of our disclosure controls and procedures, a separate disclosure committee that, as part of its review of our quarterly and</w:t>
            </w:r>
          </w:p>
        </w:tc>
        <w:tc>
          <w:tcPr>
            <w:tcW w:w="180" w:type="dxa"/>
            <w:vAlign w:val="bottom"/>
            <w:shd w:val="clear" w:color="auto" w:fill="FDA685"/>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199"/>
        </w:trPr>
        <w:tc>
          <w:tcPr>
            <w:tcW w:w="120" w:type="dxa"/>
            <w:vAlign w:val="bottom"/>
            <w:shd w:val="clear" w:color="auto" w:fill="D8D8D8"/>
          </w:tcPr>
          <w:p>
            <w:pPr>
              <w:spacing w:after="0"/>
              <w:rPr>
                <w:sz w:val="17"/>
                <w:szCs w:val="17"/>
                <w:color w:val="auto"/>
              </w:rPr>
            </w:pPr>
          </w:p>
        </w:tc>
        <w:tc>
          <w:tcPr>
            <w:tcW w:w="9680" w:type="dxa"/>
            <w:vAlign w:val="bottom"/>
            <w:gridSpan w:val="3"/>
            <w:shd w:val="clear" w:color="auto" w:fill="FDA685"/>
          </w:tcPr>
          <w:p>
            <w:pPr>
              <w:ind w:left="120"/>
              <w:spacing w:after="0"/>
              <w:rPr>
                <w:sz w:val="20"/>
                <w:szCs w:val="20"/>
                <w:color w:val="auto"/>
              </w:rPr>
            </w:pPr>
            <w:r>
              <w:rPr>
                <w:rFonts w:ascii="Arial" w:cs="Arial" w:eastAsia="Arial" w:hAnsi="Arial"/>
                <w:sz w:val="16"/>
                <w:szCs w:val="16"/>
                <w:color w:val="auto"/>
                <w:w w:val="98"/>
              </w:rPr>
              <w:t>annual reports, helps facilitate understanding by the Audit Committee and our full board of directors of new or changing risks affecting us.</w:t>
            </w:r>
          </w:p>
        </w:tc>
        <w:tc>
          <w:tcPr>
            <w:tcW w:w="420" w:type="dxa"/>
            <w:vAlign w:val="bottom"/>
            <w:shd w:val="clear" w:color="auto" w:fill="FDA685"/>
          </w:tcPr>
          <w:p>
            <w:pPr>
              <w:spacing w:after="0"/>
              <w:rPr>
                <w:sz w:val="17"/>
                <w:szCs w:val="17"/>
                <w:color w:val="auto"/>
              </w:rPr>
            </w:pPr>
          </w:p>
        </w:tc>
        <w:tc>
          <w:tcPr>
            <w:tcW w:w="180" w:type="dxa"/>
            <w:vAlign w:val="bottom"/>
            <w:shd w:val="clear" w:color="auto" w:fill="FDA685"/>
          </w:tcPr>
          <w:p>
            <w:pPr>
              <w:spacing w:after="0"/>
              <w:rPr>
                <w:sz w:val="17"/>
                <w:szCs w:val="17"/>
                <w:color w:val="auto"/>
              </w:rPr>
            </w:pPr>
          </w:p>
        </w:tc>
        <w:tc>
          <w:tcPr>
            <w:tcW w:w="220" w:type="dxa"/>
            <w:vAlign w:val="bottom"/>
            <w:shd w:val="clear" w:color="auto" w:fill="D8D8D8"/>
          </w:tcPr>
          <w:p>
            <w:pPr>
              <w:spacing w:after="0"/>
              <w:rPr>
                <w:sz w:val="17"/>
                <w:szCs w:val="17"/>
                <w:color w:val="auto"/>
              </w:rPr>
            </w:pPr>
          </w:p>
        </w:tc>
      </w:tr>
      <w:tr>
        <w:trPr>
          <w:trHeight w:val="110"/>
        </w:trPr>
        <w:tc>
          <w:tcPr>
            <w:tcW w:w="120" w:type="dxa"/>
            <w:vAlign w:val="bottom"/>
            <w:shd w:val="clear" w:color="auto" w:fill="D8D8D8"/>
          </w:tcPr>
          <w:p>
            <w:pPr>
              <w:spacing w:after="0"/>
              <w:rPr>
                <w:sz w:val="9"/>
                <w:szCs w:val="9"/>
                <w:color w:val="auto"/>
              </w:rPr>
            </w:pPr>
          </w:p>
        </w:tc>
        <w:tc>
          <w:tcPr>
            <w:tcW w:w="3300" w:type="dxa"/>
            <w:vAlign w:val="bottom"/>
            <w:shd w:val="clear" w:color="auto" w:fill="FDA685"/>
          </w:tcPr>
          <w:p>
            <w:pPr>
              <w:spacing w:after="0"/>
              <w:rPr>
                <w:sz w:val="9"/>
                <w:szCs w:val="9"/>
                <w:color w:val="auto"/>
              </w:rPr>
            </w:pPr>
          </w:p>
        </w:tc>
        <w:tc>
          <w:tcPr>
            <w:tcW w:w="3540" w:type="dxa"/>
            <w:vAlign w:val="bottom"/>
            <w:shd w:val="clear" w:color="auto" w:fill="FDA685"/>
          </w:tcPr>
          <w:p>
            <w:pPr>
              <w:spacing w:after="0"/>
              <w:rPr>
                <w:sz w:val="9"/>
                <w:szCs w:val="9"/>
                <w:color w:val="auto"/>
              </w:rPr>
            </w:pPr>
          </w:p>
        </w:tc>
        <w:tc>
          <w:tcPr>
            <w:tcW w:w="2840" w:type="dxa"/>
            <w:vAlign w:val="bottom"/>
            <w:shd w:val="clear" w:color="auto" w:fill="FDA685"/>
          </w:tcPr>
          <w:p>
            <w:pPr>
              <w:spacing w:after="0"/>
              <w:rPr>
                <w:sz w:val="9"/>
                <w:szCs w:val="9"/>
                <w:color w:val="auto"/>
              </w:rPr>
            </w:pPr>
          </w:p>
        </w:tc>
        <w:tc>
          <w:tcPr>
            <w:tcW w:w="420" w:type="dxa"/>
            <w:vAlign w:val="bottom"/>
            <w:shd w:val="clear" w:color="auto" w:fill="FDA685"/>
          </w:tcPr>
          <w:p>
            <w:pPr>
              <w:spacing w:after="0"/>
              <w:rPr>
                <w:sz w:val="9"/>
                <w:szCs w:val="9"/>
                <w:color w:val="auto"/>
              </w:rPr>
            </w:pPr>
          </w:p>
        </w:tc>
        <w:tc>
          <w:tcPr>
            <w:tcW w:w="180" w:type="dxa"/>
            <w:vAlign w:val="bottom"/>
            <w:shd w:val="clear" w:color="auto" w:fill="FDA685"/>
          </w:tcPr>
          <w:p>
            <w:pPr>
              <w:spacing w:after="0"/>
              <w:rPr>
                <w:sz w:val="9"/>
                <w:szCs w:val="9"/>
                <w:color w:val="auto"/>
              </w:rPr>
            </w:pPr>
          </w:p>
        </w:tc>
        <w:tc>
          <w:tcPr>
            <w:tcW w:w="220" w:type="dxa"/>
            <w:vAlign w:val="bottom"/>
            <w:shd w:val="clear" w:color="auto" w:fill="D8D8D8"/>
          </w:tcPr>
          <w:p>
            <w:pPr>
              <w:spacing w:after="0"/>
              <w:rPr>
                <w:sz w:val="9"/>
                <w:szCs w:val="9"/>
                <w:color w:val="auto"/>
              </w:rPr>
            </w:pPr>
          </w:p>
        </w:tc>
      </w:tr>
      <w:tr>
        <w:trPr>
          <w:trHeight w:val="91"/>
        </w:trPr>
        <w:tc>
          <w:tcPr>
            <w:tcW w:w="120" w:type="dxa"/>
            <w:vAlign w:val="bottom"/>
            <w:shd w:val="clear" w:color="auto" w:fill="D8D8D8"/>
          </w:tcPr>
          <w:p>
            <w:pPr>
              <w:spacing w:after="0"/>
              <w:rPr>
                <w:sz w:val="7"/>
                <w:szCs w:val="7"/>
                <w:color w:val="auto"/>
              </w:rPr>
            </w:pPr>
          </w:p>
        </w:tc>
        <w:tc>
          <w:tcPr>
            <w:tcW w:w="3300" w:type="dxa"/>
            <w:vAlign w:val="bottom"/>
            <w:shd w:val="clear" w:color="auto" w:fill="D8D8D8"/>
          </w:tcPr>
          <w:p>
            <w:pPr>
              <w:spacing w:after="0"/>
              <w:rPr>
                <w:sz w:val="7"/>
                <w:szCs w:val="7"/>
                <w:color w:val="auto"/>
              </w:rPr>
            </w:pPr>
          </w:p>
        </w:tc>
        <w:tc>
          <w:tcPr>
            <w:tcW w:w="3540" w:type="dxa"/>
            <w:vAlign w:val="bottom"/>
            <w:shd w:val="clear" w:color="auto" w:fill="D8D8D8"/>
          </w:tcPr>
          <w:p>
            <w:pPr>
              <w:spacing w:after="0"/>
              <w:rPr>
                <w:sz w:val="7"/>
                <w:szCs w:val="7"/>
                <w:color w:val="auto"/>
              </w:rPr>
            </w:pPr>
          </w:p>
        </w:tc>
        <w:tc>
          <w:tcPr>
            <w:tcW w:w="2840" w:type="dxa"/>
            <w:vAlign w:val="bottom"/>
            <w:shd w:val="clear" w:color="auto" w:fill="D8D8D8"/>
          </w:tcPr>
          <w:p>
            <w:pPr>
              <w:spacing w:after="0"/>
              <w:rPr>
                <w:sz w:val="7"/>
                <w:szCs w:val="7"/>
                <w:color w:val="auto"/>
              </w:rPr>
            </w:pPr>
          </w:p>
        </w:tc>
        <w:tc>
          <w:tcPr>
            <w:tcW w:w="420" w:type="dxa"/>
            <w:vAlign w:val="bottom"/>
            <w:shd w:val="clear" w:color="auto" w:fill="D8D8D8"/>
          </w:tcPr>
          <w:p>
            <w:pPr>
              <w:spacing w:after="0"/>
              <w:rPr>
                <w:sz w:val="7"/>
                <w:szCs w:val="7"/>
                <w:color w:val="auto"/>
              </w:rPr>
            </w:pPr>
          </w:p>
        </w:tc>
        <w:tc>
          <w:tcPr>
            <w:tcW w:w="180" w:type="dxa"/>
            <w:vAlign w:val="bottom"/>
            <w:shd w:val="clear" w:color="auto" w:fill="D8D8D8"/>
          </w:tcPr>
          <w:p>
            <w:pPr>
              <w:spacing w:after="0"/>
              <w:rPr>
                <w:sz w:val="7"/>
                <w:szCs w:val="7"/>
                <w:color w:val="auto"/>
              </w:rPr>
            </w:pPr>
          </w:p>
        </w:tc>
        <w:tc>
          <w:tcPr>
            <w:tcW w:w="220" w:type="dxa"/>
            <w:vAlign w:val="bottom"/>
            <w:shd w:val="clear" w:color="auto" w:fill="D8D8D8"/>
          </w:tcPr>
          <w:p>
            <w:pPr>
              <w:spacing w:after="0"/>
              <w:rPr>
                <w:sz w:val="7"/>
                <w:szCs w:val="7"/>
                <w:color w:val="auto"/>
              </w:rPr>
            </w:pPr>
          </w:p>
        </w:tc>
      </w:tr>
      <w:tr>
        <w:trPr>
          <w:trHeight w:val="615"/>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40" w:type="dxa"/>
            <w:vAlign w:val="bottom"/>
          </w:tcPr>
          <w:p>
            <w:pPr>
              <w:ind w:left="880"/>
              <w:spacing w:after="0"/>
              <w:rPr>
                <w:sz w:val="20"/>
                <w:szCs w:val="20"/>
                <w:color w:val="auto"/>
              </w:rPr>
            </w:pPr>
            <w:r>
              <w:rPr>
                <w:rFonts w:ascii="Arial" w:cs="Arial" w:eastAsia="Arial" w:hAnsi="Arial"/>
                <w:sz w:val="13"/>
                <w:szCs w:val="13"/>
                <w:color w:val="auto"/>
              </w:rPr>
              <w:t>EXL 2023 Proxy Statement</w:t>
            </w:r>
          </w:p>
        </w:tc>
        <w:tc>
          <w:tcPr>
            <w:tcW w:w="420" w:type="dxa"/>
            <w:vAlign w:val="bottom"/>
          </w:tcPr>
          <w:p>
            <w:pPr>
              <w:jc w:val="right"/>
              <w:ind w:right="141"/>
              <w:spacing w:after="0"/>
              <w:rPr>
                <w:sz w:val="20"/>
                <w:szCs w:val="20"/>
                <w:color w:val="auto"/>
              </w:rPr>
            </w:pPr>
            <w:r>
              <w:rPr>
                <w:rFonts w:ascii="Arial" w:cs="Arial" w:eastAsia="Arial" w:hAnsi="Arial"/>
                <w:sz w:val="28"/>
                <w:szCs w:val="28"/>
                <w:b w:val="1"/>
                <w:bCs w:val="1"/>
                <w:color w:val="FB4E0B"/>
              </w:rPr>
              <w:t>/</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4"/>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-2843530</wp:posOffset>
            </wp:positionV>
            <wp:extent cx="6542405" cy="20154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42405" cy="201549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Cybersecurity risk management</w:t>
      </w:r>
    </w:p>
    <w:p>
      <w:pPr>
        <w:spacing w:after="0" w:line="117"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Given the nature of our business, EXL is highly focused on maintaining a robust and comprehensive program that identifies and manages a broad range of cybersecurity and data privacy, referred to collectively herein as “cybersecurity,” risks on behalf of our clients and their customers, as well as our employees, contractors and any relevant third parties. Cybersecurity is managed by our cross-functional cybersecurity apex body, the Management Security, Continuity and Privacy Forum, which is comprised of representatives from our management, business unit heads, and our technology and information security leadership teams. Our Audit Committee has primary oversight and receives regular briefings throughout the year on all identified and possible cybersecurity-related risks, vulnerabilities and strategic policies and practices from management. At least once a year, our board receives a report from management on the Company’s readiness and capability to reduce the risk of, detect and respond to a cyber-attack. Our cybersecurity team consists of privacy attorneys, qualified technical cybersecurity professionals and business continuity specialists. We also periodically engage third-party experts to review and assess our cybersecurity governance and management. In 2022, our Board and management completed cybersecurity tabletop exercises to further our preparedness in the event of a need to address a variety of cybersecurity threat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208915</wp:posOffset>
            </wp:positionV>
            <wp:extent cx="5889625" cy="34944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89625" cy="349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details on our cybersecurity program, see “Sustainability – Cybersecurity at EXL” on page 54.</w:t>
      </w:r>
    </w:p>
    <w:p>
      <w:pPr>
        <w:spacing w:after="0" w:line="136"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60"/>
          </w:cols>
          <w:pgMar w:left="320" w:top="473" w:right="71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Environmental, social and governance (“ESG”) risk management</w:t>
      </w:r>
    </w:p>
    <w:p>
      <w:pPr>
        <w:spacing w:after="0" w:line="117" w:lineRule="exact"/>
        <w:rPr>
          <w:sz w:val="20"/>
          <w:szCs w:val="20"/>
          <w:color w:val="auto"/>
        </w:rPr>
      </w:pPr>
    </w:p>
    <w:p>
      <w:pPr>
        <w:ind w:left="320" w:right="620"/>
        <w:spacing w:after="0" w:line="287" w:lineRule="auto"/>
        <w:rPr>
          <w:sz w:val="20"/>
          <w:szCs w:val="20"/>
          <w:color w:val="auto"/>
        </w:rPr>
      </w:pPr>
      <w:r>
        <w:rPr>
          <w:rFonts w:ascii="Arial" w:cs="Arial" w:eastAsia="Arial" w:hAnsi="Arial"/>
          <w:sz w:val="16"/>
          <w:szCs w:val="16"/>
          <w:color w:val="auto"/>
        </w:rPr>
        <w:t>Our board reviews and receives regular reports on ESG and sustainability risks, including those relating to ESG disclosures, employee safety, environmental-related efforts, human capital management matters, and corporate governance trends and best practices. In 2022, we continued to implement further controls, processes and frameworks for the collection and disclosure of ESG-related data. We also receive third-party limited assurance of certain indicators contained within our Sustainability Report from a Big 4 accounting firm affiliate.</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of our board Committees is involved in oversight over ESG-related risks as relate to matters within their purview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164465</wp:posOffset>
            </wp:positionV>
            <wp:extent cx="4997450" cy="27260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974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full board is regularly briefed on the matters overseen by each Committee.</w:t>
      </w:r>
    </w:p>
    <w:p>
      <w:pPr>
        <w:spacing w:after="0" w:line="325"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We maintain a management-level ESG steering committee, which is responsible for setting our sustainability/ESG strategy and risk management, keeping our management and board up-to-date on ESG-related developments, overseeing our internal and external disclosure on ESG matters, and providing implementation support across our Company. The ESG steering committee works in close coordination with the board, and provides the board with advice and assistance in its oversight of ESG risks and other matters. For more details on our ESG and sustainability-related efforts, see “Sustainability” on page 48.</w:t>
      </w:r>
    </w:p>
    <w:p>
      <w:pPr>
        <w:spacing w:after="0" w:line="236"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45</w:t>
      </w:r>
    </w:p>
    <w:p>
      <w:pPr>
        <w:sectPr>
          <w:pgSz w:w="11900" w:h="16838" w:orient="portrait"/>
          <w:cols w:equalWidth="0" w:num="1">
            <w:col w:w="10940"/>
          </w:cols>
          <w:pgMar w:left="320" w:top="473" w:right="6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940" w:type="dxa"/>
            <w:vAlign w:val="bottom"/>
          </w:tcPr>
          <w:p>
            <w:pPr>
              <w:spacing w:after="0"/>
              <w:rPr>
                <w:sz w:val="20"/>
                <w:szCs w:val="20"/>
                <w:color w:val="auto"/>
              </w:rPr>
            </w:pPr>
            <w:r>
              <w:rPr>
                <w:rFonts w:ascii="Arial" w:cs="Arial" w:eastAsia="Arial" w:hAnsi="Arial"/>
                <w:sz w:val="14"/>
                <w:szCs w:val="14"/>
                <w:b w:val="1"/>
                <w:bCs w:val="1"/>
                <w:color w:val="D8D8D8"/>
              </w:rPr>
              <w:t>Corporate governance</w:t>
            </w:r>
          </w:p>
        </w:tc>
        <w:tc>
          <w:tcPr>
            <w:tcW w:w="2840" w:type="dxa"/>
            <w:vAlign w:val="bottom"/>
          </w:tcPr>
          <w:p>
            <w:pPr>
              <w:spacing w:after="0"/>
              <w:rPr>
                <w:sz w:val="15"/>
                <w:szCs w:val="15"/>
                <w:color w:val="auto"/>
              </w:rPr>
            </w:pPr>
          </w:p>
        </w:tc>
      </w:tr>
      <w:tr>
        <w:trPr>
          <w:trHeight w:val="630"/>
        </w:trPr>
        <w:tc>
          <w:tcPr>
            <w:tcW w:w="6940" w:type="dxa"/>
            <w:vAlign w:val="bottom"/>
          </w:tcPr>
          <w:p>
            <w:pPr>
              <w:spacing w:after="0"/>
              <w:rPr>
                <w:sz w:val="20"/>
                <w:szCs w:val="20"/>
                <w:color w:val="auto"/>
              </w:rPr>
            </w:pPr>
            <w:r>
              <w:rPr>
                <w:rFonts w:ascii="Arial" w:cs="Arial" w:eastAsia="Arial" w:hAnsi="Arial"/>
                <w:sz w:val="24"/>
                <w:szCs w:val="24"/>
                <w:color w:val="auto"/>
              </w:rPr>
              <w:t>Stockholder engagement</w:t>
            </w:r>
          </w:p>
        </w:tc>
        <w:tc>
          <w:tcPr>
            <w:tcW w:w="2840" w:type="dxa"/>
            <w:vAlign w:val="bottom"/>
          </w:tcPr>
          <w:p>
            <w:pPr>
              <w:ind w:left="480"/>
              <w:spacing w:after="0"/>
              <w:rPr>
                <w:sz w:val="20"/>
                <w:szCs w:val="20"/>
                <w:color w:val="auto"/>
              </w:rPr>
            </w:pPr>
            <w:r>
              <w:rPr>
                <w:rFonts w:ascii="Arial" w:cs="Arial" w:eastAsia="Arial" w:hAnsi="Arial"/>
                <w:sz w:val="17"/>
                <w:szCs w:val="17"/>
                <w:color w:val="auto"/>
                <w:w w:val="90"/>
              </w:rPr>
              <w:t>Stockholder Engagement 2022-23</w:t>
            </w:r>
          </w:p>
        </w:tc>
      </w:tr>
      <w:tr>
        <w:trPr>
          <w:trHeight w:val="306"/>
        </w:trPr>
        <w:tc>
          <w:tcPr>
            <w:tcW w:w="6940" w:type="dxa"/>
            <w:vAlign w:val="bottom"/>
          </w:tcPr>
          <w:p>
            <w:pPr>
              <w:spacing w:after="0"/>
              <w:rPr>
                <w:sz w:val="20"/>
                <w:szCs w:val="20"/>
                <w:color w:val="auto"/>
              </w:rPr>
            </w:pPr>
            <w:r>
              <w:rPr>
                <w:rFonts w:ascii="Arial" w:cs="Arial" w:eastAsia="Arial" w:hAnsi="Arial"/>
                <w:sz w:val="17"/>
                <w:szCs w:val="17"/>
                <w:color w:val="auto"/>
              </w:rPr>
              <w:t>In 2022 and continuing into early 2023, we continued our formal governance-focused</w:t>
            </w:r>
          </w:p>
        </w:tc>
        <w:tc>
          <w:tcPr>
            <w:tcW w:w="2840" w:type="dxa"/>
            <w:vAlign w:val="bottom"/>
          </w:tcPr>
          <w:p>
            <w:pPr>
              <w:spacing w:after="0"/>
              <w:rPr>
                <w:sz w:val="24"/>
                <w:szCs w:val="24"/>
                <w:color w:val="auto"/>
              </w:rPr>
            </w:pPr>
          </w:p>
        </w:tc>
      </w:tr>
      <w:tr>
        <w:trPr>
          <w:trHeight w:val="208"/>
        </w:trPr>
        <w:tc>
          <w:tcPr>
            <w:tcW w:w="6940" w:type="dxa"/>
            <w:vAlign w:val="bottom"/>
          </w:tcPr>
          <w:p>
            <w:pPr>
              <w:spacing w:after="0"/>
              <w:rPr>
                <w:sz w:val="20"/>
                <w:szCs w:val="20"/>
                <w:color w:val="auto"/>
              </w:rPr>
            </w:pPr>
            <w:r>
              <w:rPr>
                <w:rFonts w:ascii="Arial" w:cs="Arial" w:eastAsia="Arial" w:hAnsi="Arial"/>
                <w:sz w:val="17"/>
                <w:szCs w:val="17"/>
                <w:color w:val="auto"/>
              </w:rPr>
              <w:t>stockholder outreach program. The scope of our outreach and engagement is shown in the</w:t>
            </w:r>
          </w:p>
        </w:tc>
        <w:tc>
          <w:tcPr>
            <w:tcW w:w="2840" w:type="dxa"/>
            <w:vAlign w:val="bottom"/>
          </w:tcPr>
          <w:p>
            <w:pPr>
              <w:spacing w:after="0"/>
              <w:rPr>
                <w:sz w:val="18"/>
                <w:szCs w:val="18"/>
                <w:color w:val="auto"/>
              </w:rPr>
            </w:pPr>
          </w:p>
        </w:tc>
      </w:tr>
      <w:tr>
        <w:trPr>
          <w:trHeight w:val="208"/>
        </w:trPr>
        <w:tc>
          <w:tcPr>
            <w:tcW w:w="6940" w:type="dxa"/>
            <w:vAlign w:val="bottom"/>
          </w:tcPr>
          <w:p>
            <w:pPr>
              <w:spacing w:after="0"/>
              <w:rPr>
                <w:sz w:val="20"/>
                <w:szCs w:val="20"/>
                <w:color w:val="auto"/>
              </w:rPr>
            </w:pPr>
            <w:r>
              <w:rPr>
                <w:rFonts w:ascii="Arial" w:cs="Arial" w:eastAsia="Arial" w:hAnsi="Arial"/>
                <w:sz w:val="17"/>
                <w:szCs w:val="17"/>
                <w:color w:val="auto"/>
                <w:w w:val="99"/>
              </w:rPr>
              <w:t>graphic to the right of this paragraph. Given our frequent engagement and the maturity of our</w:t>
            </w:r>
          </w:p>
        </w:tc>
        <w:tc>
          <w:tcPr>
            <w:tcW w:w="2840" w:type="dxa"/>
            <w:vAlign w:val="bottom"/>
          </w:tcPr>
          <w:p>
            <w:pPr>
              <w:spacing w:after="0"/>
              <w:rPr>
                <w:sz w:val="18"/>
                <w:szCs w:val="18"/>
                <w:color w:val="auto"/>
              </w:rPr>
            </w:pPr>
          </w:p>
        </w:tc>
      </w:tr>
      <w:tr>
        <w:trPr>
          <w:trHeight w:val="208"/>
        </w:trPr>
        <w:tc>
          <w:tcPr>
            <w:tcW w:w="6940" w:type="dxa"/>
            <w:vAlign w:val="bottom"/>
          </w:tcPr>
          <w:p>
            <w:pPr>
              <w:spacing w:after="0"/>
              <w:rPr>
                <w:sz w:val="20"/>
                <w:szCs w:val="20"/>
                <w:color w:val="auto"/>
              </w:rPr>
            </w:pPr>
            <w:r>
              <w:rPr>
                <w:rFonts w:ascii="Arial" w:cs="Arial" w:eastAsia="Arial" w:hAnsi="Arial"/>
                <w:sz w:val="17"/>
                <w:szCs w:val="17"/>
                <w:color w:val="auto"/>
              </w:rPr>
              <w:t>stockholder outreach program, a number of our stockholders that we engaged with in prior</w:t>
            </w:r>
          </w:p>
        </w:tc>
        <w:tc>
          <w:tcPr>
            <w:tcW w:w="2840" w:type="dxa"/>
            <w:vAlign w:val="bottom"/>
          </w:tcPr>
          <w:p>
            <w:pPr>
              <w:spacing w:after="0"/>
              <w:rPr>
                <w:sz w:val="18"/>
                <w:szCs w:val="18"/>
                <w:color w:val="auto"/>
              </w:rPr>
            </w:pPr>
          </w:p>
        </w:tc>
      </w:tr>
      <w:tr>
        <w:trPr>
          <w:trHeight w:val="208"/>
        </w:trPr>
        <w:tc>
          <w:tcPr>
            <w:tcW w:w="6940" w:type="dxa"/>
            <w:vAlign w:val="bottom"/>
          </w:tcPr>
          <w:p>
            <w:pPr>
              <w:spacing w:after="0"/>
              <w:rPr>
                <w:sz w:val="20"/>
                <w:szCs w:val="20"/>
                <w:color w:val="auto"/>
              </w:rPr>
            </w:pPr>
            <w:r>
              <w:rPr>
                <w:rFonts w:ascii="Arial" w:cs="Arial" w:eastAsia="Arial" w:hAnsi="Arial"/>
                <w:sz w:val="17"/>
                <w:szCs w:val="17"/>
                <w:color w:val="auto"/>
                <w:w w:val="97"/>
              </w:rPr>
              <w:t>years elected to defer meeting to a future year. EXL was represented by our management and</w:t>
            </w:r>
          </w:p>
        </w:tc>
        <w:tc>
          <w:tcPr>
            <w:tcW w:w="2840" w:type="dxa"/>
            <w:vAlign w:val="bottom"/>
          </w:tcPr>
          <w:p>
            <w:pPr>
              <w:spacing w:after="0"/>
              <w:rPr>
                <w:sz w:val="18"/>
                <w:szCs w:val="18"/>
                <w:color w:val="auto"/>
              </w:rPr>
            </w:pPr>
          </w:p>
        </w:tc>
      </w:tr>
      <w:tr>
        <w:trPr>
          <w:trHeight w:val="208"/>
        </w:trPr>
        <w:tc>
          <w:tcPr>
            <w:tcW w:w="6940" w:type="dxa"/>
            <w:vAlign w:val="bottom"/>
          </w:tcPr>
          <w:p>
            <w:pPr>
              <w:spacing w:after="0"/>
              <w:rPr>
                <w:sz w:val="20"/>
                <w:szCs w:val="20"/>
                <w:color w:val="auto"/>
              </w:rPr>
            </w:pPr>
            <w:r>
              <w:rPr>
                <w:rFonts w:ascii="Arial" w:cs="Arial" w:eastAsia="Arial" w:hAnsi="Arial"/>
                <w:sz w:val="17"/>
                <w:szCs w:val="17"/>
                <w:color w:val="auto"/>
              </w:rPr>
              <w:t>members of our legal and investor relations teams at these meetings, and one meeting was</w:t>
            </w:r>
          </w:p>
        </w:tc>
        <w:tc>
          <w:tcPr>
            <w:tcW w:w="2840" w:type="dxa"/>
            <w:vAlign w:val="bottom"/>
          </w:tcPr>
          <w:p>
            <w:pPr>
              <w:spacing w:after="0"/>
              <w:rPr>
                <w:sz w:val="18"/>
                <w:szCs w:val="18"/>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7"/>
                <w:szCs w:val="17"/>
                <w:color w:val="auto"/>
              </w:rPr>
              <w:t>led by Mr. Pandit, our Independent Board Chairman. We discussed the following topics:</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-899795</wp:posOffset>
            </wp:positionV>
            <wp:extent cx="5171440" cy="47663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7144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line="295" w:lineRule="auto"/>
        <w:rPr>
          <w:sz w:val="20"/>
          <w:szCs w:val="20"/>
          <w:color w:val="auto"/>
        </w:rPr>
      </w:pPr>
      <w:r>
        <w:rPr>
          <w:rFonts w:ascii="Arial" w:cs="Arial" w:eastAsia="Arial" w:hAnsi="Arial"/>
          <w:sz w:val="16"/>
          <w:szCs w:val="16"/>
          <w:color w:val="auto"/>
        </w:rPr>
        <w:t>EXL also regularly interacts and shares information with our stockholders through our quarterly earnings calls, investor meetings, SEC filings and publications on our website, among others. The feedback received from our stockholders is shared with and reviewed by our board, which is used to inform and focus our decisions relating to our governance and sustainability practices and to improve our disclosure.</w:t>
      </w:r>
    </w:p>
    <w:p>
      <w:pPr>
        <w:spacing w:after="0" w:line="69"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46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600"/>
          </w:cols>
          <w:pgMar w:left="320" w:top="473" w:right="97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Corporate governance</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Communications with the board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Stockholders interested in contacting our board of directors, our Chairman or any individual director are invited to do so by writing to:</w:t>
      </w: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Board of Directors of ExlService Holdings, Inc.</w:t>
      </w:r>
    </w:p>
    <w:p>
      <w:pPr>
        <w:spacing w:after="0" w:line="65"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 Corporate Secretary</w:t>
      </w:r>
    </w:p>
    <w:p>
      <w:pPr>
        <w:spacing w:after="0" w:line="65"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ExlService Holdings, Inc.</w:t>
      </w:r>
    </w:p>
    <w:p>
      <w:pPr>
        <w:spacing w:after="0" w:line="4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320 Park Avenue, 29</w:t>
      </w:r>
      <w:r>
        <w:rPr>
          <w:rFonts w:ascii="Arial" w:cs="Arial" w:eastAsia="Arial" w:hAnsi="Arial"/>
          <w:sz w:val="26"/>
          <w:szCs w:val="26"/>
          <w:b w:val="1"/>
          <w:bCs w:val="1"/>
          <w:color w:val="auto"/>
          <w:vertAlign w:val="superscript"/>
        </w:rPr>
        <w:t>th</w:t>
      </w:r>
      <w:r>
        <w:rPr>
          <w:rFonts w:ascii="Arial" w:cs="Arial" w:eastAsia="Arial" w:hAnsi="Arial"/>
          <w:sz w:val="17"/>
          <w:szCs w:val="17"/>
          <w:b w:val="1"/>
          <w:bCs w:val="1"/>
          <w:color w:val="auto"/>
        </w:rPr>
        <w:t xml:space="preserve"> Floor</w:t>
      </w:r>
    </w:p>
    <w:p>
      <w:pPr>
        <w:jc w:val="center"/>
        <w:ind w:right="-319"/>
        <w:spacing w:after="0"/>
        <w:rPr>
          <w:sz w:val="20"/>
          <w:szCs w:val="20"/>
          <w:color w:val="auto"/>
        </w:rPr>
      </w:pPr>
      <w:r>
        <w:rPr>
          <w:rFonts w:ascii="Arial" w:cs="Arial" w:eastAsia="Arial" w:hAnsi="Arial"/>
          <w:sz w:val="17"/>
          <w:szCs w:val="17"/>
          <w:b w:val="1"/>
          <w:bCs w:val="1"/>
          <w:color w:val="auto"/>
        </w:rPr>
        <w:t>New York, New York 10022</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Stockholder communications specifically addressed to a particular director will be referred to that director.</w:t>
      </w:r>
    </w:p>
    <w:p>
      <w:pPr>
        <w:spacing w:after="0" w:line="313" w:lineRule="exact"/>
        <w:rPr>
          <w:sz w:val="20"/>
          <w:szCs w:val="20"/>
          <w:color w:val="auto"/>
        </w:rPr>
      </w:pPr>
    </w:p>
    <w:p>
      <w:pPr>
        <w:ind w:left="320" w:right="140"/>
        <w:spacing w:after="0" w:line="270" w:lineRule="auto"/>
        <w:rPr>
          <w:sz w:val="20"/>
          <w:szCs w:val="20"/>
          <w:color w:val="auto"/>
        </w:rPr>
      </w:pPr>
      <w:r>
        <w:rPr>
          <w:rFonts w:ascii="Arial" w:cs="Arial" w:eastAsia="Arial" w:hAnsi="Arial"/>
          <w:sz w:val="17"/>
          <w:szCs w:val="17"/>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Audit Committee of the Board of Directors</w:t>
      </w:r>
    </w:p>
    <w:p>
      <w:pPr>
        <w:spacing w:after="0" w:line="65"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ExlService Holdings, Inc.</w:t>
      </w:r>
    </w:p>
    <w:p>
      <w:pPr>
        <w:spacing w:after="0" w:line="4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320 Park Avenue, 29</w:t>
      </w:r>
      <w:r>
        <w:rPr>
          <w:rFonts w:ascii="Arial" w:cs="Arial" w:eastAsia="Arial" w:hAnsi="Arial"/>
          <w:sz w:val="26"/>
          <w:szCs w:val="26"/>
          <w:b w:val="1"/>
          <w:bCs w:val="1"/>
          <w:color w:val="auto"/>
          <w:vertAlign w:val="superscript"/>
        </w:rPr>
        <w:t>th</w:t>
      </w:r>
      <w:r>
        <w:rPr>
          <w:rFonts w:ascii="Arial" w:cs="Arial" w:eastAsia="Arial" w:hAnsi="Arial"/>
          <w:sz w:val="17"/>
          <w:szCs w:val="17"/>
          <w:b w:val="1"/>
          <w:bCs w:val="1"/>
          <w:color w:val="auto"/>
        </w:rPr>
        <w:t xml:space="preserve"> Floor</w:t>
      </w:r>
    </w:p>
    <w:p>
      <w:pPr>
        <w:jc w:val="center"/>
        <w:ind w:right="-319"/>
        <w:spacing w:after="0"/>
        <w:rPr>
          <w:sz w:val="20"/>
          <w:szCs w:val="20"/>
          <w:color w:val="auto"/>
        </w:rPr>
      </w:pPr>
      <w:r>
        <w:rPr>
          <w:rFonts w:ascii="Arial" w:cs="Arial" w:eastAsia="Arial" w:hAnsi="Arial"/>
          <w:sz w:val="17"/>
          <w:szCs w:val="17"/>
          <w:b w:val="1"/>
          <w:bCs w:val="1"/>
          <w:color w:val="auto"/>
        </w:rPr>
        <w:t>New York, New York 10022</w:t>
      </w:r>
    </w:p>
    <w:p>
      <w:pPr>
        <w:spacing w:after="0" w:line="45"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Attn: General Counsel</w:t>
      </w:r>
    </w:p>
    <w:p>
      <w:pPr>
        <w:spacing w:after="0" w:line="331" w:lineRule="exact"/>
        <w:rPr>
          <w:sz w:val="20"/>
          <w:szCs w:val="20"/>
          <w:color w:val="auto"/>
        </w:rPr>
      </w:pPr>
    </w:p>
    <w:p>
      <w:pPr>
        <w:ind w:left="320" w:right="140"/>
        <w:spacing w:after="0" w:line="265" w:lineRule="auto"/>
        <w:rPr>
          <w:sz w:val="20"/>
          <w:szCs w:val="20"/>
          <w:color w:val="auto"/>
        </w:rPr>
      </w:pPr>
      <w:r>
        <w:rPr>
          <w:rFonts w:ascii="Arial" w:cs="Arial" w:eastAsia="Arial" w:hAnsi="Arial"/>
          <w:sz w:val="17"/>
          <w:szCs w:val="17"/>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236"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47</w:t>
      </w:r>
    </w:p>
    <w:p>
      <w:pPr>
        <w:sectPr>
          <w:pgSz w:w="11900" w:h="16838" w:orient="portrait"/>
          <w:cols w:equalWidth="0" w:num="1">
            <w:col w:w="10940"/>
          </w:cols>
          <w:pgMar w:left="320" w:top="473" w:right="6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Sustainability</w:t>
      </w:r>
    </w:p>
    <w:p>
      <w:pPr>
        <w:spacing w:after="0" w:line="328" w:lineRule="exact"/>
        <w:rPr>
          <w:sz w:val="20"/>
          <w:szCs w:val="20"/>
          <w:color w:val="auto"/>
        </w:rPr>
      </w:pPr>
    </w:p>
    <w:p>
      <w:pPr>
        <w:ind w:left="320" w:right="60"/>
        <w:spacing w:after="0" w:line="306" w:lineRule="auto"/>
        <w:rPr>
          <w:sz w:val="20"/>
          <w:szCs w:val="20"/>
          <w:color w:val="auto"/>
        </w:rPr>
      </w:pPr>
      <w:r>
        <w:rPr>
          <w:rFonts w:ascii="Arial" w:cs="Arial" w:eastAsia="Arial" w:hAnsi="Arial"/>
          <w:sz w:val="15"/>
          <w:szCs w:val="15"/>
          <w:color w:val="auto"/>
        </w:rPr>
        <w:t>In line with our mission of looking deeper to find a better way for our clients, at EXL we are committed to doing our part as a global citizen to build a better future by operating in a responsible and sustainable manner. We believe that by integrating sustainable practices into our business model, working towards positive social change, and providing transparent reporting on those practices and our progress, we are a stronger and more resilient organization, best able to deliver long-term value to our stockholders while promoting and developing our business, people, communities and the world around us. We refer to these activities as “sustainability” and “environmental, social and governance” or “ESG” throughout this Proxy Statement.</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Recent activities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2022 and continuing into 2023, we took a number of steps to continue improving our sustainability program. These recent activities include:</w:t>
      </w:r>
    </w:p>
    <w:p>
      <w:pPr>
        <w:spacing w:after="0" w:line="251" w:lineRule="exact"/>
        <w:rPr>
          <w:sz w:val="20"/>
          <w:szCs w:val="20"/>
          <w:color w:val="auto"/>
        </w:rPr>
      </w:pPr>
    </w:p>
    <w:tbl>
      <w:tblPr>
        <w:tblLayout w:type="fixed"/>
        <w:tblInd w:w="330" w:type="dxa"/>
        <w:tblCellMar>
          <w:top w:w="0" w:type="dxa"/>
          <w:left w:w="0" w:type="dxa"/>
          <w:bottom w:w="0" w:type="dxa"/>
          <w:right w:w="0" w:type="dxa"/>
        </w:tblCellMar>
      </w:tblPr>
      <w:tr>
        <w:trPr>
          <w:trHeight w:val="300"/>
        </w:trPr>
        <w:tc>
          <w:tcPr>
            <w:tcW w:w="1740" w:type="dxa"/>
            <w:vAlign w:val="bottom"/>
            <w:tcBorders>
              <w:top w:val="single" w:sz="8" w:color="B2B2B2"/>
              <w:left w:val="single" w:sz="8" w:color="B2B2B2"/>
            </w:tcBorders>
            <w:vMerge w:val="restart"/>
          </w:tcPr>
          <w:p>
            <w:pPr>
              <w:jc w:val="right"/>
              <w:ind w:right="355"/>
              <w:spacing w:after="0"/>
              <w:rPr>
                <w:sz w:val="20"/>
                <w:szCs w:val="20"/>
                <w:color w:val="auto"/>
              </w:rPr>
            </w:pPr>
            <w:r>
              <w:rPr>
                <w:rFonts w:ascii="Arial" w:cs="Arial" w:eastAsia="Arial" w:hAnsi="Arial"/>
                <w:sz w:val="45"/>
                <w:szCs w:val="45"/>
                <w:b w:val="1"/>
                <w:bCs w:val="1"/>
                <w:color w:val="FB4E0B"/>
              </w:rPr>
              <w:t>1</w:t>
            </w:r>
          </w:p>
        </w:tc>
        <w:tc>
          <w:tcPr>
            <w:tcW w:w="8900" w:type="dxa"/>
            <w:vAlign w:val="bottom"/>
            <w:tcBorders>
              <w:top w:val="single" w:sz="8" w:color="B2B2B2"/>
              <w:right w:val="single" w:sz="8" w:color="B2B2B2"/>
            </w:tcBorders>
            <w:gridSpan w:val="2"/>
          </w:tcPr>
          <w:p>
            <w:pPr>
              <w:ind w:left="580"/>
              <w:spacing w:after="0"/>
              <w:rPr>
                <w:sz w:val="20"/>
                <w:szCs w:val="20"/>
                <w:color w:val="auto"/>
              </w:rPr>
            </w:pPr>
            <w:r>
              <w:rPr>
                <w:rFonts w:ascii="Arial" w:cs="Arial" w:eastAsia="Arial" w:hAnsi="Arial"/>
                <w:sz w:val="17"/>
                <w:szCs w:val="17"/>
                <w:color w:val="auto"/>
                <w:w w:val="93"/>
              </w:rPr>
              <w:t>Formally allocating oversight responsibilities to our board committees over ESG-related matters in late 2021 and early</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vMerge w:val="continue"/>
          </w:tcPr>
          <w:p>
            <w:pPr>
              <w:spacing w:after="0"/>
              <w:rPr>
                <w:sz w:val="18"/>
                <w:szCs w:val="18"/>
                <w:color w:val="auto"/>
              </w:rPr>
            </w:pPr>
          </w:p>
        </w:tc>
        <w:tc>
          <w:tcPr>
            <w:tcW w:w="8900" w:type="dxa"/>
            <w:vAlign w:val="bottom"/>
            <w:tcBorders>
              <w:right w:val="single" w:sz="8" w:color="B2B2B2"/>
            </w:tcBorders>
            <w:gridSpan w:val="2"/>
          </w:tcPr>
          <w:p>
            <w:pPr>
              <w:ind w:left="580"/>
              <w:spacing w:after="0"/>
              <w:rPr>
                <w:sz w:val="20"/>
                <w:szCs w:val="20"/>
                <w:color w:val="auto"/>
              </w:rPr>
            </w:pPr>
            <w:r>
              <w:rPr>
                <w:rFonts w:ascii="Arial" w:cs="Arial" w:eastAsia="Arial" w:hAnsi="Arial"/>
                <w:sz w:val="17"/>
                <w:szCs w:val="17"/>
                <w:color w:val="auto"/>
                <w:w w:val="92"/>
              </w:rPr>
              <w:t>2022, which are described on pages 40-42SA of this Proxy Statement, and, in 2022, adopting the name Compensation</w:t>
            </w:r>
          </w:p>
        </w:tc>
        <w:tc>
          <w:tcPr>
            <w:tcW w:w="0" w:type="dxa"/>
            <w:vAlign w:val="bottom"/>
          </w:tcPr>
          <w:p>
            <w:pPr>
              <w:spacing w:after="0"/>
              <w:rPr>
                <w:sz w:val="1"/>
                <w:szCs w:val="1"/>
                <w:color w:val="auto"/>
              </w:rPr>
            </w:pPr>
          </w:p>
        </w:tc>
      </w:tr>
      <w:tr>
        <w:trPr>
          <w:trHeight w:val="252"/>
        </w:trPr>
        <w:tc>
          <w:tcPr>
            <w:tcW w:w="1740" w:type="dxa"/>
            <w:vAlign w:val="bottom"/>
            <w:tcBorders>
              <w:left w:val="single" w:sz="8" w:color="B2B2B2"/>
            </w:tcBorders>
            <w:vMerge w:val="continue"/>
          </w:tcPr>
          <w:p>
            <w:pPr>
              <w:spacing w:after="0"/>
              <w:rPr>
                <w:sz w:val="21"/>
                <w:szCs w:val="21"/>
                <w:color w:val="auto"/>
              </w:rPr>
            </w:pPr>
          </w:p>
        </w:tc>
        <w:tc>
          <w:tcPr>
            <w:tcW w:w="8900" w:type="dxa"/>
            <w:vAlign w:val="bottom"/>
            <w:tcBorders>
              <w:right w:val="single" w:sz="8" w:color="B2B2B2"/>
            </w:tcBorders>
            <w:gridSpan w:val="2"/>
          </w:tcPr>
          <w:p>
            <w:pPr>
              <w:ind w:left="580"/>
              <w:spacing w:after="0"/>
              <w:rPr>
                <w:sz w:val="20"/>
                <w:szCs w:val="20"/>
                <w:color w:val="auto"/>
              </w:rPr>
            </w:pPr>
            <w:r>
              <w:rPr>
                <w:rFonts w:ascii="Arial" w:cs="Arial" w:eastAsia="Arial" w:hAnsi="Arial"/>
                <w:sz w:val="17"/>
                <w:szCs w:val="17"/>
                <w:color w:val="auto"/>
                <w:w w:val="96"/>
              </w:rPr>
              <w:t>and Talent Management Committee, to reflect the committee’s oversight over human capital management matters</w:t>
            </w:r>
          </w:p>
        </w:tc>
        <w:tc>
          <w:tcPr>
            <w:tcW w:w="0" w:type="dxa"/>
            <w:vAlign w:val="bottom"/>
          </w:tcPr>
          <w:p>
            <w:pPr>
              <w:spacing w:after="0"/>
              <w:rPr>
                <w:sz w:val="1"/>
                <w:szCs w:val="1"/>
                <w:color w:val="auto"/>
              </w:rPr>
            </w:pPr>
          </w:p>
        </w:tc>
      </w:tr>
      <w:tr>
        <w:trPr>
          <w:trHeight w:val="215"/>
        </w:trPr>
        <w:tc>
          <w:tcPr>
            <w:tcW w:w="1740" w:type="dxa"/>
            <w:vAlign w:val="bottom"/>
            <w:tcBorders>
              <w:left w:val="single" w:sz="8" w:color="B2B2B2"/>
              <w:bottom w:val="single" w:sz="8" w:color="B2B2B2"/>
            </w:tcBorders>
          </w:tcPr>
          <w:p>
            <w:pPr>
              <w:spacing w:after="0"/>
              <w:rPr>
                <w:sz w:val="18"/>
                <w:szCs w:val="18"/>
                <w:color w:val="auto"/>
              </w:rPr>
            </w:pPr>
          </w:p>
        </w:tc>
        <w:tc>
          <w:tcPr>
            <w:tcW w:w="8900" w:type="dxa"/>
            <w:vAlign w:val="bottom"/>
            <w:tcBorders>
              <w:bottom w:val="single" w:sz="8" w:color="B2B2B2"/>
              <w:right w:val="single" w:sz="8" w:color="B2B2B2"/>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740" w:type="dxa"/>
            <w:vAlign w:val="bottom"/>
            <w:tcBorders>
              <w:bottom w:val="single" w:sz="8" w:color="B2B2B2"/>
            </w:tcBorders>
          </w:tcPr>
          <w:p>
            <w:pPr>
              <w:spacing w:after="0"/>
              <w:rPr>
                <w:sz w:val="9"/>
                <w:szCs w:val="9"/>
                <w:color w:val="auto"/>
              </w:rPr>
            </w:pPr>
          </w:p>
        </w:tc>
        <w:tc>
          <w:tcPr>
            <w:tcW w:w="740" w:type="dxa"/>
            <w:vAlign w:val="bottom"/>
            <w:tcBorders>
              <w:bottom w:val="single" w:sz="8" w:color="B2B2B2"/>
            </w:tcBorders>
          </w:tcPr>
          <w:p>
            <w:pPr>
              <w:spacing w:after="0"/>
              <w:rPr>
                <w:sz w:val="9"/>
                <w:szCs w:val="9"/>
                <w:color w:val="auto"/>
              </w:rPr>
            </w:pPr>
          </w:p>
        </w:tc>
        <w:tc>
          <w:tcPr>
            <w:tcW w:w="8160" w:type="dxa"/>
            <w:vAlign w:val="bottom"/>
            <w:tcBorders>
              <w:bottom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740" w:type="dxa"/>
            <w:vAlign w:val="bottom"/>
            <w:tcBorders>
              <w:left w:val="single" w:sz="8" w:color="B2B2B2"/>
            </w:tcBorders>
          </w:tcPr>
          <w:p>
            <w:pPr>
              <w:spacing w:after="0"/>
              <w:rPr>
                <w:sz w:val="18"/>
                <w:szCs w:val="18"/>
                <w:color w:val="auto"/>
              </w:rPr>
            </w:pPr>
          </w:p>
        </w:tc>
        <w:tc>
          <w:tcPr>
            <w:tcW w:w="8900" w:type="dxa"/>
            <w:vAlign w:val="bottom"/>
            <w:tcBorders>
              <w:right w:val="single" w:sz="8" w:color="B2B2B2"/>
            </w:tcBorders>
            <w:gridSpan w:val="2"/>
          </w:tcPr>
          <w:p>
            <w:pPr>
              <w:ind w:left="580"/>
              <w:spacing w:after="0"/>
              <w:rPr>
                <w:sz w:val="20"/>
                <w:szCs w:val="20"/>
                <w:color w:val="auto"/>
              </w:rPr>
            </w:pPr>
            <w:r>
              <w:rPr>
                <w:rFonts w:ascii="Arial" w:cs="Arial" w:eastAsia="Arial" w:hAnsi="Arial"/>
                <w:sz w:val="17"/>
                <w:szCs w:val="17"/>
                <w:color w:val="auto"/>
              </w:rPr>
              <w:t>Taking new actions in environmental stewardship, including:</w:t>
            </w:r>
          </w:p>
        </w:tc>
        <w:tc>
          <w:tcPr>
            <w:tcW w:w="0" w:type="dxa"/>
            <w:vAlign w:val="bottom"/>
          </w:tcPr>
          <w:p>
            <w:pPr>
              <w:spacing w:after="0"/>
              <w:rPr>
                <w:sz w:val="1"/>
                <w:szCs w:val="1"/>
                <w:color w:val="auto"/>
              </w:rPr>
            </w:pPr>
          </w:p>
        </w:tc>
      </w:tr>
      <w:tr>
        <w:trPr>
          <w:trHeight w:val="300"/>
        </w:trPr>
        <w:tc>
          <w:tcPr>
            <w:tcW w:w="1740" w:type="dxa"/>
            <w:vAlign w:val="bottom"/>
            <w:tcBorders>
              <w:left w:val="single" w:sz="8" w:color="B2B2B2"/>
            </w:tcBorders>
            <w:vMerge w:val="restart"/>
          </w:tcPr>
          <w:p>
            <w:pPr>
              <w:jc w:val="right"/>
              <w:ind w:right="355"/>
              <w:spacing w:after="0"/>
              <w:rPr>
                <w:sz w:val="20"/>
                <w:szCs w:val="20"/>
                <w:color w:val="auto"/>
              </w:rPr>
            </w:pPr>
            <w:r>
              <w:rPr>
                <w:rFonts w:ascii="Arial" w:cs="Arial" w:eastAsia="Arial" w:hAnsi="Arial"/>
                <w:sz w:val="45"/>
                <w:szCs w:val="45"/>
                <w:b w:val="1"/>
                <w:bCs w:val="1"/>
                <w:color w:val="FB4E0B"/>
              </w:rPr>
              <w:t>2</w:t>
            </w:r>
          </w:p>
        </w:tc>
        <w:tc>
          <w:tcPr>
            <w:tcW w:w="740" w:type="dxa"/>
            <w:vAlign w:val="bottom"/>
          </w:tcPr>
          <w:p>
            <w:pPr>
              <w:ind w:left="580"/>
              <w:spacing w:after="0"/>
              <w:rPr>
                <w:sz w:val="20"/>
                <w:szCs w:val="20"/>
                <w:color w:val="auto"/>
              </w:rPr>
            </w:pPr>
            <w:r>
              <w:rPr>
                <w:rFonts w:ascii="Arial" w:cs="Arial" w:eastAsia="Arial" w:hAnsi="Arial"/>
                <w:sz w:val="14"/>
                <w:szCs w:val="14"/>
                <w:color w:val="auto"/>
                <w:w w:val="73"/>
              </w:rPr>
              <w:t>• </w:t>
            </w:r>
          </w:p>
        </w:tc>
        <w:tc>
          <w:tcPr>
            <w:tcW w:w="8160" w:type="dxa"/>
            <w:vAlign w:val="bottom"/>
            <w:tcBorders>
              <w:right w:val="single" w:sz="8" w:color="B2B2B2"/>
            </w:tcBorders>
          </w:tcPr>
          <w:p>
            <w:pPr>
              <w:ind w:left="60"/>
              <w:spacing w:after="0"/>
              <w:rPr>
                <w:sz w:val="20"/>
                <w:szCs w:val="20"/>
                <w:color w:val="auto"/>
              </w:rPr>
            </w:pPr>
            <w:r>
              <w:rPr>
                <w:rFonts w:ascii="Arial" w:cs="Arial" w:eastAsia="Arial" w:hAnsi="Arial"/>
                <w:sz w:val="17"/>
                <w:szCs w:val="17"/>
                <w:color w:val="auto"/>
                <w:w w:val="95"/>
              </w:rPr>
              <w:t> transitioning certain of our delivery centers in India and the UK to 100% green energy and installing rooftop solar</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rPr>
              <w:t>facilities in three of our delivery centers in India, among other green actions</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vMerge w:val="continue"/>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4"/>
                <w:szCs w:val="14"/>
                <w:color w:val="auto"/>
                <w:w w:val="73"/>
              </w:rPr>
              <w:t>• </w:t>
            </w:r>
          </w:p>
        </w:tc>
        <w:tc>
          <w:tcPr>
            <w:tcW w:w="8160" w:type="dxa"/>
            <w:vAlign w:val="bottom"/>
            <w:tcBorders>
              <w:right w:val="single" w:sz="8" w:color="B2B2B2"/>
            </w:tcBorders>
          </w:tcPr>
          <w:p>
            <w:pPr>
              <w:ind w:left="60"/>
              <w:spacing w:after="0"/>
              <w:rPr>
                <w:sz w:val="20"/>
                <w:szCs w:val="20"/>
                <w:color w:val="auto"/>
              </w:rPr>
            </w:pPr>
            <w:r>
              <w:rPr>
                <w:rFonts w:ascii="Arial" w:cs="Arial" w:eastAsia="Arial" w:hAnsi="Arial"/>
                <w:sz w:val="17"/>
                <w:szCs w:val="17"/>
                <w:color w:val="auto"/>
              </w:rPr>
              <w:t> achieving ISO 14001:2015 certification in all of our locations worldwide, meeting international standards for</w:t>
            </w:r>
          </w:p>
        </w:tc>
        <w:tc>
          <w:tcPr>
            <w:tcW w:w="0" w:type="dxa"/>
            <w:vAlign w:val="bottom"/>
          </w:tcPr>
          <w:p>
            <w:pPr>
              <w:spacing w:after="0"/>
              <w:rPr>
                <w:sz w:val="1"/>
                <w:szCs w:val="1"/>
                <w:color w:val="auto"/>
              </w:rPr>
            </w:pPr>
          </w:p>
        </w:tc>
      </w:tr>
      <w:tr>
        <w:trPr>
          <w:trHeight w:val="221"/>
        </w:trPr>
        <w:tc>
          <w:tcPr>
            <w:tcW w:w="1740" w:type="dxa"/>
            <w:vAlign w:val="bottom"/>
            <w:tcBorders>
              <w:left w:val="single" w:sz="8" w:color="B2B2B2"/>
            </w:tcBorders>
          </w:tcPr>
          <w:p>
            <w:pPr>
              <w:spacing w:after="0"/>
              <w:rPr>
                <w:sz w:val="19"/>
                <w:szCs w:val="19"/>
                <w:color w:val="auto"/>
              </w:rPr>
            </w:pPr>
          </w:p>
        </w:tc>
        <w:tc>
          <w:tcPr>
            <w:tcW w:w="740" w:type="dxa"/>
            <w:vAlign w:val="bottom"/>
          </w:tcPr>
          <w:p>
            <w:pPr>
              <w:spacing w:after="0"/>
              <w:rPr>
                <w:sz w:val="19"/>
                <w:szCs w:val="19"/>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rPr>
              <w:t>effective environmental management systems</w:t>
            </w:r>
          </w:p>
        </w:tc>
        <w:tc>
          <w:tcPr>
            <w:tcW w:w="0" w:type="dxa"/>
            <w:vAlign w:val="bottom"/>
          </w:tcPr>
          <w:p>
            <w:pPr>
              <w:spacing w:after="0"/>
              <w:rPr>
                <w:sz w:val="1"/>
                <w:szCs w:val="1"/>
                <w:color w:val="auto"/>
              </w:rPr>
            </w:pPr>
          </w:p>
        </w:tc>
      </w:tr>
      <w:tr>
        <w:trPr>
          <w:trHeight w:val="247"/>
        </w:trPr>
        <w:tc>
          <w:tcPr>
            <w:tcW w:w="1740" w:type="dxa"/>
            <w:vAlign w:val="bottom"/>
            <w:tcBorders>
              <w:left w:val="single" w:sz="8" w:color="B2B2B2"/>
              <w:bottom w:val="single" w:sz="8" w:color="B2B2B2"/>
            </w:tcBorders>
          </w:tcPr>
          <w:p>
            <w:pPr>
              <w:spacing w:after="0"/>
              <w:rPr>
                <w:sz w:val="21"/>
                <w:szCs w:val="21"/>
                <w:color w:val="auto"/>
              </w:rPr>
            </w:pPr>
          </w:p>
        </w:tc>
        <w:tc>
          <w:tcPr>
            <w:tcW w:w="8900" w:type="dxa"/>
            <w:vAlign w:val="bottom"/>
            <w:tcBorders>
              <w:bottom w:val="single" w:sz="8" w:color="B2B2B2"/>
              <w:right w:val="single" w:sz="8" w:color="B2B2B2"/>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1740" w:type="dxa"/>
            <w:vAlign w:val="bottom"/>
            <w:tcBorders>
              <w:bottom w:val="single" w:sz="8" w:color="B2B2B2"/>
            </w:tcBorders>
          </w:tcPr>
          <w:p>
            <w:pPr>
              <w:spacing w:after="0"/>
              <w:rPr>
                <w:sz w:val="9"/>
                <w:szCs w:val="9"/>
                <w:color w:val="auto"/>
              </w:rPr>
            </w:pPr>
          </w:p>
        </w:tc>
        <w:tc>
          <w:tcPr>
            <w:tcW w:w="740" w:type="dxa"/>
            <w:vAlign w:val="bottom"/>
            <w:tcBorders>
              <w:bottom w:val="single" w:sz="8" w:color="B2B2B2"/>
            </w:tcBorders>
          </w:tcPr>
          <w:p>
            <w:pPr>
              <w:spacing w:after="0"/>
              <w:rPr>
                <w:sz w:val="9"/>
                <w:szCs w:val="9"/>
                <w:color w:val="auto"/>
              </w:rPr>
            </w:pPr>
          </w:p>
        </w:tc>
        <w:tc>
          <w:tcPr>
            <w:tcW w:w="8160" w:type="dxa"/>
            <w:vAlign w:val="bottom"/>
            <w:tcBorders>
              <w:bottom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384"/>
        </w:trPr>
        <w:tc>
          <w:tcPr>
            <w:tcW w:w="1740" w:type="dxa"/>
            <w:vAlign w:val="bottom"/>
            <w:tcBorders>
              <w:left w:val="single" w:sz="8" w:color="B2B2B2"/>
            </w:tcBorders>
          </w:tcPr>
          <w:p>
            <w:pPr>
              <w:spacing w:after="0"/>
              <w:rPr>
                <w:sz w:val="24"/>
                <w:szCs w:val="24"/>
                <w:color w:val="auto"/>
              </w:rPr>
            </w:pPr>
          </w:p>
        </w:tc>
        <w:tc>
          <w:tcPr>
            <w:tcW w:w="8900" w:type="dxa"/>
            <w:vAlign w:val="bottom"/>
            <w:tcBorders>
              <w:right w:val="single" w:sz="8" w:color="B2B2B2"/>
            </w:tcBorders>
            <w:gridSpan w:val="2"/>
          </w:tcPr>
          <w:p>
            <w:pPr>
              <w:ind w:left="580"/>
              <w:spacing w:after="0"/>
              <w:rPr>
                <w:sz w:val="20"/>
                <w:szCs w:val="20"/>
                <w:color w:val="auto"/>
              </w:rPr>
            </w:pPr>
            <w:r>
              <w:rPr>
                <w:rFonts w:ascii="Arial" w:cs="Arial" w:eastAsia="Arial" w:hAnsi="Arial"/>
                <w:sz w:val="17"/>
                <w:szCs w:val="17"/>
                <w:color w:val="auto"/>
                <w:w w:val="97"/>
              </w:rPr>
              <w:t>Demonstrating our commitment to providing transparency and meaningful disclosure on ESG-related information,</w:t>
            </w:r>
          </w:p>
        </w:tc>
        <w:tc>
          <w:tcPr>
            <w:tcW w:w="0" w:type="dxa"/>
            <w:vAlign w:val="bottom"/>
          </w:tcPr>
          <w:p>
            <w:pPr>
              <w:spacing w:after="0"/>
              <w:rPr>
                <w:sz w:val="1"/>
                <w:szCs w:val="1"/>
                <w:color w:val="auto"/>
              </w:rPr>
            </w:pPr>
          </w:p>
        </w:tc>
      </w:tr>
      <w:tr>
        <w:trPr>
          <w:trHeight w:val="221"/>
        </w:trPr>
        <w:tc>
          <w:tcPr>
            <w:tcW w:w="1740" w:type="dxa"/>
            <w:vAlign w:val="bottom"/>
            <w:tcBorders>
              <w:left w:val="single" w:sz="8" w:color="B2B2B2"/>
            </w:tcBorders>
          </w:tcPr>
          <w:p>
            <w:pPr>
              <w:spacing w:after="0"/>
              <w:rPr>
                <w:sz w:val="19"/>
                <w:szCs w:val="19"/>
                <w:color w:val="auto"/>
              </w:rPr>
            </w:pPr>
          </w:p>
        </w:tc>
        <w:tc>
          <w:tcPr>
            <w:tcW w:w="8900" w:type="dxa"/>
            <w:vAlign w:val="bottom"/>
            <w:tcBorders>
              <w:right w:val="single" w:sz="8" w:color="B2B2B2"/>
            </w:tcBorders>
            <w:gridSpan w:val="2"/>
          </w:tcPr>
          <w:p>
            <w:pPr>
              <w:ind w:left="580"/>
              <w:spacing w:after="0"/>
              <w:rPr>
                <w:sz w:val="20"/>
                <w:szCs w:val="20"/>
                <w:color w:val="auto"/>
              </w:rPr>
            </w:pPr>
            <w:r>
              <w:rPr>
                <w:rFonts w:ascii="Arial" w:cs="Arial" w:eastAsia="Arial" w:hAnsi="Arial"/>
                <w:sz w:val="17"/>
                <w:szCs w:val="17"/>
                <w:color w:val="auto"/>
              </w:rPr>
              <w:t>including through:</w:t>
            </w:r>
          </w:p>
        </w:tc>
        <w:tc>
          <w:tcPr>
            <w:tcW w:w="0" w:type="dxa"/>
            <w:vAlign w:val="bottom"/>
          </w:tcPr>
          <w:p>
            <w:pPr>
              <w:spacing w:after="0"/>
              <w:rPr>
                <w:sz w:val="1"/>
                <w:szCs w:val="1"/>
                <w:color w:val="auto"/>
              </w:rPr>
            </w:pPr>
          </w:p>
        </w:tc>
      </w:tr>
      <w:tr>
        <w:trPr>
          <w:trHeight w:val="313"/>
        </w:trPr>
        <w:tc>
          <w:tcPr>
            <w:tcW w:w="1740" w:type="dxa"/>
            <w:vAlign w:val="bottom"/>
            <w:tcBorders>
              <w:left w:val="single" w:sz="8" w:color="B2B2B2"/>
            </w:tcBorders>
          </w:tcPr>
          <w:p>
            <w:pPr>
              <w:spacing w:after="0"/>
              <w:rPr>
                <w:sz w:val="24"/>
                <w:szCs w:val="24"/>
                <w:color w:val="auto"/>
              </w:rPr>
            </w:pPr>
          </w:p>
        </w:tc>
        <w:tc>
          <w:tcPr>
            <w:tcW w:w="740" w:type="dxa"/>
            <w:vAlign w:val="bottom"/>
          </w:tcPr>
          <w:p>
            <w:pPr>
              <w:ind w:left="580"/>
              <w:spacing w:after="0"/>
              <w:rPr>
                <w:sz w:val="20"/>
                <w:szCs w:val="20"/>
                <w:color w:val="auto"/>
              </w:rPr>
            </w:pPr>
            <w:r>
              <w:rPr>
                <w:rFonts w:ascii="Arial" w:cs="Arial" w:eastAsia="Arial" w:hAnsi="Arial"/>
                <w:sz w:val="14"/>
                <w:szCs w:val="14"/>
                <w:color w:val="auto"/>
                <w:w w:val="73"/>
              </w:rPr>
              <w:t>• </w:t>
            </w:r>
          </w:p>
        </w:tc>
        <w:tc>
          <w:tcPr>
            <w:tcW w:w="8160" w:type="dxa"/>
            <w:vAlign w:val="bottom"/>
            <w:tcBorders>
              <w:right w:val="single" w:sz="8" w:color="B2B2B2"/>
            </w:tcBorders>
          </w:tcPr>
          <w:p>
            <w:pPr>
              <w:ind w:left="60"/>
              <w:spacing w:after="0"/>
              <w:rPr>
                <w:sz w:val="20"/>
                <w:szCs w:val="20"/>
                <w:color w:val="auto"/>
              </w:rPr>
            </w:pPr>
            <w:r>
              <w:rPr>
                <w:rFonts w:ascii="Arial" w:cs="Arial" w:eastAsia="Arial" w:hAnsi="Arial"/>
                <w:sz w:val="17"/>
                <w:szCs w:val="17"/>
                <w:color w:val="auto"/>
                <w:w w:val="98"/>
              </w:rPr>
              <w:t> continuing to update our Sustainability page on our website, which highlights all of our relevant sustainability-</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tcPr>
          <w:p>
            <w:pPr>
              <w:spacing w:after="0"/>
              <w:rPr>
                <w:sz w:val="18"/>
                <w:szCs w:val="18"/>
                <w:color w:val="auto"/>
              </w:rPr>
            </w:pPr>
          </w:p>
        </w:tc>
        <w:tc>
          <w:tcPr>
            <w:tcW w:w="740" w:type="dxa"/>
            <w:vAlign w:val="bottom"/>
          </w:tcPr>
          <w:p>
            <w:pPr>
              <w:spacing w:after="0"/>
              <w:rPr>
                <w:sz w:val="18"/>
                <w:szCs w:val="18"/>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rPr>
              <w:t>related policies, reports, certifications and awards, targets and activities, available at</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vMerge w:val="restart"/>
          </w:tcPr>
          <w:p>
            <w:pPr>
              <w:jc w:val="right"/>
              <w:ind w:right="355"/>
              <w:spacing w:after="0"/>
              <w:rPr>
                <w:sz w:val="20"/>
                <w:szCs w:val="20"/>
                <w:color w:val="auto"/>
              </w:rPr>
            </w:pPr>
            <w:r>
              <w:rPr>
                <w:rFonts w:ascii="Arial" w:cs="Arial" w:eastAsia="Arial" w:hAnsi="Arial"/>
                <w:sz w:val="45"/>
                <w:szCs w:val="45"/>
                <w:b w:val="1"/>
                <w:bCs w:val="1"/>
                <w:color w:val="FB4E0B"/>
              </w:rPr>
              <w:t>3</w:t>
            </w:r>
          </w:p>
        </w:tc>
        <w:tc>
          <w:tcPr>
            <w:tcW w:w="740" w:type="dxa"/>
            <w:vAlign w:val="bottom"/>
          </w:tcPr>
          <w:p>
            <w:pPr>
              <w:spacing w:after="0"/>
              <w:rPr>
                <w:sz w:val="18"/>
                <w:szCs w:val="18"/>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rPr>
              <w:t>www.exlservice.com/about/sustainability</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vMerge w:val="continue"/>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4"/>
                <w:szCs w:val="14"/>
                <w:color w:val="auto"/>
                <w:w w:val="73"/>
              </w:rPr>
              <w:t>• </w:t>
            </w:r>
          </w:p>
        </w:tc>
        <w:tc>
          <w:tcPr>
            <w:tcW w:w="8160" w:type="dxa"/>
            <w:vAlign w:val="bottom"/>
            <w:tcBorders>
              <w:right w:val="single" w:sz="8" w:color="B2B2B2"/>
            </w:tcBorders>
          </w:tcPr>
          <w:p>
            <w:pPr>
              <w:ind w:left="60"/>
              <w:spacing w:after="0"/>
              <w:rPr>
                <w:sz w:val="20"/>
                <w:szCs w:val="20"/>
                <w:color w:val="auto"/>
              </w:rPr>
            </w:pPr>
            <w:r>
              <w:rPr>
                <w:rFonts w:ascii="Arial" w:cs="Arial" w:eastAsia="Arial" w:hAnsi="Arial"/>
                <w:sz w:val="17"/>
                <w:szCs w:val="17"/>
                <w:color w:val="auto"/>
                <w:w w:val="98"/>
              </w:rPr>
              <w:t> publishing our third Annual Sustainability Report developed in accordance with the Global Reporting Initiative</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w w:val="96"/>
              </w:rPr>
              <w:t>(GRI) Standards: Core Option and aligned to the Sustainability Accounting Standards Board (SASB) Software</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tcPr>
          <w:p>
            <w:pPr>
              <w:spacing w:after="0"/>
              <w:rPr>
                <w:sz w:val="18"/>
                <w:szCs w:val="18"/>
                <w:color w:val="auto"/>
              </w:rPr>
            </w:pPr>
          </w:p>
        </w:tc>
        <w:tc>
          <w:tcPr>
            <w:tcW w:w="740" w:type="dxa"/>
            <w:vAlign w:val="bottom"/>
          </w:tcPr>
          <w:p>
            <w:pPr>
              <w:spacing w:after="0"/>
              <w:rPr>
                <w:sz w:val="18"/>
                <w:szCs w:val="18"/>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w w:val="94"/>
              </w:rPr>
              <w:t>and IT Services Standard (2018), available on the Sustainability page of our website with assurance from a Big 4</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tcPr>
          <w:p>
            <w:pPr>
              <w:spacing w:after="0"/>
              <w:rPr>
                <w:sz w:val="18"/>
                <w:szCs w:val="18"/>
                <w:color w:val="auto"/>
              </w:rPr>
            </w:pPr>
          </w:p>
        </w:tc>
        <w:tc>
          <w:tcPr>
            <w:tcW w:w="740" w:type="dxa"/>
            <w:vAlign w:val="bottom"/>
          </w:tcPr>
          <w:p>
            <w:pPr>
              <w:spacing w:after="0"/>
              <w:rPr>
                <w:sz w:val="18"/>
                <w:szCs w:val="18"/>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rPr>
              <w:t>accounting firm affiliate</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4"/>
                <w:szCs w:val="14"/>
                <w:color w:val="auto"/>
                <w:w w:val="73"/>
              </w:rPr>
              <w:t>• </w:t>
            </w:r>
          </w:p>
        </w:tc>
        <w:tc>
          <w:tcPr>
            <w:tcW w:w="8160" w:type="dxa"/>
            <w:vAlign w:val="bottom"/>
            <w:tcBorders>
              <w:right w:val="single" w:sz="8" w:color="B2B2B2"/>
            </w:tcBorders>
          </w:tcPr>
          <w:p>
            <w:pPr>
              <w:ind w:left="60"/>
              <w:spacing w:after="0"/>
              <w:rPr>
                <w:sz w:val="20"/>
                <w:szCs w:val="20"/>
                <w:color w:val="auto"/>
              </w:rPr>
            </w:pPr>
            <w:r>
              <w:rPr>
                <w:rFonts w:ascii="Arial" w:cs="Arial" w:eastAsia="Arial" w:hAnsi="Arial"/>
                <w:sz w:val="17"/>
                <w:szCs w:val="17"/>
                <w:color w:val="auto"/>
                <w:w w:val="96"/>
              </w:rPr>
              <w:t> developing and adopting further controls, processes and frameworks around ESG data collection and reporting</w:t>
            </w:r>
          </w:p>
        </w:tc>
        <w:tc>
          <w:tcPr>
            <w:tcW w:w="0" w:type="dxa"/>
            <w:vAlign w:val="bottom"/>
          </w:tcPr>
          <w:p>
            <w:pPr>
              <w:spacing w:after="0"/>
              <w:rPr>
                <w:sz w:val="1"/>
                <w:szCs w:val="1"/>
                <w:color w:val="auto"/>
              </w:rPr>
            </w:pPr>
          </w:p>
        </w:tc>
      </w:tr>
      <w:tr>
        <w:trPr>
          <w:trHeight w:val="208"/>
        </w:trPr>
        <w:tc>
          <w:tcPr>
            <w:tcW w:w="1740" w:type="dxa"/>
            <w:vAlign w:val="bottom"/>
            <w:tcBorders>
              <w:left w:val="single" w:sz="8" w:color="B2B2B2"/>
            </w:tcBorders>
          </w:tcPr>
          <w:p>
            <w:pPr>
              <w:spacing w:after="0"/>
              <w:rPr>
                <w:sz w:val="18"/>
                <w:szCs w:val="18"/>
                <w:color w:val="auto"/>
              </w:rPr>
            </w:pPr>
          </w:p>
        </w:tc>
        <w:tc>
          <w:tcPr>
            <w:tcW w:w="740" w:type="dxa"/>
            <w:vAlign w:val="bottom"/>
          </w:tcPr>
          <w:p>
            <w:pPr>
              <w:ind w:left="580"/>
              <w:spacing w:after="0"/>
              <w:rPr>
                <w:sz w:val="20"/>
                <w:szCs w:val="20"/>
                <w:color w:val="auto"/>
              </w:rPr>
            </w:pPr>
            <w:r>
              <w:rPr>
                <w:rFonts w:ascii="Arial" w:cs="Arial" w:eastAsia="Arial" w:hAnsi="Arial"/>
                <w:sz w:val="14"/>
                <w:szCs w:val="14"/>
                <w:color w:val="auto"/>
                <w:w w:val="73"/>
              </w:rPr>
              <w:t>• </w:t>
            </w:r>
          </w:p>
        </w:tc>
        <w:tc>
          <w:tcPr>
            <w:tcW w:w="8160" w:type="dxa"/>
            <w:vAlign w:val="bottom"/>
            <w:tcBorders>
              <w:right w:val="single" w:sz="8" w:color="B2B2B2"/>
            </w:tcBorders>
          </w:tcPr>
          <w:p>
            <w:pPr>
              <w:ind w:left="60"/>
              <w:spacing w:after="0"/>
              <w:rPr>
                <w:sz w:val="20"/>
                <w:szCs w:val="20"/>
                <w:color w:val="auto"/>
              </w:rPr>
            </w:pPr>
            <w:r>
              <w:rPr>
                <w:rFonts w:ascii="Arial" w:cs="Arial" w:eastAsia="Arial" w:hAnsi="Arial"/>
                <w:sz w:val="17"/>
                <w:szCs w:val="17"/>
                <w:color w:val="auto"/>
              </w:rPr>
              <w:t> launching a Company-wide internal ESG amplification campaign aimed at driving employee support and</w:t>
            </w:r>
          </w:p>
        </w:tc>
        <w:tc>
          <w:tcPr>
            <w:tcW w:w="0" w:type="dxa"/>
            <w:vAlign w:val="bottom"/>
          </w:tcPr>
          <w:p>
            <w:pPr>
              <w:spacing w:after="0"/>
              <w:rPr>
                <w:sz w:val="1"/>
                <w:szCs w:val="1"/>
                <w:color w:val="auto"/>
              </w:rPr>
            </w:pPr>
          </w:p>
        </w:tc>
      </w:tr>
      <w:tr>
        <w:trPr>
          <w:trHeight w:val="221"/>
        </w:trPr>
        <w:tc>
          <w:tcPr>
            <w:tcW w:w="1740" w:type="dxa"/>
            <w:vAlign w:val="bottom"/>
            <w:tcBorders>
              <w:left w:val="single" w:sz="8" w:color="B2B2B2"/>
            </w:tcBorders>
          </w:tcPr>
          <w:p>
            <w:pPr>
              <w:spacing w:after="0"/>
              <w:rPr>
                <w:sz w:val="19"/>
                <w:szCs w:val="19"/>
                <w:color w:val="auto"/>
              </w:rPr>
            </w:pPr>
          </w:p>
        </w:tc>
        <w:tc>
          <w:tcPr>
            <w:tcW w:w="740" w:type="dxa"/>
            <w:vAlign w:val="bottom"/>
          </w:tcPr>
          <w:p>
            <w:pPr>
              <w:spacing w:after="0"/>
              <w:rPr>
                <w:sz w:val="19"/>
                <w:szCs w:val="19"/>
                <w:color w:val="auto"/>
              </w:rPr>
            </w:pPr>
          </w:p>
        </w:tc>
        <w:tc>
          <w:tcPr>
            <w:tcW w:w="8160" w:type="dxa"/>
            <w:vAlign w:val="bottom"/>
            <w:tcBorders>
              <w:right w:val="single" w:sz="8" w:color="B2B2B2"/>
            </w:tcBorders>
          </w:tcPr>
          <w:p>
            <w:pPr>
              <w:ind w:left="140"/>
              <w:spacing w:after="0"/>
              <w:rPr>
                <w:sz w:val="20"/>
                <w:szCs w:val="20"/>
                <w:color w:val="auto"/>
              </w:rPr>
            </w:pPr>
            <w:r>
              <w:rPr>
                <w:rFonts w:ascii="Arial" w:cs="Arial" w:eastAsia="Arial" w:hAnsi="Arial"/>
                <w:sz w:val="17"/>
                <w:szCs w:val="17"/>
                <w:color w:val="auto"/>
              </w:rPr>
              <w:t>participation in our ESG efforts</w:t>
            </w:r>
          </w:p>
        </w:tc>
        <w:tc>
          <w:tcPr>
            <w:tcW w:w="0" w:type="dxa"/>
            <w:vAlign w:val="bottom"/>
          </w:tcPr>
          <w:p>
            <w:pPr>
              <w:spacing w:after="0"/>
              <w:rPr>
                <w:sz w:val="1"/>
                <w:szCs w:val="1"/>
                <w:color w:val="auto"/>
              </w:rPr>
            </w:pPr>
          </w:p>
        </w:tc>
      </w:tr>
      <w:tr>
        <w:trPr>
          <w:trHeight w:val="247"/>
        </w:trPr>
        <w:tc>
          <w:tcPr>
            <w:tcW w:w="1740" w:type="dxa"/>
            <w:vAlign w:val="bottom"/>
            <w:tcBorders>
              <w:left w:val="single" w:sz="8" w:color="B2B2B2"/>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160" w:type="dxa"/>
            <w:vAlign w:val="bottom"/>
            <w:tcBorders>
              <w:bottom w:val="single" w:sz="8" w:color="B2B2B2"/>
              <w:right w:val="single" w:sz="8" w:color="B2B2B2"/>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74295</wp:posOffset>
            </wp:positionV>
            <wp:extent cx="6748780" cy="7600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48780" cy="760095"/>
                    </a:xfrm>
                    <a:prstGeom prst="rect">
                      <a:avLst/>
                    </a:prstGeom>
                    <a:noFill/>
                  </pic:spPr>
                </pic:pic>
              </a:graphicData>
            </a:graphic>
          </wp:anchor>
        </w:drawing>
      </w:r>
    </w:p>
    <w:p>
      <w:pPr>
        <w:spacing w:after="0" w:line="18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Launching a new Company-wide community engagement focus in 2022 that aims to bring science and technology</w:t>
      </w:r>
    </w:p>
    <w:p>
      <w:pPr>
        <w:spacing w:after="0" w:line="37" w:lineRule="exact"/>
        <w:rPr>
          <w:sz w:val="20"/>
          <w:szCs w:val="20"/>
          <w:color w:val="auto"/>
        </w:rPr>
      </w:pPr>
    </w:p>
    <w:p>
      <w:pPr>
        <w:ind w:left="2640" w:right="260" w:hanging="1391"/>
        <w:spacing w:after="0" w:line="181" w:lineRule="auto"/>
        <w:tabs>
          <w:tab w:leader="none" w:pos="2640" w:val="left"/>
        </w:tabs>
        <w:numPr>
          <w:ilvl w:val="0"/>
          <w:numId w:val="17"/>
        </w:numPr>
        <w:rPr>
          <w:rFonts w:ascii="Arial" w:cs="Arial" w:eastAsia="Arial" w:hAnsi="Arial"/>
          <w:sz w:val="42"/>
          <w:szCs w:val="42"/>
          <w:b w:val="1"/>
          <w:bCs w:val="1"/>
          <w:color w:val="FB4E0B"/>
          <w:vertAlign w:val="subscript"/>
        </w:rPr>
      </w:pPr>
      <w:r>
        <w:rPr>
          <w:rFonts w:ascii="Arial" w:cs="Arial" w:eastAsia="Arial" w:hAnsi="Arial"/>
          <w:sz w:val="15"/>
          <w:szCs w:val="15"/>
          <w:color w:val="auto"/>
        </w:rPr>
        <w:t>skills, with a particular emphasis on coding, to women, girls and non-binary people in the communities in which we operate, in partnership with various non-profit organizations in India, the Philippines, South Africa, the United Kingdom and the United States, in addition to our existing education and skill building initiatives</w:t>
      </w:r>
    </w:p>
    <w:p>
      <w:pPr>
        <w:spacing w:after="0" w:line="371" w:lineRule="exact"/>
        <w:rPr>
          <w:sz w:val="20"/>
          <w:szCs w:val="20"/>
          <w:color w:val="auto"/>
        </w:rPr>
      </w:pPr>
    </w:p>
    <w:p>
      <w:pPr>
        <w:ind w:left="1020"/>
        <w:spacing w:after="0"/>
        <w:tabs>
          <w:tab w:leader="none" w:pos="1460" w:val="left"/>
          <w:tab w:leader="none" w:pos="1800" w:val="left"/>
        </w:tabs>
        <w:rPr>
          <w:sz w:val="20"/>
          <w:szCs w:val="20"/>
          <w:color w:val="auto"/>
        </w:rPr>
      </w:pPr>
      <w:r>
        <w:rPr>
          <w:rFonts w:ascii="Arial" w:cs="Arial" w:eastAsia="Arial" w:hAnsi="Arial"/>
          <w:sz w:val="17"/>
          <w:szCs w:val="17"/>
          <w:b w:val="1"/>
          <w:bCs w:val="1"/>
          <w:color w:val="auto"/>
        </w:rPr>
        <w:t>48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Sustainability</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Community Engagement</w:t>
      </w:r>
    </w:p>
    <w:p>
      <w:pPr>
        <w:spacing w:after="0" w:line="247" w:lineRule="exact"/>
        <w:rPr>
          <w:sz w:val="20"/>
          <w:szCs w:val="20"/>
          <w:color w:val="auto"/>
        </w:rPr>
      </w:pPr>
    </w:p>
    <w:p>
      <w:pPr>
        <w:ind w:left="660" w:right="940"/>
        <w:spacing w:after="0" w:line="286" w:lineRule="auto"/>
        <w:rPr>
          <w:sz w:val="20"/>
          <w:szCs w:val="20"/>
          <w:color w:val="auto"/>
        </w:rPr>
      </w:pPr>
      <w:r>
        <w:rPr>
          <w:rFonts w:ascii="Arial" w:cs="Arial" w:eastAsia="Arial" w:hAnsi="Arial"/>
          <w:sz w:val="17"/>
          <w:szCs w:val="17"/>
          <w:color w:val="auto"/>
        </w:rPr>
        <w:t>EXL is focused on assisting the members of the communities in which we live and work to develop market-relevant skills. We provide programming on skills development for adults and children within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-287020</wp:posOffset>
            </wp:positionV>
            <wp:extent cx="6740525" cy="31635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40525" cy="316357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FB4E0B"/>
        </w:rPr>
        <w:t>Skills to Win Initiative</w:t>
      </w:r>
    </w:p>
    <w:p>
      <w:pPr>
        <w:spacing w:after="0" w:line="137" w:lineRule="exact"/>
        <w:rPr>
          <w:sz w:val="20"/>
          <w:szCs w:val="20"/>
          <w:color w:val="auto"/>
        </w:rPr>
      </w:pPr>
    </w:p>
    <w:p>
      <w:pPr>
        <w:ind w:left="1000" w:right="360"/>
        <w:spacing w:after="0" w:line="270" w:lineRule="auto"/>
        <w:rPr>
          <w:sz w:val="20"/>
          <w:szCs w:val="20"/>
          <w:color w:val="auto"/>
        </w:rPr>
      </w:pPr>
      <w:r>
        <w:rPr>
          <w:rFonts w:ascii="Arial" w:cs="Arial" w:eastAsia="Arial" w:hAnsi="Arial"/>
          <w:sz w:val="12"/>
          <w:szCs w:val="12"/>
          <w:color w:val="auto"/>
        </w:rPr>
        <w:t>Skills to Win focuses on equipping people in our communities with the skills that the market demands. We provide training on employability skills for back-office roles, finance and accounting, and data and analytics and digital capabilities, all coupled with life and workplace skills.</w:t>
      </w:r>
    </w:p>
    <w:p>
      <w:pPr>
        <w:spacing w:after="0" w:line="69" w:lineRule="exact"/>
        <w:rPr>
          <w:sz w:val="20"/>
          <w:szCs w:val="20"/>
          <w:color w:val="auto"/>
        </w:rPr>
      </w:pPr>
    </w:p>
    <w:p>
      <w:pPr>
        <w:ind w:left="1000" w:right="340"/>
        <w:spacing w:after="0" w:line="221" w:lineRule="auto"/>
        <w:rPr>
          <w:sz w:val="20"/>
          <w:szCs w:val="20"/>
          <w:color w:val="auto"/>
        </w:rPr>
      </w:pPr>
      <w:r>
        <w:rPr>
          <w:rFonts w:ascii="Arial" w:cs="Arial" w:eastAsia="Arial" w:hAnsi="Arial"/>
          <w:sz w:val="14"/>
          <w:szCs w:val="14"/>
          <w:color w:val="auto"/>
        </w:rPr>
        <w:t>By virtue of our online delivery of a portion of our programming, were able to scale the Skills to Win Initiative, reaching more than three times as many beneficiaries in 2022 than we reached in the prior year. Skills to Win is opening new doors for employment and earnings for participants in the United States, the Philippines, India, United Kingdom and South Africa.</w:t>
      </w:r>
    </w:p>
    <w:p>
      <w:pPr>
        <w:spacing w:after="0" w:line="86" w:lineRule="exact"/>
        <w:rPr>
          <w:sz w:val="20"/>
          <w:szCs w:val="20"/>
          <w:color w:val="auto"/>
        </w:rPr>
      </w:pPr>
    </w:p>
    <w:p>
      <w:pPr>
        <w:ind w:left="1000" w:right="440"/>
        <w:spacing w:after="0" w:line="219" w:lineRule="auto"/>
        <w:rPr>
          <w:sz w:val="20"/>
          <w:szCs w:val="20"/>
          <w:color w:val="auto"/>
        </w:rPr>
      </w:pPr>
      <w:r>
        <w:rPr>
          <w:rFonts w:ascii="Arial" w:cs="Arial" w:eastAsia="Arial" w:hAnsi="Arial"/>
          <w:sz w:val="14"/>
          <w:szCs w:val="14"/>
          <w:color w:val="auto"/>
        </w:rPr>
        <w:t>Over the past five years, we have continued to evolve this initiative to reflect new and emerging skills and strengthen the portfolio of courses offered. In 2022, we created a new focus area for our Skills to Win Initiative to target bringing STEM skills- and in particular, coding skills-to girls, women and non-binary people in our communities in India, the Philippines, South Africa, the United Kingdom and the United States through partnerships with organizations and institutions in each of those locations.</w:t>
      </w:r>
    </w:p>
    <w:p>
      <w:pPr>
        <w:spacing w:after="0" w:line="299"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In 2022, we brought this program to more than 3,400 people</w:t>
      </w:r>
    </w:p>
    <w:p>
      <w:pPr>
        <w:spacing w:after="0" w:line="42"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in our communities across the globe.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FB4E0B"/>
        </w:rPr>
        <w:t>Education as a Foundation Initiative</w:t>
      </w:r>
    </w:p>
    <w:p>
      <w:pPr>
        <w:spacing w:after="0" w:line="137" w:lineRule="exact"/>
        <w:rPr>
          <w:sz w:val="20"/>
          <w:szCs w:val="20"/>
          <w:color w:val="auto"/>
        </w:rPr>
      </w:pPr>
    </w:p>
    <w:p>
      <w:pPr>
        <w:ind w:right="660"/>
        <w:spacing w:after="0" w:line="259" w:lineRule="auto"/>
        <w:rPr>
          <w:sz w:val="20"/>
          <w:szCs w:val="20"/>
          <w:color w:val="auto"/>
        </w:rPr>
      </w:pPr>
      <w:r>
        <w:rPr>
          <w:rFonts w:ascii="Arial" w:cs="Arial" w:eastAsia="Arial" w:hAnsi="Arial"/>
          <w:sz w:val="12"/>
          <w:szCs w:val="12"/>
          <w:color w:val="auto"/>
        </w:rPr>
        <w:t>Education as a Foundation provides school-aged children with a foundation in data and analytics skills, as well as extracurricular activities such as art, music, fitness, and languages, all of which will enable them to position themselves as future leaders. We use a blend of online and offline learning platforms, and have expanded the role of our students’ parents as co-educators, and added a new focus in our content on the physical and mental wellbeing of our students and their families.</w:t>
      </w:r>
    </w:p>
    <w:p>
      <w:pPr>
        <w:spacing w:after="0" w:line="76" w:lineRule="exact"/>
        <w:rPr>
          <w:sz w:val="20"/>
          <w:szCs w:val="20"/>
          <w:color w:val="auto"/>
        </w:rPr>
      </w:pPr>
    </w:p>
    <w:p>
      <w:pPr>
        <w:ind w:right="760"/>
        <w:spacing w:after="0" w:line="225" w:lineRule="auto"/>
        <w:rPr>
          <w:sz w:val="20"/>
          <w:szCs w:val="20"/>
          <w:color w:val="auto"/>
        </w:rPr>
      </w:pPr>
      <w:r>
        <w:rPr>
          <w:rFonts w:ascii="Arial" w:cs="Arial" w:eastAsia="Arial" w:hAnsi="Arial"/>
          <w:sz w:val="14"/>
          <w:szCs w:val="14"/>
          <w:color w:val="auto"/>
        </w:rPr>
        <w:t>Like our Skills to Win Initiative, in 2022, we were able to continue to scale this program, in part as a result of our use of a hybrid in-classroom and virtual format, to reach more than four times as many students than we had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In 2022, we brought this program to more than 11,000</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students worldwide.</w:t>
      </w:r>
    </w:p>
    <w:p>
      <w:pPr>
        <w:spacing w:after="0" w:line="200" w:lineRule="exact"/>
        <w:rPr>
          <w:sz w:val="20"/>
          <w:szCs w:val="20"/>
          <w:color w:val="auto"/>
        </w:rPr>
      </w:pPr>
    </w:p>
    <w:p>
      <w:pPr>
        <w:sectPr>
          <w:pgSz w:w="11900" w:h="16838" w:orient="portrait"/>
          <w:cols w:equalWidth="0" w:num="2">
            <w:col w:w="5460" w:space="720"/>
            <w:col w:w="4760"/>
          </w:cols>
          <w:pgMar w:left="320" w:top="47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right="360"/>
        <w:spacing w:after="0" w:line="287" w:lineRule="auto"/>
        <w:rPr>
          <w:sz w:val="20"/>
          <w:szCs w:val="20"/>
          <w:color w:val="auto"/>
        </w:rPr>
      </w:pPr>
      <w:r>
        <w:rPr>
          <w:rFonts w:ascii="Arial" w:cs="Arial" w:eastAsia="Arial" w:hAnsi="Arial"/>
          <w:sz w:val="16"/>
          <w:szCs w:val="16"/>
          <w:color w:val="auto"/>
        </w:rPr>
        <w:t>Our employees are an integral part of our community strategy, sharing their skills and experience working on advanced digital technologies through volunteering. We also support our employees’ charitable efforts by enabling payroll giving with company matching and recognizing social impact through individual, geography and business unit awards. Our use of virtual volunteering has made participation in our community engagement programming even easier for our employees, and has enabled us to reach more people through our programming.</w:t>
      </w:r>
    </w:p>
    <w:p>
      <w:pPr>
        <w:spacing w:after="0" w:line="200" w:lineRule="exact"/>
        <w:rPr>
          <w:sz w:val="20"/>
          <w:szCs w:val="20"/>
          <w:color w:val="auto"/>
        </w:rPr>
      </w:pPr>
    </w:p>
    <w:p>
      <w:pPr>
        <w:spacing w:after="0" w:line="273" w:lineRule="exact"/>
        <w:rPr>
          <w:sz w:val="20"/>
          <w:szCs w:val="20"/>
          <w:color w:val="auto"/>
        </w:rPr>
      </w:pPr>
    </w:p>
    <w:p>
      <w:pPr>
        <w:ind w:left="320" w:right="60"/>
        <w:spacing w:after="0" w:line="270" w:lineRule="auto"/>
        <w:rPr>
          <w:sz w:val="20"/>
          <w:szCs w:val="20"/>
          <w:color w:val="auto"/>
        </w:rPr>
      </w:pPr>
      <w:r>
        <w:rPr>
          <w:rFonts w:ascii="Arial" w:cs="Arial" w:eastAsia="Arial" w:hAnsi="Arial"/>
          <w:sz w:val="17"/>
          <w:szCs w:val="17"/>
          <w:color w:val="auto"/>
        </w:rPr>
        <w:t>We are also involved in fundraising initiatives. In 2022, we hosted an employee fundraiser and also routed a portion of our community engagement funding toward supporting the humanitarian aid and relief efforts in Ukraine. In 2023, we hosted an employee fundraiser to provide meals to individuals affected by the February 2023 earthquake in Turkey and Syria.</w:t>
      </w:r>
    </w:p>
    <w:p>
      <w:pPr>
        <w:spacing w:after="0" w:line="200" w:lineRule="exact"/>
        <w:rPr>
          <w:sz w:val="20"/>
          <w:szCs w:val="20"/>
          <w:color w:val="auto"/>
        </w:rPr>
      </w:pPr>
    </w:p>
    <w:p>
      <w:pPr>
        <w:spacing w:after="0" w:line="285" w:lineRule="exact"/>
        <w:rPr>
          <w:sz w:val="20"/>
          <w:szCs w:val="20"/>
          <w:color w:val="auto"/>
        </w:rPr>
      </w:pPr>
    </w:p>
    <w:p>
      <w:pPr>
        <w:ind w:left="320" w:right="100"/>
        <w:spacing w:after="0" w:line="265" w:lineRule="auto"/>
        <w:rPr>
          <w:sz w:val="20"/>
          <w:szCs w:val="20"/>
          <w:color w:val="auto"/>
        </w:rPr>
      </w:pPr>
      <w:r>
        <w:rPr>
          <w:rFonts w:ascii="Arial" w:cs="Arial" w:eastAsia="Arial" w:hAnsi="Arial"/>
          <w:sz w:val="17"/>
          <w:szCs w:val="17"/>
          <w:color w:val="auto"/>
        </w:rPr>
        <w:t>We regularly seek to increase engagement across our organization in our community initiatives. We hold an annual awards ceremony to recognize our employee volunteers for their contributions. In early 2023, we hosted geography-specific trainings for certain of our employees who we appointed to be our local “CSR champions.” Our CSR champions will assist us in driving interest and participation across our employee base in our community engagement programming.</w:t>
      </w:r>
    </w:p>
    <w:p>
      <w:pPr>
        <w:spacing w:after="0" w:line="236" w:lineRule="exact"/>
        <w:rPr>
          <w:sz w:val="20"/>
          <w:szCs w:val="20"/>
          <w:color w:val="auto"/>
        </w:rPr>
      </w:pPr>
    </w:p>
    <w:tbl>
      <w:tblPr>
        <w:tblLayout w:type="fixed"/>
        <w:tblInd w:w="7980" w:type="dxa"/>
        <w:tblCellMar>
          <w:top w:w="0" w:type="dxa"/>
          <w:left w:w="0" w:type="dxa"/>
          <w:bottom w:w="0" w:type="dxa"/>
          <w:right w:w="0" w:type="dxa"/>
        </w:tblCellMar>
      </w:tblPr>
      <w:tr>
        <w:trPr>
          <w:trHeight w:val="361"/>
        </w:trPr>
        <w:tc>
          <w:tcPr>
            <w:tcW w:w="1900" w:type="dxa"/>
            <w:vAlign w:val="bottom"/>
          </w:tcPr>
          <w:p>
            <w:pPr>
              <w:spacing w:after="0"/>
              <w:rPr>
                <w:sz w:val="20"/>
                <w:szCs w:val="20"/>
                <w:color w:val="auto"/>
              </w:rPr>
            </w:pPr>
            <w:r>
              <w:rPr>
                <w:rFonts w:ascii="Arial" w:cs="Arial" w:eastAsia="Arial" w:hAnsi="Arial"/>
                <w:sz w:val="13"/>
                <w:szCs w:val="13"/>
                <w:color w:val="auto"/>
              </w:rPr>
              <w:t>EXL 2023 Proxy Statement</w:t>
            </w:r>
            <w:r>
              <w:rPr>
                <w:rFonts w:ascii="Arial" w:cs="Arial" w:eastAsia="Arial" w:hAnsi="Arial"/>
                <w:sz w:val="28"/>
                <w:szCs w:val="28"/>
                <w:b w:val="1"/>
                <w:bCs w:val="1"/>
                <w:color w:val="FB4E0B"/>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49</w:t>
            </w:r>
          </w:p>
        </w:tc>
      </w:tr>
    </w:tbl>
    <w:p>
      <w:pPr>
        <w:sectPr>
          <w:pgSz w:w="11900" w:h="16838" w:orient="portrait"/>
          <w:cols w:equalWidth="0" w:num="1">
            <w:col w:w="10940"/>
          </w:cols>
          <w:pgMar w:left="320" w:top="473" w:right="6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4959350</wp:posOffset>
            </wp:positionH>
            <wp:positionV relativeFrom="paragraph">
              <wp:posOffset>226060</wp:posOffset>
            </wp:positionV>
            <wp:extent cx="1982470" cy="3609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82470" cy="36099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24"/>
          <w:szCs w:val="24"/>
          <w:color w:val="auto"/>
        </w:rPr>
        <w:t>Protecting our planet</w:t>
      </w:r>
    </w:p>
    <w:p>
      <w:pPr>
        <w:spacing w:after="0" w:line="247" w:lineRule="exact"/>
        <w:rPr>
          <w:sz w:val="20"/>
          <w:szCs w:val="20"/>
          <w:color w:val="auto"/>
        </w:rPr>
      </w:pPr>
    </w:p>
    <w:p>
      <w:pPr>
        <w:ind w:left="320" w:right="3079"/>
        <w:spacing w:after="0" w:line="287" w:lineRule="auto"/>
        <w:rPr>
          <w:sz w:val="20"/>
          <w:szCs w:val="20"/>
          <w:color w:val="auto"/>
        </w:rPr>
      </w:pPr>
      <w:r>
        <w:rPr>
          <w:rFonts w:ascii="Arial" w:cs="Arial" w:eastAsia="Arial" w:hAnsi="Arial"/>
          <w:sz w:val="16"/>
          <w:szCs w:val="16"/>
          <w:color w:val="auto"/>
        </w:rPr>
        <w:t>At EXL, we prioritize environmental stewardship and endeavor to minimize the environmental impact of our operations. We focus on conserving energy, minimizing waste, reducing water and one-time plastics use and developing efficient infrastructure and operations, all in order to reduce our environmental footprint across our global operations.</w:t>
      </w:r>
    </w:p>
    <w:p>
      <w:pPr>
        <w:spacing w:after="0" w:line="70" w:lineRule="exact"/>
        <w:rPr>
          <w:sz w:val="20"/>
          <w:szCs w:val="20"/>
          <w:color w:val="auto"/>
        </w:rPr>
      </w:pPr>
    </w:p>
    <w:p>
      <w:pPr>
        <w:ind w:left="320" w:right="2939"/>
        <w:spacing w:after="0" w:line="270" w:lineRule="auto"/>
        <w:rPr>
          <w:sz w:val="20"/>
          <w:szCs w:val="20"/>
          <w:color w:val="auto"/>
        </w:rPr>
      </w:pPr>
      <w:r>
        <w:rPr>
          <w:rFonts w:ascii="Arial" w:cs="Arial" w:eastAsia="Arial" w:hAnsi="Arial"/>
          <w:sz w:val="17"/>
          <w:szCs w:val="17"/>
          <w:color w:val="auto"/>
        </w:rPr>
        <w:t>We provide information relating to greenhouse gas emissions and climate impact in our Sustainability Report. We have participated in the CDP’s Climate Change disclosure program since 2018 and are working to reduce our emissions.</w:t>
      </w:r>
    </w:p>
    <w:p>
      <w:pPr>
        <w:spacing w:after="0" w:line="82" w:lineRule="exact"/>
        <w:rPr>
          <w:sz w:val="20"/>
          <w:szCs w:val="20"/>
          <w:color w:val="auto"/>
        </w:rPr>
      </w:pPr>
    </w:p>
    <w:p>
      <w:pPr>
        <w:ind w:left="320" w:right="3019"/>
        <w:spacing w:after="0" w:line="302" w:lineRule="auto"/>
        <w:rPr>
          <w:sz w:val="20"/>
          <w:szCs w:val="20"/>
          <w:color w:val="auto"/>
        </w:rPr>
      </w:pPr>
      <w:r>
        <w:rPr>
          <w:rFonts w:ascii="Arial" w:cs="Arial" w:eastAsia="Arial" w:hAnsi="Arial"/>
          <w:sz w:val="15"/>
          <w:szCs w:val="15"/>
          <w:color w:val="auto"/>
        </w:rPr>
        <w:t>Given that our energy consumption is primarily from our office facilities, we have taken measures to improve energy efficiency including, for example, an enterprise-level retrofit program to transform existing delivery centers into highly efficient buildings with smart automation, using technology such as modular power supplies to conserve energy and optimizing our use of real estate. We adopted a hybrid in-person and remote work operating model, which will help us to reduce greenhouse gas emissions by decreasing commuting- related travel.</w:t>
      </w:r>
    </w:p>
    <w:p>
      <w:pPr>
        <w:spacing w:after="0" w:line="64" w:lineRule="exact"/>
        <w:rPr>
          <w:sz w:val="20"/>
          <w:szCs w:val="20"/>
          <w:color w:val="auto"/>
        </w:rPr>
      </w:pPr>
    </w:p>
    <w:p>
      <w:pPr>
        <w:ind w:left="320" w:right="3079"/>
        <w:spacing w:after="0" w:line="265" w:lineRule="auto"/>
        <w:rPr>
          <w:sz w:val="20"/>
          <w:szCs w:val="20"/>
          <w:color w:val="auto"/>
        </w:rPr>
      </w:pPr>
      <w:r>
        <w:rPr>
          <w:rFonts w:ascii="Arial" w:cs="Arial" w:eastAsia="Arial" w:hAnsi="Arial"/>
          <w:sz w:val="17"/>
          <w:szCs w:val="17"/>
          <w:color w:val="auto"/>
        </w:rPr>
        <w:t>For more information on efforts toward protecting our planet, please refer to our Sustainability Report, available on our website at www.exlservice.com/about/sustainability. We expect to report our 2022 progress toward these efforts in our 2022 Annual Sustainability Report to be published during 2023.</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Human rights and sustainable supply chain</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Human rights</w:t>
      </w:r>
    </w:p>
    <w:p>
      <w:pPr>
        <w:spacing w:after="0" w:line="247" w:lineRule="exact"/>
        <w:rPr>
          <w:sz w:val="20"/>
          <w:szCs w:val="20"/>
          <w:color w:val="auto"/>
        </w:rPr>
      </w:pPr>
    </w:p>
    <w:p>
      <w:pPr>
        <w:ind w:left="320" w:right="3139"/>
        <w:spacing w:after="0" w:line="270" w:lineRule="auto"/>
        <w:rPr>
          <w:sz w:val="20"/>
          <w:szCs w:val="20"/>
          <w:color w:val="auto"/>
        </w:rPr>
      </w:pPr>
      <w:r>
        <w:rPr>
          <w:rFonts w:ascii="Arial" w:cs="Arial" w:eastAsia="Arial" w:hAnsi="Arial"/>
          <w:sz w:val="17"/>
          <w:szCs w:val="17"/>
          <w:color w:val="auto"/>
        </w:rPr>
        <w:t>Our Human Rights Policy details our commitment to human rights and our zero tolerance policy with respect to workplace harassment and discrimination and preventing forced labor and trafficking and other abuses.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Sustainable supply chain</w:t>
      </w:r>
    </w:p>
    <w:p>
      <w:pPr>
        <w:spacing w:after="0" w:line="247" w:lineRule="exact"/>
        <w:rPr>
          <w:sz w:val="20"/>
          <w:szCs w:val="20"/>
          <w:color w:val="auto"/>
        </w:rPr>
      </w:pPr>
    </w:p>
    <w:p>
      <w:pPr>
        <w:ind w:left="320" w:right="2979"/>
        <w:spacing w:after="0" w:line="263" w:lineRule="auto"/>
        <w:rPr>
          <w:sz w:val="20"/>
          <w:szCs w:val="20"/>
          <w:color w:val="auto"/>
        </w:rPr>
      </w:pPr>
      <w:r>
        <w:rPr>
          <w:rFonts w:ascii="Arial" w:cs="Arial" w:eastAsia="Arial" w:hAnsi="Arial"/>
          <w:sz w:val="17"/>
          <w:szCs w:val="17"/>
          <w:color w:val="auto"/>
        </w:rPr>
        <w:t>In order to ensure that our suppliers’ business conduct aligns with our expectations, we collect background information from our new suppliers on their policies and performance relating to economic and environmental matters, and human rights, data privacy, product safety and working conditions. We require our suppliers to adhere to our Supplier Standards of Conduct, which set out commitments relating to creating</w:t>
      </w:r>
    </w:p>
    <w:p>
      <w:pPr>
        <w:spacing w:after="0" w:line="106" w:lineRule="exact"/>
        <w:rPr>
          <w:sz w:val="20"/>
          <w:szCs w:val="20"/>
          <w:color w:val="auto"/>
        </w:rPr>
      </w:pPr>
    </w:p>
    <w:p>
      <w:pPr>
        <w:ind w:left="1020"/>
        <w:spacing w:after="0"/>
        <w:tabs>
          <w:tab w:leader="none" w:pos="1460" w:val="left"/>
          <w:tab w:leader="none" w:pos="1800" w:val="left"/>
        </w:tabs>
        <w:rPr>
          <w:sz w:val="20"/>
          <w:szCs w:val="20"/>
          <w:color w:val="auto"/>
        </w:rPr>
      </w:pPr>
      <w:r>
        <w:rPr>
          <w:rFonts w:ascii="Arial" w:cs="Arial" w:eastAsia="Arial" w:hAnsi="Arial"/>
          <w:sz w:val="17"/>
          <w:szCs w:val="17"/>
          <w:b w:val="1"/>
          <w:bCs w:val="1"/>
          <w:color w:val="auto"/>
        </w:rPr>
        <w:t>50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139"/>
          </w:cols>
          <w:pgMar w:left="320" w:top="473" w:right="1440"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Sustainability</w:t>
      </w:r>
    </w:p>
    <w:p>
      <w:pPr>
        <w:spacing w:after="0" w:line="343" w:lineRule="exact"/>
        <w:rPr>
          <w:sz w:val="20"/>
          <w:szCs w:val="20"/>
          <w:color w:val="auto"/>
        </w:rPr>
      </w:pPr>
    </w:p>
    <w:p>
      <w:pPr>
        <w:ind w:left="320" w:right="360"/>
        <w:spacing w:after="0" w:line="286" w:lineRule="auto"/>
        <w:rPr>
          <w:sz w:val="20"/>
          <w:szCs w:val="20"/>
          <w:color w:val="auto"/>
        </w:rPr>
      </w:pPr>
      <w:r>
        <w:rPr>
          <w:rFonts w:ascii="Arial" w:cs="Arial" w:eastAsia="Arial" w:hAnsi="Arial"/>
          <w:sz w:val="17"/>
          <w:szCs w:val="17"/>
          <w:color w:val="auto"/>
        </w:rPr>
        <w:t>a more sustainable and responsible world through addressing human rights, labor rights and environmental issues, and ask suppliers to attest to their compliance. We generally maintain the right to review our suppliers’ practices at onboarding and in the future.</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seek to procure our materials from local suppliers, to the extent feasible.</w:t>
      </w:r>
    </w:p>
    <w:p>
      <w:pPr>
        <w:spacing w:after="0" w:line="325" w:lineRule="exact"/>
        <w:rPr>
          <w:sz w:val="20"/>
          <w:szCs w:val="20"/>
          <w:color w:val="auto"/>
        </w:rPr>
      </w:pPr>
    </w:p>
    <w:p>
      <w:pPr>
        <w:ind w:left="320" w:right="480"/>
        <w:spacing w:after="0" w:line="356" w:lineRule="auto"/>
        <w:rPr>
          <w:sz w:val="20"/>
          <w:szCs w:val="20"/>
          <w:color w:val="auto"/>
        </w:rPr>
      </w:pPr>
      <w:r>
        <w:rPr>
          <w:rFonts w:ascii="Arial" w:cs="Arial" w:eastAsia="Arial" w:hAnsi="Arial"/>
          <w:sz w:val="15"/>
          <w:szCs w:val="15"/>
          <w:color w:val="auto"/>
        </w:rPr>
        <w:t>Our supplier diversity programs encourage the engagement of suppliers of diverse backgrounds, including, without limitation, suppliers owned by people belonging to minority groups, women, the LGBTQ+ community, and veterans, specially-abled people, and small business enterprises.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Supporting and developing our people</w:t>
      </w:r>
    </w:p>
    <w:p>
      <w:pPr>
        <w:spacing w:after="0" w:line="117" w:lineRule="exact"/>
        <w:rPr>
          <w:sz w:val="20"/>
          <w:szCs w:val="20"/>
          <w:color w:val="auto"/>
        </w:rPr>
      </w:pPr>
    </w:p>
    <w:p>
      <w:pPr>
        <w:ind w:left="320" w:right="40"/>
        <w:spacing w:after="0" w:line="299" w:lineRule="auto"/>
        <w:rPr>
          <w:sz w:val="20"/>
          <w:szCs w:val="20"/>
          <w:color w:val="auto"/>
        </w:rPr>
      </w:pPr>
      <w:r>
        <w:rPr>
          <w:rFonts w:ascii="Arial" w:cs="Arial" w:eastAsia="Arial" w:hAnsi="Arial"/>
          <w:sz w:val="15"/>
          <w:szCs w:val="15"/>
          <w:color w:val="auto"/>
        </w:rPr>
        <w:t>Our people are our primary assets. The world we work and live in is full of diversity and powered by innovation. We believe success in such a world will come through an environment that embraces diversity of thought and experience. In line with our core values, one of our principal priorities is promoting talent development, while creating an inclusive work environment that permits us to leverage our employees’ diversity to deliver exceptional results for our clients. We have an active employee relations function, which is overseen by our Compensation and Talent Management Committee, that regularly communicates with and seeks to understand our employees in order to swiftly respond to specific needs and concerns as they arise. We regularly conduct employee surveys to monitor our employee satisfaction and engagement, as further described below and employ people analytics in our talent management processes to optimize our delivery of our talent acquisition and development strategy. On an annual basis, our Compensation and Talent Management Committee previews, and then our full board reviews, a comprehensive human capital strategic review prepared by management.</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Headquartered in New York, we are made up of over 45,400 professionals, with more than 50 offices spanning six continents.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35"/>
          <w:szCs w:val="35"/>
          <w:b w:val="1"/>
          <w:bCs w:val="1"/>
          <w:color w:val="auto"/>
        </w:rPr>
        <w:t>EXL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98425</wp:posOffset>
            </wp:positionV>
            <wp:extent cx="5774055" cy="25196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74055"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7980" w:type="dxa"/>
        <w:tblCellMar>
          <w:top w:w="0" w:type="dxa"/>
          <w:left w:w="0" w:type="dxa"/>
          <w:bottom w:w="0" w:type="dxa"/>
          <w:right w:w="0" w:type="dxa"/>
        </w:tblCellMar>
      </w:tblPr>
      <w:tr>
        <w:trPr>
          <w:trHeight w:val="361"/>
        </w:trPr>
        <w:tc>
          <w:tcPr>
            <w:tcW w:w="1900" w:type="dxa"/>
            <w:vAlign w:val="bottom"/>
          </w:tcPr>
          <w:p>
            <w:pPr>
              <w:spacing w:after="0"/>
              <w:rPr>
                <w:sz w:val="20"/>
                <w:szCs w:val="20"/>
                <w:color w:val="auto"/>
              </w:rPr>
            </w:pPr>
            <w:r>
              <w:rPr>
                <w:rFonts w:ascii="Arial" w:cs="Arial" w:eastAsia="Arial" w:hAnsi="Arial"/>
                <w:sz w:val="13"/>
                <w:szCs w:val="13"/>
                <w:color w:val="auto"/>
              </w:rPr>
              <w:t>EXL 2023 Proxy Statement</w:t>
            </w:r>
            <w:r>
              <w:rPr>
                <w:rFonts w:ascii="Arial" w:cs="Arial" w:eastAsia="Arial" w:hAnsi="Arial"/>
                <w:sz w:val="28"/>
                <w:szCs w:val="28"/>
                <w:b w:val="1"/>
                <w:bCs w:val="1"/>
                <w:color w:val="FB4E0B"/>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51</w:t>
            </w:r>
          </w:p>
        </w:tc>
      </w:tr>
    </w:tbl>
    <w:p>
      <w:pPr>
        <w:sectPr>
          <w:pgSz w:w="11900" w:h="16838" w:orient="portrait"/>
          <w:cols w:equalWidth="0" w:num="1">
            <w:col w:w="10940"/>
          </w:cols>
          <w:pgMar w:left="320" w:top="473" w:right="6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Diversity, equity and inclusion</w:t>
      </w:r>
    </w:p>
    <w:p>
      <w:pPr>
        <w:spacing w:after="0" w:line="117" w:lineRule="exact"/>
        <w:rPr>
          <w:sz w:val="20"/>
          <w:szCs w:val="20"/>
          <w:color w:val="auto"/>
        </w:rPr>
      </w:pPr>
    </w:p>
    <w:p>
      <w:pPr>
        <w:ind w:left="320" w:right="40"/>
        <w:spacing w:after="0" w:line="261" w:lineRule="auto"/>
        <w:rPr>
          <w:sz w:val="20"/>
          <w:szCs w:val="20"/>
          <w:color w:val="auto"/>
        </w:rPr>
      </w:pPr>
      <w:r>
        <w:rPr>
          <w:rFonts w:ascii="Arial" w:cs="Arial" w:eastAsia="Arial" w:hAnsi="Arial"/>
          <w:sz w:val="17"/>
          <w:szCs w:val="17"/>
          <w:color w:val="auto"/>
        </w:rPr>
        <w:t>Diversity, equity and inclusion (“DEI”) is a focus at EXL, as we believe that our employees’ diversity of thought and experience are key to our ability to innovate on a global scale, in line with our long-term corporate strategy. Our DEI program is led by our human resources leadership team, together with our Diversity and Inclusion Council, and is ultimately overseen by our board. Our Diversity and Inclusion Council consists of a global, diverse mix of leaders, provides inputs to the design of our diversity, equity and inclusion program to bring in diverse perspectives, collaborates with external partners for customization inputs, conducts periodic reviews of the progress of our program and provides execution leadership for specific initiatives. The following are select DEI statistics* as of December 31, 2022:</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590"/>
        </w:trPr>
        <w:tc>
          <w:tcPr>
            <w:tcW w:w="1660" w:type="dxa"/>
            <w:vAlign w:val="bottom"/>
          </w:tcPr>
          <w:p>
            <w:pPr>
              <w:jc w:val="center"/>
              <w:ind w:right="353"/>
              <w:spacing w:after="0"/>
              <w:rPr>
                <w:sz w:val="20"/>
                <w:szCs w:val="20"/>
                <w:color w:val="auto"/>
              </w:rPr>
            </w:pPr>
            <w:r>
              <w:rPr>
                <w:rFonts w:ascii="Arial" w:cs="Arial" w:eastAsia="Arial" w:hAnsi="Arial"/>
                <w:sz w:val="45"/>
                <w:szCs w:val="45"/>
                <w:b w:val="1"/>
                <w:bCs w:val="1"/>
                <w:color w:val="auto"/>
                <w:w w:val="99"/>
              </w:rPr>
              <w:t>41%</w:t>
            </w:r>
          </w:p>
        </w:tc>
        <w:tc>
          <w:tcPr>
            <w:tcW w:w="2220" w:type="dxa"/>
            <w:vAlign w:val="bottom"/>
          </w:tcPr>
          <w:p>
            <w:pPr>
              <w:jc w:val="center"/>
              <w:ind w:left="5"/>
              <w:spacing w:after="0"/>
              <w:rPr>
                <w:sz w:val="20"/>
                <w:szCs w:val="20"/>
                <w:color w:val="auto"/>
              </w:rPr>
            </w:pPr>
            <w:r>
              <w:rPr>
                <w:rFonts w:ascii="Arial" w:cs="Arial" w:eastAsia="Arial" w:hAnsi="Arial"/>
                <w:sz w:val="45"/>
                <w:szCs w:val="45"/>
                <w:b w:val="1"/>
                <w:bCs w:val="1"/>
                <w:color w:val="auto"/>
                <w:w w:val="99"/>
              </w:rPr>
              <w:t>20%</w:t>
            </w:r>
          </w:p>
        </w:tc>
        <w:tc>
          <w:tcPr>
            <w:tcW w:w="2160" w:type="dxa"/>
            <w:vAlign w:val="bottom"/>
          </w:tcPr>
          <w:p>
            <w:pPr>
              <w:jc w:val="center"/>
              <w:spacing w:after="0"/>
              <w:rPr>
                <w:sz w:val="20"/>
                <w:szCs w:val="20"/>
                <w:color w:val="auto"/>
              </w:rPr>
            </w:pPr>
            <w:r>
              <w:rPr>
                <w:rFonts w:ascii="Arial" w:cs="Arial" w:eastAsia="Arial" w:hAnsi="Arial"/>
                <w:sz w:val="45"/>
                <w:szCs w:val="45"/>
                <w:b w:val="1"/>
                <w:bCs w:val="1"/>
                <w:color w:val="auto"/>
                <w:w w:val="99"/>
              </w:rPr>
              <w:t>22%</w:t>
            </w:r>
          </w:p>
        </w:tc>
        <w:tc>
          <w:tcPr>
            <w:tcW w:w="1980" w:type="dxa"/>
            <w:vAlign w:val="bottom"/>
          </w:tcPr>
          <w:p>
            <w:pPr>
              <w:jc w:val="center"/>
              <w:spacing w:after="0"/>
              <w:rPr>
                <w:sz w:val="20"/>
                <w:szCs w:val="20"/>
                <w:color w:val="auto"/>
              </w:rPr>
            </w:pPr>
            <w:r>
              <w:rPr>
                <w:rFonts w:ascii="Arial" w:cs="Arial" w:eastAsia="Arial" w:hAnsi="Arial"/>
                <w:sz w:val="45"/>
                <w:szCs w:val="45"/>
                <w:b w:val="1"/>
                <w:bCs w:val="1"/>
                <w:color w:val="auto"/>
              </w:rPr>
              <w:t>51%</w:t>
            </w:r>
          </w:p>
        </w:tc>
        <w:tc>
          <w:tcPr>
            <w:tcW w:w="1700" w:type="dxa"/>
            <w:vAlign w:val="bottom"/>
          </w:tcPr>
          <w:p>
            <w:pPr>
              <w:jc w:val="center"/>
              <w:ind w:left="245"/>
              <w:spacing w:after="0"/>
              <w:rPr>
                <w:sz w:val="20"/>
                <w:szCs w:val="20"/>
                <w:color w:val="auto"/>
              </w:rPr>
            </w:pPr>
            <w:r>
              <w:rPr>
                <w:rFonts w:ascii="Arial" w:cs="Arial" w:eastAsia="Arial" w:hAnsi="Arial"/>
                <w:sz w:val="45"/>
                <w:szCs w:val="45"/>
                <w:b w:val="1"/>
                <w:bCs w:val="1"/>
                <w:color w:val="auto"/>
                <w:w w:val="99"/>
              </w:rPr>
              <w:t>61%</w:t>
            </w:r>
          </w:p>
        </w:tc>
      </w:tr>
      <w:tr>
        <w:trPr>
          <w:trHeight w:val="253"/>
        </w:trPr>
        <w:tc>
          <w:tcPr>
            <w:tcW w:w="1660" w:type="dxa"/>
            <w:vAlign w:val="bottom"/>
          </w:tcPr>
          <w:p>
            <w:pPr>
              <w:jc w:val="center"/>
              <w:ind w:right="373"/>
              <w:spacing w:after="0"/>
              <w:rPr>
                <w:sz w:val="20"/>
                <w:szCs w:val="20"/>
                <w:color w:val="auto"/>
              </w:rPr>
            </w:pPr>
            <w:r>
              <w:rPr>
                <w:rFonts w:ascii="Arial" w:cs="Arial" w:eastAsia="Arial" w:hAnsi="Arial"/>
                <w:sz w:val="16"/>
                <w:szCs w:val="16"/>
                <w:b w:val="1"/>
                <w:bCs w:val="1"/>
                <w:color w:val="auto"/>
                <w:w w:val="90"/>
              </w:rPr>
              <w:t>Gender Diversity</w:t>
            </w:r>
          </w:p>
        </w:tc>
        <w:tc>
          <w:tcPr>
            <w:tcW w:w="2220" w:type="dxa"/>
            <w:vAlign w:val="bottom"/>
          </w:tcPr>
          <w:p>
            <w:pPr>
              <w:jc w:val="center"/>
              <w:ind w:left="5"/>
              <w:spacing w:after="0"/>
              <w:rPr>
                <w:sz w:val="20"/>
                <w:szCs w:val="20"/>
                <w:color w:val="auto"/>
              </w:rPr>
            </w:pPr>
            <w:r>
              <w:rPr>
                <w:rFonts w:ascii="Arial" w:cs="Arial" w:eastAsia="Arial" w:hAnsi="Arial"/>
                <w:sz w:val="16"/>
                <w:szCs w:val="16"/>
                <w:b w:val="1"/>
                <w:bCs w:val="1"/>
                <w:color w:val="auto"/>
                <w:w w:val="88"/>
              </w:rPr>
              <w:t>Gender Diversity</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Gender Diversity</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9"/>
              </w:rPr>
              <w:t>Racial and Ethnic</w:t>
            </w:r>
          </w:p>
        </w:tc>
        <w:tc>
          <w:tcPr>
            <w:tcW w:w="1700" w:type="dxa"/>
            <w:vAlign w:val="bottom"/>
          </w:tcPr>
          <w:p>
            <w:pPr>
              <w:jc w:val="center"/>
              <w:ind w:left="245"/>
              <w:spacing w:after="0"/>
              <w:rPr>
                <w:sz w:val="20"/>
                <w:szCs w:val="20"/>
                <w:color w:val="auto"/>
              </w:rPr>
            </w:pPr>
            <w:r>
              <w:rPr>
                <w:rFonts w:ascii="Arial" w:cs="Arial" w:eastAsia="Arial" w:hAnsi="Arial"/>
                <w:sz w:val="16"/>
                <w:szCs w:val="16"/>
                <w:b w:val="1"/>
                <w:bCs w:val="1"/>
                <w:color w:val="auto"/>
                <w:w w:val="87"/>
              </w:rPr>
              <w:t>Racial and</w:t>
            </w:r>
          </w:p>
        </w:tc>
      </w:tr>
      <w:tr>
        <w:trPr>
          <w:trHeight w:val="195"/>
        </w:trPr>
        <w:tc>
          <w:tcPr>
            <w:tcW w:w="1660" w:type="dxa"/>
            <w:vAlign w:val="bottom"/>
          </w:tcPr>
          <w:p>
            <w:pPr>
              <w:jc w:val="center"/>
              <w:ind w:right="373"/>
              <w:spacing w:after="0"/>
              <w:rPr>
                <w:sz w:val="20"/>
                <w:szCs w:val="20"/>
                <w:color w:val="auto"/>
              </w:rPr>
            </w:pPr>
            <w:r>
              <w:rPr>
                <w:rFonts w:ascii="Arial" w:cs="Arial" w:eastAsia="Arial" w:hAnsi="Arial"/>
                <w:sz w:val="16"/>
                <w:szCs w:val="16"/>
                <w:b w:val="1"/>
                <w:bCs w:val="1"/>
                <w:color w:val="auto"/>
                <w:w w:val="87"/>
              </w:rPr>
              <w:t>Company-wide</w:t>
            </w:r>
          </w:p>
        </w:tc>
        <w:tc>
          <w:tcPr>
            <w:tcW w:w="2220" w:type="dxa"/>
            <w:vAlign w:val="bottom"/>
          </w:tcPr>
          <w:p>
            <w:pPr>
              <w:jc w:val="center"/>
              <w:ind w:left="5"/>
              <w:spacing w:after="0"/>
              <w:rPr>
                <w:sz w:val="20"/>
                <w:szCs w:val="20"/>
                <w:color w:val="auto"/>
              </w:rPr>
            </w:pPr>
            <w:r>
              <w:rPr>
                <w:rFonts w:ascii="Arial" w:cs="Arial" w:eastAsia="Arial" w:hAnsi="Arial"/>
                <w:sz w:val="16"/>
                <w:szCs w:val="16"/>
                <w:b w:val="1"/>
                <w:bCs w:val="1"/>
                <w:color w:val="auto"/>
                <w:w w:val="88"/>
              </w:rPr>
              <w:t>Company-wide Vice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Senior Management</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8"/>
              </w:rPr>
              <w:t>Diversity</w:t>
            </w:r>
          </w:p>
        </w:tc>
        <w:tc>
          <w:tcPr>
            <w:tcW w:w="1700" w:type="dxa"/>
            <w:vAlign w:val="bottom"/>
          </w:tcPr>
          <w:p>
            <w:pPr>
              <w:jc w:val="center"/>
              <w:ind w:left="245"/>
              <w:spacing w:after="0"/>
              <w:rPr>
                <w:sz w:val="20"/>
                <w:szCs w:val="20"/>
                <w:color w:val="auto"/>
              </w:rPr>
            </w:pPr>
            <w:r>
              <w:rPr>
                <w:rFonts w:ascii="Arial" w:cs="Arial" w:eastAsia="Arial" w:hAnsi="Arial"/>
                <w:sz w:val="16"/>
                <w:szCs w:val="16"/>
                <w:b w:val="1"/>
                <w:bCs w:val="1"/>
                <w:color w:val="auto"/>
                <w:w w:val="90"/>
              </w:rPr>
              <w:t>Ethnic Diversity</w:t>
            </w:r>
          </w:p>
        </w:tc>
      </w:tr>
      <w:tr>
        <w:trPr>
          <w:trHeight w:val="203"/>
        </w:trPr>
        <w:tc>
          <w:tcPr>
            <w:tcW w:w="16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88"/>
              </w:rPr>
              <w:t>President and Up</w:t>
            </w:r>
          </w:p>
        </w:tc>
        <w:tc>
          <w:tcPr>
            <w:tcW w:w="21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6"/>
              </w:rPr>
              <w:t>U.S. Employees</w:t>
            </w:r>
          </w:p>
        </w:tc>
        <w:tc>
          <w:tcPr>
            <w:tcW w:w="1700" w:type="dxa"/>
            <w:vAlign w:val="bottom"/>
          </w:tcPr>
          <w:p>
            <w:pPr>
              <w:jc w:val="center"/>
              <w:ind w:left="245"/>
              <w:spacing w:after="0"/>
              <w:rPr>
                <w:sz w:val="20"/>
                <w:szCs w:val="20"/>
                <w:color w:val="auto"/>
              </w:rPr>
            </w:pPr>
            <w:r>
              <w:rPr>
                <w:rFonts w:ascii="Arial" w:cs="Arial" w:eastAsia="Arial" w:hAnsi="Arial"/>
                <w:sz w:val="16"/>
                <w:szCs w:val="16"/>
                <w:b w:val="1"/>
                <w:bCs w:val="1"/>
                <w:color w:val="auto"/>
                <w:w w:val="88"/>
              </w:rPr>
              <w:t>Senior Management</w:t>
            </w:r>
          </w:p>
        </w:tc>
      </w:tr>
    </w:tbl>
    <w:p>
      <w:pPr>
        <w:spacing w:after="0" w:line="202" w:lineRule="exact"/>
        <w:rPr>
          <w:sz w:val="20"/>
          <w:szCs w:val="20"/>
          <w:color w:val="auto"/>
        </w:rPr>
      </w:pPr>
    </w:p>
    <w:p>
      <w:pPr>
        <w:ind w:left="320" w:right="40"/>
        <w:spacing w:after="0" w:line="286" w:lineRule="auto"/>
        <w:rPr>
          <w:sz w:val="20"/>
          <w:szCs w:val="20"/>
          <w:color w:val="auto"/>
        </w:rPr>
      </w:pPr>
      <w:r>
        <w:rPr>
          <w:rFonts w:ascii="Arial" w:cs="Arial" w:eastAsia="Arial" w:hAnsi="Arial"/>
          <w:sz w:val="17"/>
          <w:szCs w:val="17"/>
          <w:color w:val="auto"/>
        </w:rPr>
        <w:t>*Senior Management includes members of our Executive Committee and Operating Committee. U.S. Employees includes diversity data as self-reported by employees.</w:t>
      </w:r>
    </w:p>
    <w:p>
      <w:pPr>
        <w:spacing w:after="0" w:line="159" w:lineRule="exact"/>
        <w:rPr>
          <w:sz w:val="20"/>
          <w:szCs w:val="20"/>
          <w:color w:val="auto"/>
        </w:rPr>
      </w:pPr>
    </w:p>
    <w:p>
      <w:pPr>
        <w:ind w:left="320" w:right="320"/>
        <w:spacing w:after="0" w:line="286" w:lineRule="auto"/>
        <w:rPr>
          <w:sz w:val="20"/>
          <w:szCs w:val="20"/>
          <w:color w:val="auto"/>
        </w:rPr>
      </w:pPr>
      <w:r>
        <w:rPr>
          <w:rFonts w:ascii="Arial" w:cs="Arial" w:eastAsia="Arial" w:hAnsi="Arial"/>
          <w:sz w:val="17"/>
          <w:szCs w:val="17"/>
          <w:color w:val="auto"/>
        </w:rPr>
        <w:t>Our DEI program is designed around three pillars: capability development, communication and recruitment. Key features of our DEI program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748780" cy="3714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48780" cy="371475"/>
                    </a:xfrm>
                    <a:prstGeom prst="rect">
                      <a:avLst/>
                    </a:prstGeom>
                    <a:noFill/>
                  </pic:spPr>
                </pic:pic>
              </a:graphicData>
            </a:graphic>
          </wp:anchor>
        </w:drawing>
      </w:r>
    </w:p>
    <w:p>
      <w:pPr>
        <w:spacing w:after="0" w:line="37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seek to improve diversity and inclusion through offering a blend of in-person workshops, virtual sessions, and e-learning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203200</wp:posOffset>
            </wp:positionV>
            <wp:extent cx="6344285" cy="801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44285" cy="80137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080" w:right="260"/>
        <w:spacing w:after="0" w:line="274" w:lineRule="auto"/>
        <w:rPr>
          <w:sz w:val="20"/>
          <w:szCs w:val="20"/>
          <w:color w:val="auto"/>
        </w:rPr>
      </w:pPr>
      <w:r>
        <w:rPr>
          <w:rFonts w:ascii="Arial" w:cs="Arial" w:eastAsia="Arial" w:hAnsi="Arial"/>
          <w:sz w:val="16"/>
          <w:szCs w:val="16"/>
          <w:color w:val="auto"/>
        </w:rPr>
        <w:t>We are committed to hiring a diverse workforce and to improving diversity in our senior leadership, and include diversity equity, and inclusion among the guiding principles in our talent acquisition, training and retention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-218440</wp:posOffset>
            </wp:positionV>
            <wp:extent cx="247650" cy="156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119" w:lineRule="exact"/>
        <w:rPr>
          <w:sz w:val="20"/>
          <w:szCs w:val="20"/>
          <w:color w:val="auto"/>
        </w:rPr>
      </w:pPr>
    </w:p>
    <w:p>
      <w:pPr>
        <w:ind w:left="1080" w:right="260"/>
        <w:spacing w:after="0" w:line="274" w:lineRule="auto"/>
        <w:rPr>
          <w:sz w:val="20"/>
          <w:szCs w:val="20"/>
          <w:color w:val="auto"/>
        </w:rPr>
      </w:pPr>
      <w:r>
        <w:rPr>
          <w:rFonts w:ascii="Arial" w:cs="Arial" w:eastAsia="Arial" w:hAnsi="Arial"/>
          <w:sz w:val="16"/>
          <w:szCs w:val="16"/>
          <w:color w:val="auto"/>
        </w:rPr>
        <w:t>We expect to drive greater diversity within our workforce through a combination of promotion within our organization and external hiring, accounting for any attrition of existing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152400</wp:posOffset>
            </wp:positionV>
            <wp:extent cx="6344285" cy="5949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44285" cy="594995"/>
                    </a:xfrm>
                    <a:prstGeom prst="rect">
                      <a:avLst/>
                    </a:prstGeom>
                    <a:noFill/>
                  </pic:spPr>
                </pic:pic>
              </a:graphicData>
            </a:graphic>
          </wp:anchor>
        </w:drawing>
      </w:r>
    </w:p>
    <w:p>
      <w:pPr>
        <w:spacing w:after="0" w:line="379" w:lineRule="exact"/>
        <w:rPr>
          <w:sz w:val="20"/>
          <w:szCs w:val="20"/>
          <w:color w:val="auto"/>
        </w:rPr>
      </w:pPr>
    </w:p>
    <w:p>
      <w:pPr>
        <w:ind w:left="1080" w:right="60"/>
        <w:spacing w:after="0" w:line="264" w:lineRule="auto"/>
        <w:rPr>
          <w:sz w:val="20"/>
          <w:szCs w:val="20"/>
          <w:color w:val="auto"/>
        </w:rPr>
      </w:pPr>
      <w:r>
        <w:rPr>
          <w:rFonts w:ascii="Arial" w:cs="Arial" w:eastAsia="Arial" w:hAnsi="Arial"/>
          <w:sz w:val="16"/>
          <w:szCs w:val="16"/>
          <w:color w:val="auto"/>
        </w:rPr>
        <w:t>Pay equity is an important tenet of our long-term strategy. We completed a pay equity study in 2021 through a third-party consultant to review pay variations among our employees, and identify whether any gaps exist that are attributable to factors that are contrary to our mission of Company-wide pay equity, including gender or racial/ethnic group. Our assessments did not reveal any systematic pay inequity.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257175</wp:posOffset>
            </wp:positionV>
            <wp:extent cx="6344285" cy="1553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44285" cy="15532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-361950</wp:posOffset>
            </wp:positionV>
            <wp:extent cx="247650" cy="156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080" w:right="500"/>
        <w:spacing w:after="0" w:line="274" w:lineRule="auto"/>
        <w:rPr>
          <w:sz w:val="20"/>
          <w:szCs w:val="20"/>
          <w:color w:val="auto"/>
        </w:rPr>
      </w:pPr>
      <w:r>
        <w:rPr>
          <w:rFonts w:ascii="Arial" w:cs="Arial" w:eastAsia="Arial" w:hAnsi="Arial"/>
          <w:sz w:val="16"/>
          <w:szCs w:val="16"/>
          <w:color w:val="auto"/>
        </w:rPr>
        <w:t>We have several Company-wide initiatives aimed at promoting diversity, equity and inclusion and leadership opportunities for our diverse employees, including several initiatives that are focused specifically on supporting and developing women at EXL: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-226695</wp:posOffset>
            </wp:positionV>
            <wp:extent cx="247650" cy="156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115"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w w:val="83"/>
              </w:rPr>
              <w:t>• </w:t>
            </w:r>
          </w:p>
        </w:tc>
        <w:tc>
          <w:tcPr>
            <w:tcW w:w="9360" w:type="dxa"/>
            <w:vAlign w:val="bottom"/>
          </w:tcPr>
          <w:p>
            <w:pPr>
              <w:ind w:left="20"/>
              <w:spacing w:after="0"/>
              <w:rPr>
                <w:sz w:val="20"/>
                <w:szCs w:val="20"/>
                <w:color w:val="auto"/>
              </w:rPr>
            </w:pPr>
            <w:r>
              <w:rPr>
                <w:rFonts w:ascii="Arial" w:cs="Arial" w:eastAsia="Arial" w:hAnsi="Arial"/>
                <w:sz w:val="16"/>
                <w:szCs w:val="16"/>
                <w:color w:val="auto"/>
                <w:w w:val="87"/>
              </w:rPr>
              <w:t xml:space="preserve">   </w:t>
            </w:r>
            <w:r>
              <w:rPr>
                <w:rFonts w:ascii="Arial" w:cs="Arial" w:eastAsia="Arial" w:hAnsi="Arial"/>
                <w:sz w:val="16"/>
                <w:szCs w:val="16"/>
                <w:b w:val="1"/>
                <w:bCs w:val="1"/>
                <w:color w:val="auto"/>
                <w:w w:val="87"/>
              </w:rPr>
              <w:t>Managing Unconscious Bias training,</w:t>
            </w:r>
            <w:r>
              <w:rPr>
                <w:rFonts w:ascii="Arial" w:cs="Arial" w:eastAsia="Arial" w:hAnsi="Arial"/>
                <w:sz w:val="16"/>
                <w:szCs w:val="16"/>
                <w:color w:val="auto"/>
                <w:w w:val="87"/>
              </w:rPr>
              <w:t xml:space="preserve"> Company-wide employee training to bring awareness to and address unconscious bias in the workplace to</w:t>
            </w:r>
          </w:p>
        </w:tc>
      </w:tr>
      <w:tr>
        <w:trPr>
          <w:trHeight w:val="203"/>
        </w:trPr>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60" w:type="dxa"/>
            <w:vAlign w:val="bottom"/>
          </w:tcPr>
          <w:p>
            <w:pPr>
              <w:ind w:left="120"/>
              <w:spacing w:after="0"/>
              <w:rPr>
                <w:sz w:val="20"/>
                <w:szCs w:val="20"/>
                <w:color w:val="auto"/>
              </w:rPr>
            </w:pPr>
            <w:r>
              <w:rPr>
                <w:rFonts w:ascii="Arial" w:cs="Arial" w:eastAsia="Arial" w:hAnsi="Arial"/>
                <w:sz w:val="16"/>
                <w:szCs w:val="16"/>
                <w:color w:val="auto"/>
              </w:rPr>
              <w:t xml:space="preserve">create a more inclusive workplace; mandatory </w:t>
            </w:r>
            <w:r>
              <w:rPr>
                <w:rFonts w:ascii="Arial" w:cs="Arial" w:eastAsia="Arial" w:hAnsi="Arial"/>
                <w:sz w:val="16"/>
                <w:szCs w:val="16"/>
                <w:b w:val="1"/>
                <w:bCs w:val="1"/>
                <w:color w:val="auto"/>
              </w:rPr>
              <w:t>Anti-Harassment trainings for employees</w:t>
            </w:r>
            <w:r>
              <w:rPr>
                <w:rFonts w:ascii="Arial" w:cs="Arial" w:eastAsia="Arial" w:hAnsi="Arial"/>
                <w:sz w:val="16"/>
                <w:szCs w:val="16"/>
                <w:color w:val="auto"/>
              </w:rPr>
              <w:t xml:space="preserve"> in India and the United States</w:t>
            </w:r>
          </w:p>
        </w:tc>
      </w:tr>
      <w:tr>
        <w:trPr>
          <w:trHeight w:val="295"/>
        </w:trPr>
        <w:tc>
          <w:tcPr>
            <w:tcW w:w="32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w w:val="83"/>
              </w:rPr>
              <w:t>• </w:t>
            </w:r>
          </w:p>
        </w:tc>
        <w:tc>
          <w:tcPr>
            <w:tcW w:w="9360" w:type="dxa"/>
            <w:vAlign w:val="bottom"/>
          </w:tcPr>
          <w:p>
            <w:pPr>
              <w:ind w:left="20"/>
              <w:spacing w:after="0"/>
              <w:rPr>
                <w:sz w:val="20"/>
                <w:szCs w:val="20"/>
                <w:color w:val="auto"/>
              </w:rPr>
            </w:pPr>
            <w:r>
              <w:rPr>
                <w:rFonts w:ascii="Arial" w:cs="Arial" w:eastAsia="Arial" w:hAnsi="Arial"/>
                <w:sz w:val="16"/>
                <w:szCs w:val="16"/>
                <w:color w:val="auto"/>
                <w:w w:val="91"/>
              </w:rPr>
              <w:t xml:space="preserve">   </w:t>
            </w:r>
            <w:r>
              <w:rPr>
                <w:rFonts w:ascii="Arial" w:cs="Arial" w:eastAsia="Arial" w:hAnsi="Arial"/>
                <w:sz w:val="16"/>
                <w:szCs w:val="16"/>
                <w:b w:val="1"/>
                <w:bCs w:val="1"/>
                <w:color w:val="auto"/>
                <w:w w:val="91"/>
              </w:rPr>
              <w:t>Executive Women VP Development Program,</w:t>
            </w:r>
            <w:r>
              <w:rPr>
                <w:rFonts w:ascii="Arial" w:cs="Arial" w:eastAsia="Arial" w:hAnsi="Arial"/>
                <w:sz w:val="16"/>
                <w:szCs w:val="16"/>
                <w:color w:val="auto"/>
                <w:w w:val="91"/>
              </w:rPr>
              <w:t xml:space="preserve"> a nine-month leadership development program offered to all of our women vice presidents in</w:t>
            </w:r>
          </w:p>
        </w:tc>
      </w:tr>
      <w:tr>
        <w:trPr>
          <w:trHeight w:val="195"/>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60" w:type="dxa"/>
            <w:vAlign w:val="bottom"/>
          </w:tcPr>
          <w:p>
            <w:pPr>
              <w:ind w:left="120"/>
              <w:spacing w:after="0"/>
              <w:rPr>
                <w:sz w:val="20"/>
                <w:szCs w:val="20"/>
                <w:color w:val="auto"/>
              </w:rPr>
            </w:pPr>
            <w:r>
              <w:rPr>
                <w:rFonts w:ascii="Arial" w:cs="Arial" w:eastAsia="Arial" w:hAnsi="Arial"/>
                <w:sz w:val="16"/>
                <w:szCs w:val="16"/>
                <w:color w:val="auto"/>
                <w:w w:val="91"/>
              </w:rPr>
              <w:t>2022 that includes virtual courses and workshops on executive leadership offered through Cornell University’s eCornell platform, coaching and</w:t>
            </w:r>
          </w:p>
        </w:tc>
      </w:tr>
      <w:tr>
        <w:trPr>
          <w:trHeight w:val="195"/>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60" w:type="dxa"/>
            <w:vAlign w:val="bottom"/>
          </w:tcPr>
          <w:p>
            <w:pPr>
              <w:ind w:left="120"/>
              <w:spacing w:after="0"/>
              <w:rPr>
                <w:sz w:val="20"/>
                <w:szCs w:val="20"/>
                <w:color w:val="auto"/>
              </w:rPr>
            </w:pPr>
            <w:r>
              <w:rPr>
                <w:rFonts w:ascii="Arial" w:cs="Arial" w:eastAsia="Arial" w:hAnsi="Arial"/>
                <w:sz w:val="16"/>
                <w:szCs w:val="16"/>
                <w:color w:val="auto"/>
                <w:w w:val="92"/>
              </w:rPr>
              <w:t>mentoring for strategic leadership capability development and leadership conversations between participants and our executive and operating</w:t>
            </w:r>
          </w:p>
        </w:tc>
      </w:tr>
      <w:tr>
        <w:trPr>
          <w:trHeight w:val="199"/>
        </w:trPr>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60" w:type="dxa"/>
            <w:vAlign w:val="bottom"/>
          </w:tcPr>
          <w:p>
            <w:pPr>
              <w:ind w:left="120"/>
              <w:spacing w:after="0"/>
              <w:rPr>
                <w:sz w:val="20"/>
                <w:szCs w:val="20"/>
                <w:color w:val="auto"/>
              </w:rPr>
            </w:pPr>
            <w:r>
              <w:rPr>
                <w:rFonts w:ascii="Arial" w:cs="Arial" w:eastAsia="Arial" w:hAnsi="Arial"/>
                <w:sz w:val="16"/>
                <w:szCs w:val="16"/>
                <w:color w:val="auto"/>
              </w:rPr>
              <w:t>committee members on DEI issues</w:t>
            </w:r>
          </w:p>
        </w:tc>
      </w:tr>
      <w:tr>
        <w:trPr>
          <w:trHeight w:val="299"/>
        </w:trPr>
        <w:tc>
          <w:tcPr>
            <w:tcW w:w="32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w w:val="83"/>
              </w:rPr>
              <w:t>• </w:t>
            </w:r>
          </w:p>
        </w:tc>
        <w:tc>
          <w:tcPr>
            <w:tcW w:w="9360" w:type="dxa"/>
            <w:vAlign w:val="bottom"/>
          </w:tcPr>
          <w:p>
            <w:pPr>
              <w:ind w:left="20"/>
              <w:spacing w:after="0"/>
              <w:rPr>
                <w:sz w:val="20"/>
                <w:szCs w:val="20"/>
                <w:color w:val="auto"/>
              </w:rPr>
            </w:pPr>
            <w:r>
              <w:rPr>
                <w:rFonts w:ascii="Arial" w:cs="Arial" w:eastAsia="Arial" w:hAnsi="Arial"/>
                <w:sz w:val="16"/>
                <w:szCs w:val="16"/>
                <w:color w:val="auto"/>
                <w:w w:val="87"/>
              </w:rPr>
              <w:t xml:space="preserve">   </w:t>
            </w:r>
            <w:r>
              <w:rPr>
                <w:rFonts w:ascii="Arial" w:cs="Arial" w:eastAsia="Arial" w:hAnsi="Arial"/>
                <w:sz w:val="16"/>
                <w:szCs w:val="16"/>
                <w:b w:val="1"/>
                <w:bCs w:val="1"/>
                <w:color w:val="auto"/>
                <w:w w:val="87"/>
              </w:rPr>
              <w:t>Employee Resource Groups,</w:t>
            </w:r>
            <w:r>
              <w:rPr>
                <w:rFonts w:ascii="Arial" w:cs="Arial" w:eastAsia="Arial" w:hAnsi="Arial"/>
                <w:sz w:val="16"/>
                <w:szCs w:val="16"/>
                <w:color w:val="auto"/>
                <w:w w:val="87"/>
              </w:rPr>
              <w:t xml:space="preserve"> focus groups of select employee communities aimed at supporting diverse groups and interests within the Company</w:t>
            </w:r>
          </w:p>
        </w:tc>
      </w:tr>
      <w:tr>
        <w:trPr>
          <w:trHeight w:val="136"/>
        </w:trPr>
        <w:tc>
          <w:tcPr>
            <w:tcW w:w="320" w:type="dxa"/>
            <w:vAlign w:val="bottom"/>
            <w:tcBorders>
              <w:bottom w:val="single" w:sz="8" w:color="B2B2B2"/>
            </w:tcBorders>
          </w:tcPr>
          <w:p>
            <w:pPr>
              <w:spacing w:after="0"/>
              <w:rPr>
                <w:sz w:val="11"/>
                <w:szCs w:val="11"/>
                <w:color w:val="auto"/>
              </w:rPr>
            </w:pPr>
          </w:p>
        </w:tc>
        <w:tc>
          <w:tcPr>
            <w:tcW w:w="300" w:type="dxa"/>
            <w:vAlign w:val="bottom"/>
            <w:tcBorders>
              <w:bottom w:val="single" w:sz="8" w:color="B2B2B2"/>
            </w:tcBorders>
          </w:tcPr>
          <w:p>
            <w:pPr>
              <w:spacing w:after="0"/>
              <w:rPr>
                <w:sz w:val="11"/>
                <w:szCs w:val="11"/>
                <w:color w:val="auto"/>
              </w:rPr>
            </w:pPr>
          </w:p>
        </w:tc>
        <w:tc>
          <w:tcPr>
            <w:tcW w:w="9360" w:type="dxa"/>
            <w:vAlign w:val="bottom"/>
            <w:tcBorders>
              <w:bottom w:val="single" w:sz="8" w:color="B2B2B2"/>
            </w:tcBorders>
          </w:tcPr>
          <w:p>
            <w:pPr>
              <w:spacing w:after="0"/>
              <w:rPr>
                <w:sz w:val="11"/>
                <w:szCs w:val="11"/>
                <w:color w:val="auto"/>
              </w:rPr>
            </w:pPr>
          </w:p>
        </w:tc>
      </w:tr>
      <w:tr>
        <w:trPr>
          <w:trHeight w:val="465"/>
        </w:trPr>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52</w:t>
            </w:r>
          </w:p>
        </w:tc>
        <w:tc>
          <w:tcPr>
            <w:tcW w:w="300" w:type="dxa"/>
            <w:vAlign w:val="bottom"/>
          </w:tcPr>
          <w:p>
            <w:pPr>
              <w:jc w:val="right"/>
              <w:spacing w:after="0"/>
              <w:rPr>
                <w:sz w:val="20"/>
                <w:szCs w:val="20"/>
                <w:color w:val="auto"/>
              </w:rPr>
            </w:pPr>
            <w:r>
              <w:rPr>
                <w:rFonts w:ascii="Arial" w:cs="Arial" w:eastAsia="Arial" w:hAnsi="Arial"/>
                <w:sz w:val="28"/>
                <w:szCs w:val="28"/>
                <w:b w:val="1"/>
                <w:bCs w:val="1"/>
                <w:color w:val="FB4E0B"/>
              </w:rPr>
              <w:t>/</w:t>
            </w:r>
          </w:p>
        </w:tc>
        <w:tc>
          <w:tcPr>
            <w:tcW w:w="9360" w:type="dxa"/>
            <w:vAlign w:val="bottom"/>
          </w:tcPr>
          <w:p>
            <w:pPr>
              <w:ind w:left="240"/>
              <w:spacing w:after="0"/>
              <w:rPr>
                <w:sz w:val="20"/>
                <w:szCs w:val="20"/>
                <w:color w:val="auto"/>
              </w:rPr>
            </w:pPr>
            <w:r>
              <w:rPr>
                <w:rFonts w:ascii="Arial" w:cs="Arial" w:eastAsia="Arial" w:hAnsi="Arial"/>
                <w:sz w:val="13"/>
                <w:szCs w:val="13"/>
                <w:color w:val="auto"/>
              </w:rPr>
              <w:t>EXL 2023 Proxy Statement</w:t>
            </w:r>
          </w:p>
        </w:tc>
      </w:tr>
    </w:tbl>
    <w:p>
      <w:pPr>
        <w:sectPr>
          <w:pgSz w:w="11900" w:h="16838" w:orient="portrait"/>
          <w:cols w:equalWidth="0" w:num="1">
            <w:col w:w="10940"/>
          </w:cols>
          <w:pgMar w:left="320" w:top="473" w:right="6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97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9420" w:type="dxa"/>
            <w:vAlign w:val="bottom"/>
          </w:tcPr>
          <w:p>
            <w:pPr>
              <w:ind w:left="8580"/>
              <w:spacing w:after="0"/>
              <w:rPr>
                <w:sz w:val="20"/>
                <w:szCs w:val="20"/>
                <w:color w:val="auto"/>
              </w:rPr>
            </w:pPr>
            <w:r>
              <w:rPr>
                <w:rFonts w:ascii="Arial" w:cs="Arial" w:eastAsia="Arial" w:hAnsi="Arial"/>
                <w:sz w:val="14"/>
                <w:szCs w:val="14"/>
                <w:b w:val="1"/>
                <w:bCs w:val="1"/>
                <w:color w:val="D8D8D8"/>
                <w:w w:val="87"/>
              </w:rPr>
              <w:t>Sustainability</w:t>
            </w:r>
          </w:p>
        </w:tc>
      </w:tr>
      <w:tr>
        <w:trPr>
          <w:trHeight w:val="337"/>
        </w:trPr>
        <w:tc>
          <w:tcPr>
            <w:tcW w:w="580" w:type="dxa"/>
            <w:vAlign w:val="bottom"/>
            <w:tcBorders>
              <w:bottom w:val="single" w:sz="8" w:color="D8D8D8"/>
            </w:tcBorders>
          </w:tcPr>
          <w:p>
            <w:pPr>
              <w:spacing w:after="0"/>
              <w:rPr>
                <w:sz w:val="24"/>
                <w:szCs w:val="24"/>
                <w:color w:val="auto"/>
              </w:rPr>
            </w:pPr>
          </w:p>
        </w:tc>
        <w:tc>
          <w:tcPr>
            <w:tcW w:w="9420" w:type="dxa"/>
            <w:vAlign w:val="bottom"/>
            <w:tcBorders>
              <w:bottom w:val="single" w:sz="8" w:color="D8D8D8"/>
            </w:tcBorders>
          </w:tcPr>
          <w:p>
            <w:pPr>
              <w:spacing w:after="0"/>
              <w:rPr>
                <w:sz w:val="24"/>
                <w:szCs w:val="24"/>
                <w:color w:val="auto"/>
              </w:rPr>
            </w:pPr>
          </w:p>
        </w:tc>
      </w:tr>
      <w:tr>
        <w:trPr>
          <w:trHeight w:val="269"/>
        </w:trPr>
        <w:tc>
          <w:tcPr>
            <w:tcW w:w="580" w:type="dxa"/>
            <w:vAlign w:val="bottom"/>
            <w:tcBorders>
              <w:left w:val="single" w:sz="8" w:color="B2B2B2"/>
            </w:tcBorders>
          </w:tcPr>
          <w:p>
            <w:pPr>
              <w:ind w:left="420"/>
              <w:spacing w:after="0"/>
              <w:rPr>
                <w:sz w:val="20"/>
                <w:szCs w:val="20"/>
                <w:color w:val="auto"/>
              </w:rPr>
            </w:pPr>
            <w:r>
              <w:rPr>
                <w:rFonts w:ascii="Arial" w:cs="Arial" w:eastAsia="Arial" w:hAnsi="Arial"/>
                <w:sz w:val="14"/>
                <w:szCs w:val="14"/>
                <w:color w:val="auto"/>
                <w:w w:val="73"/>
              </w:rPr>
              <w:t>• </w:t>
            </w:r>
          </w:p>
        </w:tc>
        <w:tc>
          <w:tcPr>
            <w:tcW w:w="942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w w:val="91"/>
              </w:rPr>
              <w:t xml:space="preserve">   </w:t>
            </w:r>
            <w:r>
              <w:rPr>
                <w:rFonts w:ascii="Arial" w:cs="Arial" w:eastAsia="Arial" w:hAnsi="Arial"/>
                <w:sz w:val="16"/>
                <w:szCs w:val="16"/>
                <w:b w:val="1"/>
                <w:bCs w:val="1"/>
                <w:color w:val="auto"/>
                <w:w w:val="91"/>
              </w:rPr>
              <w:t>Diversity and Inclusion Springboard – Make your Mark,</w:t>
            </w:r>
            <w:r>
              <w:rPr>
                <w:rFonts w:ascii="Arial" w:cs="Arial" w:eastAsia="Arial" w:hAnsi="Arial"/>
                <w:sz w:val="16"/>
                <w:szCs w:val="16"/>
                <w:color w:val="auto"/>
                <w:w w:val="91"/>
              </w:rPr>
              <w:t xml:space="preserve"> a six-month certification program for women at the mid- to senior-level for personal</w:t>
            </w:r>
          </w:p>
        </w:tc>
      </w:tr>
      <w:tr>
        <w:trPr>
          <w:trHeight w:val="199"/>
        </w:trPr>
        <w:tc>
          <w:tcPr>
            <w:tcW w:w="580" w:type="dxa"/>
            <w:vAlign w:val="bottom"/>
            <w:tcBorders>
              <w:left w:val="single" w:sz="8" w:color="B2B2B2"/>
            </w:tcBorders>
          </w:tcPr>
          <w:p>
            <w:pPr>
              <w:spacing w:after="0"/>
              <w:rPr>
                <w:sz w:val="17"/>
                <w:szCs w:val="17"/>
                <w:color w:val="auto"/>
              </w:rPr>
            </w:pPr>
          </w:p>
        </w:tc>
        <w:tc>
          <w:tcPr>
            <w:tcW w:w="9420" w:type="dxa"/>
            <w:vAlign w:val="bottom"/>
            <w:tcBorders>
              <w:right w:val="single" w:sz="8" w:color="B2B2B2"/>
            </w:tcBorders>
          </w:tcPr>
          <w:p>
            <w:pPr>
              <w:ind w:left="160"/>
              <w:spacing w:after="0"/>
              <w:rPr>
                <w:sz w:val="20"/>
                <w:szCs w:val="20"/>
                <w:color w:val="auto"/>
              </w:rPr>
            </w:pPr>
            <w:r>
              <w:rPr>
                <w:rFonts w:ascii="Arial" w:cs="Arial" w:eastAsia="Arial" w:hAnsi="Arial"/>
                <w:sz w:val="16"/>
                <w:szCs w:val="16"/>
                <w:color w:val="auto"/>
              </w:rPr>
              <w:t>and professional advancement that is offered annually</w:t>
            </w:r>
          </w:p>
        </w:tc>
      </w:tr>
      <w:tr>
        <w:trPr>
          <w:trHeight w:val="295"/>
        </w:trPr>
        <w:tc>
          <w:tcPr>
            <w:tcW w:w="580" w:type="dxa"/>
            <w:vAlign w:val="bottom"/>
            <w:tcBorders>
              <w:left w:val="single" w:sz="8" w:color="B2B2B2"/>
            </w:tcBorders>
          </w:tcPr>
          <w:p>
            <w:pPr>
              <w:ind w:left="420"/>
              <w:spacing w:after="0"/>
              <w:rPr>
                <w:sz w:val="20"/>
                <w:szCs w:val="20"/>
                <w:color w:val="auto"/>
              </w:rPr>
            </w:pPr>
            <w:r>
              <w:rPr>
                <w:rFonts w:ascii="Arial" w:cs="Arial" w:eastAsia="Arial" w:hAnsi="Arial"/>
                <w:sz w:val="14"/>
                <w:szCs w:val="14"/>
                <w:color w:val="auto"/>
                <w:w w:val="73"/>
              </w:rPr>
              <w:t>• </w:t>
            </w:r>
          </w:p>
        </w:tc>
        <w:tc>
          <w:tcPr>
            <w:tcW w:w="942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w w:val="92"/>
              </w:rPr>
              <w:t xml:space="preserve">   </w:t>
            </w:r>
            <w:r>
              <w:rPr>
                <w:rFonts w:ascii="Arial" w:cs="Arial" w:eastAsia="Arial" w:hAnsi="Arial"/>
                <w:sz w:val="16"/>
                <w:szCs w:val="16"/>
                <w:b w:val="1"/>
                <w:bCs w:val="1"/>
                <w:color w:val="auto"/>
                <w:w w:val="92"/>
              </w:rPr>
              <w:t>“Super Mom,”</w:t>
            </w:r>
            <w:r>
              <w:rPr>
                <w:rFonts w:ascii="Arial" w:cs="Arial" w:eastAsia="Arial" w:hAnsi="Arial"/>
                <w:sz w:val="16"/>
                <w:szCs w:val="16"/>
                <w:color w:val="auto"/>
                <w:w w:val="92"/>
              </w:rPr>
              <w:t xml:space="preserve"> a program to improve retention and engagement of new mothers through employee-friendly parental leave policies, flexible /</w:t>
            </w:r>
          </w:p>
        </w:tc>
      </w:tr>
      <w:tr>
        <w:trPr>
          <w:trHeight w:val="195"/>
        </w:trPr>
        <w:tc>
          <w:tcPr>
            <w:tcW w:w="580" w:type="dxa"/>
            <w:vAlign w:val="bottom"/>
            <w:tcBorders>
              <w:left w:val="single" w:sz="8" w:color="B2B2B2"/>
            </w:tcBorders>
          </w:tcPr>
          <w:p>
            <w:pPr>
              <w:spacing w:after="0"/>
              <w:rPr>
                <w:sz w:val="16"/>
                <w:szCs w:val="16"/>
                <w:color w:val="auto"/>
              </w:rPr>
            </w:pPr>
          </w:p>
        </w:tc>
        <w:tc>
          <w:tcPr>
            <w:tcW w:w="9420" w:type="dxa"/>
            <w:vAlign w:val="bottom"/>
            <w:tcBorders>
              <w:right w:val="single" w:sz="8" w:color="B2B2B2"/>
            </w:tcBorders>
          </w:tcPr>
          <w:p>
            <w:pPr>
              <w:ind w:left="160"/>
              <w:spacing w:after="0"/>
              <w:rPr>
                <w:sz w:val="20"/>
                <w:szCs w:val="20"/>
                <w:color w:val="auto"/>
              </w:rPr>
            </w:pPr>
            <w:r>
              <w:rPr>
                <w:rFonts w:ascii="Arial" w:cs="Arial" w:eastAsia="Arial" w:hAnsi="Arial"/>
                <w:sz w:val="16"/>
                <w:szCs w:val="16"/>
                <w:color w:val="auto"/>
                <w:w w:val="91"/>
              </w:rPr>
              <w:t>reduced working hours for pre- and post-maternity, reorientation after long leave, extended leave, nursing stations and employee care, among</w:t>
            </w:r>
          </w:p>
        </w:tc>
      </w:tr>
      <w:tr>
        <w:trPr>
          <w:trHeight w:val="199"/>
        </w:trPr>
        <w:tc>
          <w:tcPr>
            <w:tcW w:w="580" w:type="dxa"/>
            <w:vAlign w:val="bottom"/>
            <w:tcBorders>
              <w:left w:val="single" w:sz="8" w:color="B2B2B2"/>
            </w:tcBorders>
          </w:tcPr>
          <w:p>
            <w:pPr>
              <w:spacing w:after="0"/>
              <w:rPr>
                <w:sz w:val="17"/>
                <w:szCs w:val="17"/>
                <w:color w:val="auto"/>
              </w:rPr>
            </w:pPr>
          </w:p>
        </w:tc>
        <w:tc>
          <w:tcPr>
            <w:tcW w:w="9420" w:type="dxa"/>
            <w:vAlign w:val="bottom"/>
            <w:tcBorders>
              <w:right w:val="single" w:sz="8" w:color="B2B2B2"/>
            </w:tcBorders>
          </w:tcPr>
          <w:p>
            <w:pPr>
              <w:ind w:left="160"/>
              <w:spacing w:after="0"/>
              <w:rPr>
                <w:sz w:val="20"/>
                <w:szCs w:val="20"/>
                <w:color w:val="auto"/>
              </w:rPr>
            </w:pPr>
            <w:r>
              <w:rPr>
                <w:rFonts w:ascii="Arial" w:cs="Arial" w:eastAsia="Arial" w:hAnsi="Arial"/>
                <w:sz w:val="16"/>
                <w:szCs w:val="16"/>
                <w:color w:val="auto"/>
              </w:rPr>
              <w:t>others</w:t>
            </w:r>
          </w:p>
        </w:tc>
      </w:tr>
      <w:tr>
        <w:trPr>
          <w:trHeight w:val="295"/>
        </w:trPr>
        <w:tc>
          <w:tcPr>
            <w:tcW w:w="580" w:type="dxa"/>
            <w:vAlign w:val="bottom"/>
            <w:tcBorders>
              <w:left w:val="single" w:sz="8" w:color="B2B2B2"/>
            </w:tcBorders>
          </w:tcPr>
          <w:p>
            <w:pPr>
              <w:ind w:left="420"/>
              <w:spacing w:after="0"/>
              <w:rPr>
                <w:sz w:val="20"/>
                <w:szCs w:val="20"/>
                <w:color w:val="auto"/>
              </w:rPr>
            </w:pPr>
            <w:r>
              <w:rPr>
                <w:rFonts w:ascii="Arial" w:cs="Arial" w:eastAsia="Arial" w:hAnsi="Arial"/>
                <w:sz w:val="14"/>
                <w:szCs w:val="14"/>
                <w:color w:val="auto"/>
                <w:w w:val="73"/>
              </w:rPr>
              <w:t>• </w:t>
            </w:r>
          </w:p>
        </w:tc>
        <w:tc>
          <w:tcPr>
            <w:tcW w:w="942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w w:val="93"/>
              </w:rPr>
              <w:t xml:space="preserve">   </w:t>
            </w:r>
            <w:r>
              <w:rPr>
                <w:rFonts w:ascii="Arial" w:cs="Arial" w:eastAsia="Arial" w:hAnsi="Arial"/>
                <w:sz w:val="16"/>
                <w:szCs w:val="16"/>
                <w:b w:val="1"/>
                <w:bCs w:val="1"/>
                <w:color w:val="auto"/>
                <w:w w:val="93"/>
              </w:rPr>
              <w:t>WE (Women at EXL),</w:t>
            </w:r>
            <w:r>
              <w:rPr>
                <w:rFonts w:ascii="Arial" w:cs="Arial" w:eastAsia="Arial" w:hAnsi="Arial"/>
                <w:sz w:val="16"/>
                <w:szCs w:val="16"/>
                <w:color w:val="auto"/>
                <w:w w:val="93"/>
              </w:rPr>
              <w:t xml:space="preserve"> a platform with initiatives such as Employee Resource Groups, a mentoring program (WE NURTURE), inner circles,</w:t>
            </w:r>
          </w:p>
        </w:tc>
      </w:tr>
      <w:tr>
        <w:trPr>
          <w:trHeight w:val="199"/>
        </w:trPr>
        <w:tc>
          <w:tcPr>
            <w:tcW w:w="580" w:type="dxa"/>
            <w:vAlign w:val="bottom"/>
            <w:tcBorders>
              <w:left w:val="single" w:sz="8" w:color="B2B2B2"/>
            </w:tcBorders>
          </w:tcPr>
          <w:p>
            <w:pPr>
              <w:spacing w:after="0"/>
              <w:rPr>
                <w:sz w:val="17"/>
                <w:szCs w:val="17"/>
                <w:color w:val="auto"/>
              </w:rPr>
            </w:pPr>
          </w:p>
        </w:tc>
        <w:tc>
          <w:tcPr>
            <w:tcW w:w="9420" w:type="dxa"/>
            <w:vAlign w:val="bottom"/>
            <w:tcBorders>
              <w:right w:val="single" w:sz="8" w:color="B2B2B2"/>
            </w:tcBorders>
          </w:tcPr>
          <w:p>
            <w:pPr>
              <w:ind w:left="160"/>
              <w:spacing w:after="0"/>
              <w:rPr>
                <w:sz w:val="20"/>
                <w:szCs w:val="20"/>
                <w:color w:val="auto"/>
              </w:rPr>
            </w:pPr>
            <w:r>
              <w:rPr>
                <w:rFonts w:ascii="Arial" w:cs="Arial" w:eastAsia="Arial" w:hAnsi="Arial"/>
                <w:sz w:val="16"/>
                <w:szCs w:val="16"/>
                <w:color w:val="auto"/>
              </w:rPr>
              <w:t>women back to work, web chat series and face-to-face talks</w:t>
            </w:r>
          </w:p>
        </w:tc>
      </w:tr>
      <w:tr>
        <w:trPr>
          <w:trHeight w:val="302"/>
        </w:trPr>
        <w:tc>
          <w:tcPr>
            <w:tcW w:w="580" w:type="dxa"/>
            <w:vAlign w:val="bottom"/>
            <w:tcBorders>
              <w:left w:val="single" w:sz="8" w:color="B2B2B2"/>
              <w:bottom w:val="single" w:sz="8" w:color="B2B2B2"/>
            </w:tcBorders>
          </w:tcPr>
          <w:p>
            <w:pPr>
              <w:ind w:left="420"/>
              <w:spacing w:after="0"/>
              <w:rPr>
                <w:sz w:val="20"/>
                <w:szCs w:val="20"/>
                <w:color w:val="auto"/>
              </w:rPr>
            </w:pPr>
            <w:r>
              <w:rPr>
                <w:rFonts w:ascii="Arial" w:cs="Arial" w:eastAsia="Arial" w:hAnsi="Arial"/>
                <w:sz w:val="14"/>
                <w:szCs w:val="14"/>
                <w:color w:val="auto"/>
                <w:w w:val="73"/>
              </w:rPr>
              <w:t>• </w:t>
            </w:r>
          </w:p>
        </w:tc>
        <w:tc>
          <w:tcPr>
            <w:tcW w:w="9420" w:type="dxa"/>
            <w:vAlign w:val="bottom"/>
            <w:tcBorders>
              <w:bottom w:val="single" w:sz="8" w:color="B2B2B2"/>
              <w:right w:val="single" w:sz="8" w:color="B2B2B2"/>
            </w:tcBorders>
          </w:tcPr>
          <w:p>
            <w:pPr>
              <w:ind w:left="60"/>
              <w:spacing w:after="0"/>
              <w:rPr>
                <w:sz w:val="20"/>
                <w:szCs w:val="20"/>
                <w:color w:val="auto"/>
              </w:rPr>
            </w:pPr>
            <w:r>
              <w:rPr>
                <w:rFonts w:ascii="Arial" w:cs="Arial" w:eastAsia="Arial" w:hAnsi="Arial"/>
                <w:sz w:val="16"/>
                <w:szCs w:val="16"/>
                <w:color w:val="auto"/>
                <w:w w:val="92"/>
              </w:rPr>
              <w:t xml:space="preserve">   In 2022, we launched </w:t>
            </w:r>
            <w:r>
              <w:rPr>
                <w:rFonts w:ascii="Arial" w:cs="Arial" w:eastAsia="Arial" w:hAnsi="Arial"/>
                <w:sz w:val="16"/>
                <w:szCs w:val="16"/>
                <w:b w:val="1"/>
                <w:bCs w:val="1"/>
                <w:color w:val="auto"/>
                <w:w w:val="92"/>
              </w:rPr>
              <w:t>The Umbrella Project</w:t>
            </w:r>
            <w:r>
              <w:rPr>
                <w:rFonts w:ascii="Arial" w:cs="Arial" w:eastAsia="Arial" w:hAnsi="Arial"/>
                <w:sz w:val="16"/>
                <w:szCs w:val="16"/>
                <w:color w:val="auto"/>
                <w:w w:val="92"/>
              </w:rPr>
              <w:t>, a celebration of inclusion alongside our LGBTQ+ colleagues, communities and allies worldwide</w:t>
            </w:r>
          </w:p>
        </w:tc>
      </w:tr>
    </w:tbl>
    <w:p>
      <w:pPr>
        <w:spacing w:after="0" w:line="28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Talent recruitment, development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165100</wp:posOffset>
            </wp:positionV>
            <wp:extent cx="6848475" cy="1833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48475" cy="183388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Talent-first</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mindset</w:t>
      </w:r>
    </w:p>
    <w:p>
      <w:pPr>
        <w:spacing w:after="0" w:line="313" w:lineRule="exact"/>
        <w:rPr>
          <w:sz w:val="20"/>
          <w:szCs w:val="20"/>
          <w:color w:val="auto"/>
        </w:rPr>
      </w:pPr>
    </w:p>
    <w:p>
      <w:pPr>
        <w:ind w:left="540"/>
        <w:spacing w:after="0" w:line="279" w:lineRule="auto"/>
        <w:rPr>
          <w:sz w:val="20"/>
          <w:szCs w:val="20"/>
          <w:color w:val="auto"/>
        </w:rPr>
      </w:pPr>
      <w:r>
        <w:rPr>
          <w:rFonts w:ascii="Arial" w:cs="Arial" w:eastAsia="Arial" w:hAnsi="Arial"/>
          <w:sz w:val="16"/>
          <w:szCs w:val="16"/>
          <w:color w:val="auto"/>
        </w:rPr>
        <w:t>We view talent as a differentiator for our Company’s competitive advantage and, under the leadership of our board of directors and senior executives, are committed to a talent-first mindset.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Integrated talent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framework</w:t>
      </w:r>
    </w:p>
    <w:p>
      <w:pPr>
        <w:spacing w:after="0" w:line="24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We maintain an integrated talent management framework, employing active collaboration between our recruitment, capability development and human resource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367030</wp:posOffset>
            </wp:positionV>
            <wp:extent cx="6848475" cy="1238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48475"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980"/>
        <w:spacing w:after="0" w:line="293" w:lineRule="auto"/>
        <w:rPr>
          <w:sz w:val="20"/>
          <w:szCs w:val="20"/>
          <w:color w:val="auto"/>
        </w:rPr>
      </w:pPr>
      <w:r>
        <w:rPr>
          <w:rFonts w:ascii="Arial" w:cs="Arial" w:eastAsia="Arial" w:hAnsi="Arial"/>
          <w:sz w:val="17"/>
          <w:szCs w:val="17"/>
          <w:b w:val="1"/>
          <w:bCs w:val="1"/>
          <w:color w:val="auto"/>
        </w:rPr>
        <w:t>Active role for senior leadership</w:t>
      </w:r>
    </w:p>
    <w:p>
      <w:pPr>
        <w:spacing w:after="0" w:line="25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senior leadership team and board of directors play a critical role in defining our talent priorities to align with our strategic vision for each of our business units, as well as with our clients’ priorities.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780"/>
        <w:spacing w:after="0" w:line="364" w:lineRule="auto"/>
        <w:rPr>
          <w:sz w:val="20"/>
          <w:szCs w:val="20"/>
          <w:color w:val="auto"/>
        </w:rPr>
      </w:pPr>
      <w:r>
        <w:rPr>
          <w:rFonts w:ascii="Arial" w:cs="Arial" w:eastAsia="Arial" w:hAnsi="Arial"/>
          <w:sz w:val="15"/>
          <w:szCs w:val="15"/>
          <w:b w:val="1"/>
          <w:bCs w:val="1"/>
          <w:color w:val="auto"/>
        </w:rPr>
        <w:t>Continuous employee development</w:t>
      </w:r>
    </w:p>
    <w:p>
      <w:pPr>
        <w:spacing w:after="0" w:line="21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We focus on continuously developing our employees through our rigorous promotion standards, client and industry-specific training and competitive compensation packages that include incentive-based compensation.</w:t>
      </w:r>
    </w:p>
    <w:p>
      <w:pPr>
        <w:spacing w:after="0" w:line="200" w:lineRule="exact"/>
        <w:rPr>
          <w:sz w:val="20"/>
          <w:szCs w:val="20"/>
          <w:color w:val="auto"/>
        </w:rPr>
      </w:pPr>
    </w:p>
    <w:p>
      <w:pPr>
        <w:sectPr>
          <w:pgSz w:w="11900" w:h="16838" w:orient="portrait"/>
          <w:cols w:equalWidth="0" w:num="4">
            <w:col w:w="2840" w:space="280"/>
            <w:col w:w="2520" w:space="200"/>
            <w:col w:w="2540" w:space="180"/>
            <w:col w:w="2380"/>
          </w:cols>
          <w:pgMar w:left="320" w:top="473" w:right="639" w:bottom="1440" w:gutter="0" w:footer="0" w:header="0"/>
          <w:type w:val="continuous"/>
        </w:sectPr>
      </w:pPr>
    </w:p>
    <w:p>
      <w:pPr>
        <w:spacing w:after="0" w:line="164" w:lineRule="exact"/>
        <w:rPr>
          <w:sz w:val="20"/>
          <w:szCs w:val="20"/>
          <w:color w:val="auto"/>
        </w:rPr>
      </w:pPr>
    </w:p>
    <w:p>
      <w:pPr>
        <w:ind w:left="320" w:right="260"/>
        <w:spacing w:after="0" w:line="356" w:lineRule="auto"/>
        <w:rPr>
          <w:sz w:val="20"/>
          <w:szCs w:val="20"/>
          <w:color w:val="auto"/>
        </w:rPr>
      </w:pPr>
      <w:r>
        <w:rPr>
          <w:rFonts w:ascii="Arial" w:cs="Arial" w:eastAsia="Arial" w:hAnsi="Arial"/>
          <w:sz w:val="15"/>
          <w:szCs w:val="15"/>
          <w:color w:val="auto"/>
        </w:rPr>
        <w:t>We consider EXL to be a “learning” company, and promote a strong self-learning culture. We have institutionalized a comprehensive set of practices, processes and programs to create an active learning culture and to proactively build market-relevant talent within our Company in four stages:</w:t>
      </w:r>
    </w:p>
    <w:p>
      <w:pPr>
        <w:spacing w:after="0" w:line="250" w:lineRule="exact"/>
        <w:rPr>
          <w:sz w:val="20"/>
          <w:szCs w:val="20"/>
          <w:color w:val="auto"/>
        </w:rPr>
      </w:pPr>
    </w:p>
    <w:p>
      <w:pPr>
        <w:ind w:left="1140" w:hanging="407"/>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Prejoining: </w:t>
      </w:r>
      <w:r>
        <w:rPr>
          <w:rFonts w:ascii="Arial" w:cs="Arial" w:eastAsia="Arial" w:hAnsi="Arial"/>
          <w:sz w:val="17"/>
          <w:szCs w:val="17"/>
          <w:color w:val="auto"/>
        </w:rPr>
        <w:t>Assessments, development on online learning platforms</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Onboarding: </w:t>
      </w:r>
      <w:r>
        <w:rPr>
          <w:rFonts w:ascii="Arial" w:cs="Arial" w:eastAsia="Arial" w:hAnsi="Arial"/>
          <w:sz w:val="17"/>
          <w:szCs w:val="17"/>
          <w:color w:val="auto"/>
        </w:rPr>
        <w:t>Company orientation, trainings and informal team meetings</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Job readiness: </w:t>
      </w:r>
      <w:r>
        <w:rPr>
          <w:rFonts w:ascii="Arial" w:cs="Arial" w:eastAsia="Arial" w:hAnsi="Arial"/>
          <w:sz w:val="17"/>
          <w:szCs w:val="17"/>
          <w:color w:val="auto"/>
        </w:rPr>
        <w:t>Education on client processes, tools and technologies, communication effectiveness and cultural sensitivity</w:t>
      </w:r>
    </w:p>
    <w:p>
      <w:pPr>
        <w:spacing w:after="0" w:line="129" w:lineRule="exact"/>
        <w:rPr>
          <w:rFonts w:ascii="Arial" w:cs="Arial" w:eastAsia="Arial" w:hAnsi="Arial"/>
          <w:sz w:val="17"/>
          <w:szCs w:val="17"/>
          <w:color w:val="auto"/>
        </w:rPr>
      </w:pPr>
    </w:p>
    <w:p>
      <w:pPr>
        <w:ind w:left="1140" w:right="20" w:hanging="407"/>
        <w:spacing w:after="0" w:line="293"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Ongoing development: </w:t>
      </w:r>
      <w:r>
        <w:rPr>
          <w:rFonts w:ascii="Arial" w:cs="Arial" w:eastAsia="Arial" w:hAnsi="Arial"/>
          <w:sz w:val="17"/>
          <w:szCs w:val="17"/>
          <w:color w:val="auto"/>
        </w:rPr>
        <w:t>Continued formal learning activities, on the job, supervisor feedback and coaching, regular talent reviews and talent</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succession, leadership training to identify and develop new leaders</w:t>
      </w:r>
    </w:p>
    <w:p>
      <w:pPr>
        <w:spacing w:after="0" w:line="49" w:lineRule="exact"/>
        <w:rPr>
          <w:sz w:val="20"/>
          <w:szCs w:val="20"/>
          <w:color w:val="auto"/>
        </w:rPr>
      </w:pPr>
    </w:p>
    <w:p>
      <w:pPr>
        <w:ind w:left="320" w:right="100"/>
        <w:spacing w:after="0" w:line="261" w:lineRule="auto"/>
        <w:rPr>
          <w:sz w:val="20"/>
          <w:szCs w:val="20"/>
          <w:color w:val="auto"/>
        </w:rPr>
      </w:pPr>
      <w:r>
        <w:rPr>
          <w:rFonts w:ascii="Arial" w:cs="Arial" w:eastAsia="Arial" w:hAnsi="Arial"/>
          <w:sz w:val="17"/>
          <w:szCs w:val="17"/>
          <w:color w:val="auto"/>
        </w:rPr>
        <w:t>Our capability development framework is focused on developing our employees’ digital and domain expertise and leadership as a means to develop our talent internally. We do this through our learning academies, and through partnerships with industry organizations, institutes, business schools and consulting firms. In 2021 and into 2022, we launched a new learning management system, reNew, that permits our employees to engage in self-directed learning by participating in collaborative trainings that are personalized to their interests and positions and are delivered virtually from any location, at any time. In 2022, we also launched a learning marketplace that provides employees with regularly updated best-in-class digital trainings and certifications.</w:t>
      </w:r>
    </w:p>
    <w:p>
      <w:pPr>
        <w:spacing w:after="0" w:line="240"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53</w:t>
      </w:r>
    </w:p>
    <w:p>
      <w:pPr>
        <w:sectPr>
          <w:pgSz w:w="11900" w:h="16838" w:orient="portrait"/>
          <w:cols w:equalWidth="0" w:num="1">
            <w:col w:w="10940"/>
          </w:cols>
          <w:pgMar w:left="320" w:top="473" w:right="6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165100</wp:posOffset>
            </wp:positionV>
            <wp:extent cx="5823585" cy="12553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2358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139"/>
          </w:cols>
          <w:pgMar w:left="320" w:top="473" w:right="1440"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Sustainability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2022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90805</wp:posOffset>
            </wp:positionV>
            <wp:extent cx="5741035" cy="51631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41035" cy="516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55</w:t>
      </w:r>
    </w:p>
    <w:p>
      <w:pPr>
        <w:sectPr>
          <w:pgSz w:w="11900" w:h="16838" w:orient="portrait"/>
          <w:cols w:equalWidth="0" w:num="1">
            <w:col w:w="10940"/>
          </w:cols>
          <w:pgMar w:left="320" w:top="473" w:right="6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Employee engagement and communication</w:t>
      </w:r>
    </w:p>
    <w:p>
      <w:pPr>
        <w:spacing w:after="0" w:line="117" w:lineRule="exact"/>
        <w:rPr>
          <w:sz w:val="20"/>
          <w:szCs w:val="20"/>
          <w:color w:val="auto"/>
        </w:rPr>
      </w:pPr>
    </w:p>
    <w:p>
      <w:pPr>
        <w:ind w:left="320" w:right="80"/>
        <w:spacing w:after="0" w:line="263" w:lineRule="auto"/>
        <w:rPr>
          <w:sz w:val="20"/>
          <w:szCs w:val="20"/>
          <w:color w:val="auto"/>
        </w:rPr>
      </w:pPr>
      <w:r>
        <w:rPr>
          <w:rFonts w:ascii="Arial" w:cs="Arial" w:eastAsia="Arial" w:hAnsi="Arial"/>
          <w:sz w:val="17"/>
          <w:szCs w:val="17"/>
          <w:color w:val="auto"/>
        </w:rPr>
        <w:t>We consider communication and engagement with our more than 45,400 employees distributed throughout more than 50 offices worldwide to be important to our ability to promote our ONE EXL culture that prioritizes inclusivity and collaboration, especially following our adoption of a hybrid operating model with our employees working remotely and in-office. We continued to rely on, and improve, our digital communication and collaboration platforms and multi-channel approach to keeping our employees informed that we built out beginning in 2020 during the COVID-19 pandemic. In particular, we engage with our employees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137160</wp:posOffset>
            </wp:positionV>
            <wp:extent cx="4064000" cy="17513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64000" cy="175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272415</wp:posOffset>
            </wp:positionV>
            <wp:extent cx="222885"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Paid leave for new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164465</wp:posOffset>
            </wp:positionV>
            <wp:extent cx="222885" cy="2311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30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Excused days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172720</wp:posOffset>
            </wp:positionV>
            <wp:extent cx="222885" cy="2393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2885" cy="239395"/>
                    </a:xfrm>
                    <a:prstGeom prst="rect">
                      <a:avLst/>
                    </a:prstGeom>
                    <a:noFill/>
                  </pic:spPr>
                </pic:pic>
              </a:graphicData>
            </a:graphic>
          </wp:anchor>
        </w:drawing>
      </w:r>
    </w:p>
    <w:p>
      <w:pPr>
        <w:spacing w:after="0" w:line="31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Generous vacation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180975</wp:posOffset>
            </wp:positionV>
            <wp:extent cx="222885" cy="165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2885" cy="165100"/>
                    </a:xfrm>
                    <a:prstGeom prst="rect">
                      <a:avLst/>
                    </a:prstGeom>
                    <a:noFill/>
                  </pic:spPr>
                </pic:pic>
              </a:graphicData>
            </a:graphic>
          </wp:anchor>
        </w:drawing>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Paid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139700</wp:posOffset>
            </wp:positionV>
            <wp:extent cx="206375" cy="255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6375" cy="255905"/>
                    </a:xfrm>
                    <a:prstGeom prst="rect">
                      <a:avLst/>
                    </a:prstGeom>
                    <a:noFill/>
                  </pic:spPr>
                </pic:pic>
              </a:graphicData>
            </a:graphic>
          </wp:anchor>
        </w:drawing>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Employee assistance program providing confidential counseling services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employees also participate in our success: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Annual or monthly incentives: 100% of our employees are eligible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-115570</wp:posOffset>
            </wp:positionV>
            <wp:extent cx="222885" cy="222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296545</wp:posOffset>
            </wp:positionV>
            <wp:extent cx="222885" cy="2476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2885" cy="2476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401K plans with Company match: 100% of our U.S. employees are eligible to enroll within three months of their employment at EXL</w:t>
      </w:r>
    </w:p>
    <w:p>
      <w:pPr>
        <w:spacing w:after="0" w:line="375" w:lineRule="exact"/>
        <w:rPr>
          <w:sz w:val="20"/>
          <w:szCs w:val="20"/>
          <w:color w:val="auto"/>
        </w:rPr>
      </w:pPr>
    </w:p>
    <w:p>
      <w:pPr>
        <w:ind w:left="960"/>
        <w:spacing w:after="0" w:line="286" w:lineRule="auto"/>
        <w:rPr>
          <w:sz w:val="20"/>
          <w:szCs w:val="20"/>
          <w:color w:val="auto"/>
        </w:rPr>
      </w:pPr>
      <w:r>
        <w:rPr>
          <w:rFonts w:ascii="Arial" w:cs="Arial" w:eastAsia="Arial" w:hAnsi="Arial"/>
          <w:sz w:val="17"/>
          <w:szCs w:val="17"/>
          <w:color w:val="auto"/>
        </w:rPr>
        <w:t>ESPP: Our employees in the U.S., the U.K. and India are invited to participate in our employee stock purchase plan, which was approved by our stockholders in our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-245745</wp:posOffset>
            </wp:positionV>
            <wp:extent cx="222885" cy="2311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80"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56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700"/>
          </w:cols>
          <w:pgMar w:left="320" w:top="473" w:right="87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Sustainability</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Employee health, safety and wellbeing</w:t>
      </w:r>
    </w:p>
    <w:p>
      <w:pPr>
        <w:spacing w:after="0" w:line="221" w:lineRule="exact"/>
        <w:rPr>
          <w:sz w:val="20"/>
          <w:szCs w:val="20"/>
          <w:color w:val="auto"/>
        </w:rPr>
      </w:pPr>
    </w:p>
    <w:p>
      <w:pPr>
        <w:ind w:left="320" w:right="80"/>
        <w:spacing w:after="0" w:line="283" w:lineRule="auto"/>
        <w:rPr>
          <w:sz w:val="20"/>
          <w:szCs w:val="20"/>
          <w:color w:val="auto"/>
        </w:rPr>
      </w:pPr>
      <w:r>
        <w:rPr>
          <w:rFonts w:ascii="Arial" w:cs="Arial" w:eastAsia="Arial" w:hAnsi="Arial"/>
          <w:sz w:val="16"/>
          <w:szCs w:val="16"/>
          <w:color w:val="auto"/>
        </w:rPr>
        <w:t>Because our people are so important to us, we have always viewed employee health, safety and wellbeing as one of our top commitments. We periodically provide trainings on health and safety to our employees, suppliers and partners. In 2022, approximately 99% of our employees completed our health and safety training e-module. We also conduct a risk assessment every six months with the aim of minimizing risk in the workplace. We have received a number of recognitions and awards for our efforts in employee health and safety, detailed below under “Achievements, certifications and awards” on page 59. We also have a number of initiatives to promote our employees’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128905</wp:posOffset>
            </wp:positionV>
            <wp:extent cx="4469130" cy="3717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469130" cy="371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Cybersecurity at EXL</w:t>
      </w:r>
    </w:p>
    <w:p>
      <w:pPr>
        <w:spacing w:after="0" w:line="117" w:lineRule="exact"/>
        <w:rPr>
          <w:sz w:val="20"/>
          <w:szCs w:val="20"/>
          <w:color w:val="auto"/>
        </w:rPr>
      </w:pPr>
    </w:p>
    <w:p>
      <w:pPr>
        <w:ind w:left="320" w:right="60"/>
        <w:spacing w:after="0" w:line="265" w:lineRule="auto"/>
        <w:rPr>
          <w:sz w:val="20"/>
          <w:szCs w:val="20"/>
          <w:color w:val="auto"/>
        </w:rPr>
      </w:pPr>
      <w:r>
        <w:rPr>
          <w:rFonts w:ascii="Arial" w:cs="Arial" w:eastAsia="Arial" w:hAnsi="Arial"/>
          <w:sz w:val="17"/>
          <w:szCs w:val="17"/>
          <w:color w:val="auto"/>
        </w:rPr>
        <w:t>We are committed to protecting the confidentiality, integrity, availability and privacy of the information assets of our clients and their customers, as well as our employees, vendors and any other third parties, that are shared with us and for which we are responsible and have developed robust information security and cybersecurity and data privacy controls, safeguards and enabling measures in accordance with applicable laws, regulations and information security standards.</w:t>
      </w:r>
    </w:p>
    <w:p>
      <w:pPr>
        <w:spacing w:after="0" w:line="177" w:lineRule="exact"/>
        <w:rPr>
          <w:sz w:val="20"/>
          <w:szCs w:val="20"/>
          <w:color w:val="auto"/>
        </w:rPr>
      </w:pPr>
    </w:p>
    <w:p>
      <w:pPr>
        <w:ind w:left="320" w:right="440"/>
        <w:spacing w:after="0" w:line="286" w:lineRule="auto"/>
        <w:rPr>
          <w:sz w:val="20"/>
          <w:szCs w:val="20"/>
          <w:color w:val="auto"/>
        </w:rPr>
      </w:pPr>
      <w:r>
        <w:rPr>
          <w:rFonts w:ascii="Arial" w:cs="Arial" w:eastAsia="Arial" w:hAnsi="Arial"/>
          <w:sz w:val="17"/>
          <w:szCs w:val="17"/>
          <w:color w:val="auto"/>
        </w:rPr>
        <w:t>We have implemented and maintain, and regularly improve upon, tools and capabilities to identify, protect, detect, respond and recover from cyber threats, incidents and attacks; reduce vulnerabilities; and minimize the impact from cyber incidents. We have</w:t>
      </w:r>
    </w:p>
    <w:p>
      <w:pPr>
        <w:spacing w:after="0" w:line="21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57</w:t>
      </w:r>
    </w:p>
    <w:p>
      <w:pPr>
        <w:sectPr>
          <w:pgSz w:w="11900" w:h="16838" w:orient="portrait"/>
          <w:cols w:equalWidth="0" w:num="1">
            <w:col w:w="10940"/>
          </w:cols>
          <w:pgMar w:left="320" w:top="473" w:right="6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343" w:lineRule="exact"/>
        <w:rPr>
          <w:sz w:val="20"/>
          <w:szCs w:val="20"/>
          <w:color w:val="auto"/>
        </w:rPr>
      </w:pPr>
    </w:p>
    <w:p>
      <w:pPr>
        <w:jc w:val="both"/>
        <w:ind w:left="320" w:right="320"/>
        <w:spacing w:after="0" w:line="323" w:lineRule="auto"/>
        <w:rPr>
          <w:sz w:val="20"/>
          <w:szCs w:val="20"/>
          <w:color w:val="auto"/>
        </w:rPr>
      </w:pPr>
      <w:r>
        <w:rPr>
          <w:rFonts w:ascii="Arial" w:cs="Arial" w:eastAsia="Arial" w:hAnsi="Arial"/>
          <w:sz w:val="15"/>
          <w:szCs w:val="15"/>
          <w:color w:val="auto"/>
        </w:rPr>
        <w:t>an established culture of compliance around cybersecurity matters, and have a strong governance program built upon and supported by policies and processes, tools and technologies, and regular knowledge and awareness training. Each of our employees receives regular knowledge and awareness training on risk mitigation and management and controls and procedures relating to information security, cybersecurity and data privacy.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comply with and/or are certified in the following standards: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820" w:type="dxa"/>
            <w:vAlign w:val="bottom"/>
          </w:tcPr>
          <w:p>
            <w:pPr>
              <w:jc w:val="center"/>
              <w:ind w:right="402"/>
              <w:spacing w:after="0"/>
              <w:rPr>
                <w:sz w:val="20"/>
                <w:szCs w:val="20"/>
                <w:color w:val="auto"/>
              </w:rPr>
            </w:pPr>
            <w:r>
              <w:rPr>
                <w:rFonts w:ascii="Arial" w:cs="Arial" w:eastAsia="Arial" w:hAnsi="Arial"/>
                <w:sz w:val="16"/>
                <w:szCs w:val="16"/>
                <w:b w:val="1"/>
                <w:bCs w:val="1"/>
                <w:color w:val="auto"/>
                <w:w w:val="90"/>
              </w:rPr>
              <w:t>ISO 27001:2013</w:t>
            </w:r>
          </w:p>
        </w:tc>
        <w:tc>
          <w:tcPr>
            <w:tcW w:w="2360" w:type="dxa"/>
            <w:vAlign w:val="bottom"/>
          </w:tcPr>
          <w:p>
            <w:pPr>
              <w:jc w:val="center"/>
              <w:ind w:left="22"/>
              <w:spacing w:after="0"/>
              <w:rPr>
                <w:sz w:val="20"/>
                <w:szCs w:val="20"/>
                <w:color w:val="auto"/>
              </w:rPr>
            </w:pPr>
            <w:r>
              <w:rPr>
                <w:rFonts w:ascii="Arial" w:cs="Arial" w:eastAsia="Arial" w:hAnsi="Arial"/>
                <w:sz w:val="16"/>
                <w:szCs w:val="16"/>
                <w:b w:val="1"/>
                <w:bCs w:val="1"/>
                <w:color w:val="auto"/>
                <w:w w:val="91"/>
              </w:rPr>
              <w:t>PCI DSS 3.2.1 Credit</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0"/>
              </w:rPr>
              <w:t>SOX 404 / SSAE 16,</w:t>
            </w:r>
          </w:p>
        </w:tc>
        <w:tc>
          <w:tcPr>
            <w:tcW w:w="2040" w:type="dxa"/>
            <w:vAlign w:val="bottom"/>
          </w:tcPr>
          <w:p>
            <w:pPr>
              <w:jc w:val="center"/>
              <w:ind w:left="142"/>
              <w:spacing w:after="0"/>
              <w:rPr>
                <w:sz w:val="20"/>
                <w:szCs w:val="20"/>
                <w:color w:val="auto"/>
              </w:rPr>
            </w:pPr>
            <w:r>
              <w:rPr>
                <w:rFonts w:ascii="Arial" w:cs="Arial" w:eastAsia="Arial" w:hAnsi="Arial"/>
                <w:sz w:val="16"/>
                <w:szCs w:val="16"/>
                <w:b w:val="1"/>
                <w:bCs w:val="1"/>
                <w:color w:val="auto"/>
                <w:w w:val="92"/>
              </w:rPr>
              <w:t>Hitrust Certification –</w:t>
            </w:r>
          </w:p>
        </w:tc>
        <w:tc>
          <w:tcPr>
            <w:tcW w:w="1620" w:type="dxa"/>
            <w:vAlign w:val="bottom"/>
          </w:tcPr>
          <w:p>
            <w:pPr>
              <w:jc w:val="center"/>
              <w:ind w:left="82"/>
              <w:spacing w:after="0"/>
              <w:rPr>
                <w:sz w:val="20"/>
                <w:szCs w:val="20"/>
                <w:color w:val="auto"/>
              </w:rPr>
            </w:pPr>
            <w:r>
              <w:rPr>
                <w:rFonts w:ascii="Arial" w:cs="Arial" w:eastAsia="Arial" w:hAnsi="Arial"/>
                <w:sz w:val="16"/>
                <w:szCs w:val="16"/>
                <w:b w:val="1"/>
                <w:bCs w:val="1"/>
                <w:color w:val="auto"/>
                <w:w w:val="85"/>
              </w:rPr>
              <w:t>ISO 22301 Business</w:t>
            </w:r>
          </w:p>
        </w:tc>
      </w:tr>
      <w:tr>
        <w:trPr>
          <w:trHeight w:val="195"/>
        </w:trPr>
        <w:tc>
          <w:tcPr>
            <w:tcW w:w="1820" w:type="dxa"/>
            <w:vAlign w:val="bottom"/>
          </w:tcPr>
          <w:p>
            <w:pPr>
              <w:jc w:val="center"/>
              <w:ind w:right="402"/>
              <w:spacing w:after="0"/>
              <w:rPr>
                <w:sz w:val="20"/>
                <w:szCs w:val="20"/>
                <w:color w:val="auto"/>
              </w:rPr>
            </w:pPr>
            <w:r>
              <w:rPr>
                <w:rFonts w:ascii="Arial" w:cs="Arial" w:eastAsia="Arial" w:hAnsi="Arial"/>
                <w:sz w:val="16"/>
                <w:szCs w:val="16"/>
                <w:b w:val="1"/>
                <w:bCs w:val="1"/>
                <w:color w:val="auto"/>
                <w:w w:val="91"/>
              </w:rPr>
              <w:t>Global Information</w:t>
            </w:r>
          </w:p>
        </w:tc>
        <w:tc>
          <w:tcPr>
            <w:tcW w:w="2360" w:type="dxa"/>
            <w:vAlign w:val="bottom"/>
          </w:tcPr>
          <w:p>
            <w:pPr>
              <w:jc w:val="center"/>
              <w:ind w:left="22"/>
              <w:spacing w:after="0"/>
              <w:rPr>
                <w:sz w:val="20"/>
                <w:szCs w:val="20"/>
                <w:color w:val="auto"/>
              </w:rPr>
            </w:pPr>
            <w:r>
              <w:rPr>
                <w:rFonts w:ascii="Arial" w:cs="Arial" w:eastAsia="Arial" w:hAnsi="Arial"/>
                <w:sz w:val="16"/>
                <w:szCs w:val="16"/>
                <w:b w:val="1"/>
                <w:bCs w:val="1"/>
                <w:color w:val="auto"/>
                <w:w w:val="89"/>
              </w:rPr>
              <w:t>Card and Payment</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89"/>
              </w:rPr>
              <w:t>SOC 1 and SOC 2 –</w:t>
            </w:r>
          </w:p>
        </w:tc>
        <w:tc>
          <w:tcPr>
            <w:tcW w:w="2040" w:type="dxa"/>
            <w:vAlign w:val="bottom"/>
          </w:tcPr>
          <w:p>
            <w:pPr>
              <w:jc w:val="center"/>
              <w:ind w:left="162"/>
              <w:spacing w:after="0"/>
              <w:rPr>
                <w:sz w:val="20"/>
                <w:szCs w:val="20"/>
                <w:color w:val="auto"/>
              </w:rPr>
            </w:pPr>
            <w:r>
              <w:rPr>
                <w:rFonts w:ascii="Arial" w:cs="Arial" w:eastAsia="Arial" w:hAnsi="Arial"/>
                <w:sz w:val="16"/>
                <w:szCs w:val="16"/>
                <w:b w:val="1"/>
                <w:bCs w:val="1"/>
                <w:color w:val="auto"/>
                <w:w w:val="86"/>
              </w:rPr>
              <w:t>healthcare operations</w:t>
            </w:r>
          </w:p>
        </w:tc>
        <w:tc>
          <w:tcPr>
            <w:tcW w:w="1620" w:type="dxa"/>
            <w:vAlign w:val="bottom"/>
          </w:tcPr>
          <w:p>
            <w:pPr>
              <w:jc w:val="center"/>
              <w:ind w:left="62"/>
              <w:spacing w:after="0"/>
              <w:rPr>
                <w:sz w:val="20"/>
                <w:szCs w:val="20"/>
                <w:color w:val="auto"/>
              </w:rPr>
            </w:pPr>
            <w:r>
              <w:rPr>
                <w:rFonts w:ascii="Arial" w:cs="Arial" w:eastAsia="Arial" w:hAnsi="Arial"/>
                <w:sz w:val="16"/>
                <w:szCs w:val="16"/>
                <w:b w:val="1"/>
                <w:bCs w:val="1"/>
                <w:color w:val="auto"/>
                <w:w w:val="85"/>
              </w:rPr>
              <w:t>Resiliency</w:t>
            </w:r>
          </w:p>
        </w:tc>
      </w:tr>
      <w:tr>
        <w:trPr>
          <w:trHeight w:val="195"/>
        </w:trPr>
        <w:tc>
          <w:tcPr>
            <w:tcW w:w="1820" w:type="dxa"/>
            <w:vAlign w:val="bottom"/>
          </w:tcPr>
          <w:p>
            <w:pPr>
              <w:jc w:val="center"/>
              <w:ind w:right="402"/>
              <w:spacing w:after="0"/>
              <w:rPr>
                <w:sz w:val="20"/>
                <w:szCs w:val="20"/>
                <w:color w:val="auto"/>
              </w:rPr>
            </w:pPr>
            <w:r>
              <w:rPr>
                <w:rFonts w:ascii="Arial" w:cs="Arial" w:eastAsia="Arial" w:hAnsi="Arial"/>
                <w:sz w:val="16"/>
                <w:szCs w:val="16"/>
                <w:b w:val="1"/>
                <w:bCs w:val="1"/>
                <w:color w:val="auto"/>
                <w:w w:val="89"/>
              </w:rPr>
              <w:t>Security Standard –</w:t>
            </w:r>
          </w:p>
        </w:tc>
        <w:tc>
          <w:tcPr>
            <w:tcW w:w="2360" w:type="dxa"/>
            <w:vAlign w:val="bottom"/>
          </w:tcPr>
          <w:p>
            <w:pPr>
              <w:jc w:val="center"/>
              <w:ind w:left="22"/>
              <w:spacing w:after="0"/>
              <w:rPr>
                <w:sz w:val="20"/>
                <w:szCs w:val="20"/>
                <w:color w:val="auto"/>
              </w:rPr>
            </w:pPr>
            <w:r>
              <w:rPr>
                <w:rFonts w:ascii="Arial" w:cs="Arial" w:eastAsia="Arial" w:hAnsi="Arial"/>
                <w:sz w:val="16"/>
                <w:szCs w:val="16"/>
                <w:b w:val="1"/>
                <w:bCs w:val="1"/>
                <w:color w:val="auto"/>
                <w:w w:val="90"/>
              </w:rPr>
              <w:t>Industry Certification</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89"/>
              </w:rPr>
              <w:t>Company-wide</w:t>
            </w:r>
          </w:p>
        </w:tc>
        <w:tc>
          <w:tcPr>
            <w:tcW w:w="2040" w:type="dxa"/>
            <w:vAlign w:val="bottom"/>
          </w:tcPr>
          <w:p>
            <w:pPr>
              <w:spacing w:after="0"/>
              <w:rPr>
                <w:sz w:val="16"/>
                <w:szCs w:val="16"/>
                <w:color w:val="auto"/>
              </w:rPr>
            </w:pPr>
          </w:p>
        </w:tc>
        <w:tc>
          <w:tcPr>
            <w:tcW w:w="1620" w:type="dxa"/>
            <w:vAlign w:val="bottom"/>
          </w:tcPr>
          <w:p>
            <w:pPr>
              <w:jc w:val="center"/>
              <w:ind w:left="62"/>
              <w:spacing w:after="0"/>
              <w:rPr>
                <w:sz w:val="20"/>
                <w:szCs w:val="20"/>
                <w:color w:val="auto"/>
              </w:rPr>
            </w:pPr>
            <w:r>
              <w:rPr>
                <w:rFonts w:ascii="Arial" w:cs="Arial" w:eastAsia="Arial" w:hAnsi="Arial"/>
                <w:sz w:val="16"/>
                <w:szCs w:val="16"/>
                <w:b w:val="1"/>
                <w:bCs w:val="1"/>
                <w:color w:val="auto"/>
                <w:w w:val="91"/>
              </w:rPr>
              <w:t>Certification – India,</w:t>
            </w:r>
          </w:p>
        </w:tc>
      </w:tr>
      <w:tr>
        <w:trPr>
          <w:trHeight w:val="195"/>
        </w:trPr>
        <w:tc>
          <w:tcPr>
            <w:tcW w:w="1820" w:type="dxa"/>
            <w:vAlign w:val="bottom"/>
          </w:tcPr>
          <w:p>
            <w:pPr>
              <w:jc w:val="center"/>
              <w:ind w:right="402"/>
              <w:spacing w:after="0"/>
              <w:rPr>
                <w:sz w:val="20"/>
                <w:szCs w:val="20"/>
                <w:color w:val="auto"/>
              </w:rPr>
            </w:pPr>
            <w:r>
              <w:rPr>
                <w:rFonts w:ascii="Arial" w:cs="Arial" w:eastAsia="Arial" w:hAnsi="Arial"/>
                <w:sz w:val="16"/>
                <w:szCs w:val="16"/>
                <w:b w:val="1"/>
                <w:bCs w:val="1"/>
                <w:color w:val="auto"/>
                <w:w w:val="89"/>
              </w:rPr>
              <w:t>Company-wide</w:t>
            </w:r>
          </w:p>
        </w:tc>
        <w:tc>
          <w:tcPr>
            <w:tcW w:w="2360" w:type="dxa"/>
            <w:vAlign w:val="bottom"/>
          </w:tcPr>
          <w:p>
            <w:pPr>
              <w:jc w:val="center"/>
              <w:ind w:left="22"/>
              <w:spacing w:after="0"/>
              <w:rPr>
                <w:sz w:val="20"/>
                <w:szCs w:val="20"/>
                <w:color w:val="auto"/>
              </w:rPr>
            </w:pPr>
            <w:r>
              <w:rPr>
                <w:rFonts w:ascii="Arial" w:cs="Arial" w:eastAsia="Arial" w:hAnsi="Arial"/>
                <w:sz w:val="16"/>
                <w:szCs w:val="16"/>
                <w:b w:val="1"/>
                <w:bCs w:val="1"/>
                <w:color w:val="auto"/>
                <w:w w:val="89"/>
              </w:rPr>
              <w:t>– India, Philippines</w:t>
            </w:r>
          </w:p>
        </w:tc>
        <w:tc>
          <w:tcPr>
            <w:tcW w:w="2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20" w:type="dxa"/>
            <w:vAlign w:val="bottom"/>
          </w:tcPr>
          <w:p>
            <w:pPr>
              <w:jc w:val="center"/>
              <w:ind w:left="82"/>
              <w:spacing w:after="0"/>
              <w:rPr>
                <w:sz w:val="20"/>
                <w:szCs w:val="20"/>
                <w:color w:val="auto"/>
              </w:rPr>
            </w:pPr>
            <w:r>
              <w:rPr>
                <w:rFonts w:ascii="Arial" w:cs="Arial" w:eastAsia="Arial" w:hAnsi="Arial"/>
                <w:sz w:val="16"/>
                <w:szCs w:val="16"/>
                <w:b w:val="1"/>
                <w:bCs w:val="1"/>
                <w:color w:val="auto"/>
                <w:w w:val="86"/>
              </w:rPr>
              <w:t>Philippines and South</w:t>
            </w:r>
          </w:p>
        </w:tc>
      </w:tr>
      <w:tr>
        <w:trPr>
          <w:trHeight w:val="195"/>
        </w:trPr>
        <w:tc>
          <w:tcPr>
            <w:tcW w:w="1820" w:type="dxa"/>
            <w:vAlign w:val="bottom"/>
          </w:tcPr>
          <w:p>
            <w:pPr>
              <w:spacing w:after="0"/>
              <w:rPr>
                <w:sz w:val="16"/>
                <w:szCs w:val="16"/>
                <w:color w:val="auto"/>
              </w:rPr>
            </w:pPr>
          </w:p>
        </w:tc>
        <w:tc>
          <w:tcPr>
            <w:tcW w:w="2360" w:type="dxa"/>
            <w:vAlign w:val="bottom"/>
          </w:tcPr>
          <w:p>
            <w:pPr>
              <w:jc w:val="center"/>
              <w:ind w:left="22"/>
              <w:spacing w:after="0"/>
              <w:rPr>
                <w:sz w:val="20"/>
                <w:szCs w:val="20"/>
                <w:color w:val="auto"/>
              </w:rPr>
            </w:pPr>
            <w:r>
              <w:rPr>
                <w:rFonts w:ascii="Arial" w:cs="Arial" w:eastAsia="Arial" w:hAnsi="Arial"/>
                <w:sz w:val="16"/>
                <w:szCs w:val="16"/>
                <w:b w:val="1"/>
                <w:bCs w:val="1"/>
                <w:color w:val="auto"/>
                <w:w w:val="89"/>
              </w:rPr>
              <w:t>and South Africa</w:t>
            </w:r>
          </w:p>
        </w:tc>
        <w:tc>
          <w:tcPr>
            <w:tcW w:w="2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20" w:type="dxa"/>
            <w:vAlign w:val="bottom"/>
          </w:tcPr>
          <w:p>
            <w:pPr>
              <w:jc w:val="center"/>
              <w:ind w:left="62"/>
              <w:spacing w:after="0"/>
              <w:rPr>
                <w:sz w:val="20"/>
                <w:szCs w:val="20"/>
                <w:color w:val="auto"/>
              </w:rPr>
            </w:pPr>
            <w:r>
              <w:rPr>
                <w:rFonts w:ascii="Arial" w:cs="Arial" w:eastAsia="Arial" w:hAnsi="Arial"/>
                <w:sz w:val="16"/>
                <w:szCs w:val="16"/>
                <w:b w:val="1"/>
                <w:bCs w:val="1"/>
                <w:color w:val="auto"/>
                <w:w w:val="88"/>
              </w:rPr>
              <w:t>Africa operations</w:t>
            </w:r>
          </w:p>
        </w:tc>
      </w:tr>
      <w:tr>
        <w:trPr>
          <w:trHeight w:val="203"/>
        </w:trPr>
        <w:tc>
          <w:tcPr>
            <w:tcW w:w="1820" w:type="dxa"/>
            <w:vAlign w:val="bottom"/>
          </w:tcPr>
          <w:p>
            <w:pPr>
              <w:spacing w:after="0"/>
              <w:rPr>
                <w:sz w:val="17"/>
                <w:szCs w:val="17"/>
                <w:color w:val="auto"/>
              </w:rPr>
            </w:pPr>
          </w:p>
        </w:tc>
        <w:tc>
          <w:tcPr>
            <w:tcW w:w="2360" w:type="dxa"/>
            <w:vAlign w:val="bottom"/>
          </w:tcPr>
          <w:p>
            <w:pPr>
              <w:jc w:val="center"/>
              <w:ind w:left="22"/>
              <w:spacing w:after="0"/>
              <w:rPr>
                <w:sz w:val="20"/>
                <w:szCs w:val="20"/>
                <w:color w:val="auto"/>
              </w:rPr>
            </w:pPr>
            <w:r>
              <w:rPr>
                <w:rFonts w:ascii="Arial" w:cs="Arial" w:eastAsia="Arial" w:hAnsi="Arial"/>
                <w:sz w:val="16"/>
                <w:szCs w:val="16"/>
                <w:b w:val="1"/>
                <w:bCs w:val="1"/>
                <w:color w:val="auto"/>
                <w:w w:val="85"/>
              </w:rPr>
              <w:t>operations</w:t>
            </w:r>
          </w:p>
        </w:tc>
        <w:tc>
          <w:tcPr>
            <w:tcW w:w="2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215" w:lineRule="exact"/>
        <w:rPr>
          <w:sz w:val="20"/>
          <w:szCs w:val="20"/>
          <w:color w:val="auto"/>
        </w:rPr>
      </w:pPr>
    </w:p>
    <w:p>
      <w:pPr>
        <w:ind w:left="320" w:right="320"/>
        <w:spacing w:after="0" w:line="270" w:lineRule="auto"/>
        <w:rPr>
          <w:sz w:val="20"/>
          <w:szCs w:val="20"/>
          <w:color w:val="auto"/>
        </w:rPr>
      </w:pPr>
      <w:r>
        <w:rPr>
          <w:rFonts w:ascii="Arial" w:cs="Arial" w:eastAsia="Arial" w:hAnsi="Arial"/>
          <w:sz w:val="17"/>
          <w:szCs w:val="17"/>
          <w:color w:val="auto"/>
        </w:rPr>
        <w:t>For more information on our cybersecurity risk management, please see “Cybersecurity risk management” on page 44. For more information on our information security and data privacy procedures, please refer to our Sustainability Report, which is available on our website at www.exlservice.com/corporate-sustainability.</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Responsible artificial intelligence</w:t>
      </w:r>
    </w:p>
    <w:p>
      <w:pPr>
        <w:spacing w:after="0" w:line="117"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We seek to ensure that our use of artificial intelligence (“AI”) in our business and operations is ethical and trustworthy. We emphasize data integrity as key to eliminate bias in the application of AI. We have a global AI Governance Policy and framework, and a cross-functional AI Governance Committee that oversees and governs our use of AI, with the overall aim of vetting and minimizing potential unethical or unlawful biases in AI processes. Pursuant to our AI Governance Policy, for each deployment of AI, our business teams are guided by our AI bias principles and, in many cases, include a risk assessment exercise. Applicable employees also participate in trainings to identify and reduce bias in AI.</w:t>
      </w:r>
    </w:p>
    <w:p>
      <w:pPr>
        <w:spacing w:after="0" w:line="79"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58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Sustainability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Achievements, certifications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330200</wp:posOffset>
            </wp:positionV>
            <wp:extent cx="6740525" cy="545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4052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40" w:right="300"/>
        <w:spacing w:after="0" w:line="293" w:lineRule="auto"/>
        <w:rPr>
          <w:sz w:val="20"/>
          <w:szCs w:val="20"/>
          <w:color w:val="auto"/>
        </w:rPr>
      </w:pPr>
      <w:r>
        <w:rPr>
          <w:rFonts w:ascii="Arial" w:cs="Arial" w:eastAsia="Arial" w:hAnsi="Arial"/>
          <w:sz w:val="17"/>
          <w:szCs w:val="17"/>
          <w:b w:val="1"/>
          <w:bCs w:val="1"/>
          <w:color w:val="auto"/>
        </w:rPr>
        <w:t>Health and safety management system</w:t>
      </w:r>
      <w:r>
        <w:rPr>
          <w:rFonts w:ascii="Arial" w:cs="Arial" w:eastAsia="Arial" w:hAnsi="Arial"/>
          <w:sz w:val="17"/>
          <w:szCs w:val="17"/>
          <w:color w:val="auto"/>
        </w:rPr>
        <w:t>, and</w:t>
      </w:r>
      <w:r>
        <w:rPr>
          <w:rFonts w:ascii="Arial" w:cs="Arial" w:eastAsia="Arial" w:hAnsi="Arial"/>
          <w:sz w:val="17"/>
          <w:szCs w:val="17"/>
          <w:b w:val="1"/>
          <w:bCs w:val="1"/>
          <w:color w:val="auto"/>
        </w:rPr>
        <w:t xml:space="preserve"> 75% of our delivery centers </w:t>
      </w:r>
      <w:r>
        <w:rPr>
          <w:rFonts w:ascii="Arial" w:cs="Arial" w:eastAsia="Arial" w:hAnsi="Arial"/>
          <w:sz w:val="17"/>
          <w:szCs w:val="17"/>
          <w:color w:val="auto"/>
        </w:rPr>
        <w:t>as of December 31, 2022, are certified to</w:t>
      </w:r>
      <w:r>
        <w:rPr>
          <w:rFonts w:ascii="Arial" w:cs="Arial" w:eastAsia="Arial" w:hAnsi="Arial"/>
          <w:sz w:val="17"/>
          <w:szCs w:val="17"/>
          <w:b w:val="1"/>
          <w:bCs w:val="1"/>
          <w:color w:val="auto"/>
        </w:rPr>
        <w:t xml:space="preserve"> ISO 45001:2018</w:t>
      </w:r>
      <w:r>
        <w:rPr>
          <w:rFonts w:ascii="Arial" w:cs="Arial" w:eastAsia="Arial" w:hAnsi="Arial"/>
          <w:sz w:val="17"/>
          <w:szCs w:val="17"/>
          <w:color w:val="auto"/>
        </w:rPr>
        <w:t>,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standards for occupational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262255</wp:posOffset>
            </wp:positionV>
            <wp:extent cx="6740525" cy="520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40525" cy="5207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 xml:space="preserve">All of our delivery centers </w:t>
      </w:r>
      <w:r>
        <w:rPr>
          <w:rFonts w:ascii="Arial" w:cs="Arial" w:eastAsia="Arial" w:hAnsi="Arial"/>
          <w:sz w:val="17"/>
          <w:szCs w:val="17"/>
          <w:color w:val="auto"/>
        </w:rPr>
        <w:t>worldwide are</w:t>
      </w:r>
      <w:r>
        <w:rPr>
          <w:rFonts w:ascii="Arial" w:cs="Arial" w:eastAsia="Arial" w:hAnsi="Arial"/>
          <w:sz w:val="17"/>
          <w:szCs w:val="17"/>
          <w:b w:val="1"/>
          <w:bCs w:val="1"/>
          <w:color w:val="auto"/>
        </w:rPr>
        <w:t xml:space="preserve"> ISO 14001:2015 </w:t>
      </w:r>
      <w:r>
        <w:rPr>
          <w:rFonts w:ascii="Arial" w:cs="Arial" w:eastAsia="Arial" w:hAnsi="Arial"/>
          <w:sz w:val="17"/>
          <w:szCs w:val="17"/>
          <w:color w:val="auto"/>
        </w:rPr>
        <w:t>certified, meeting international standards for</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effective environmental management systems.</w:t>
      </w:r>
    </w:p>
    <w:p>
      <w:pPr>
        <w:spacing w:after="0" w:line="200" w:lineRule="exact"/>
        <w:rPr>
          <w:sz w:val="20"/>
          <w:szCs w:val="20"/>
          <w:color w:val="auto"/>
        </w:rPr>
      </w:pP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385"/>
        </w:trPr>
        <w:tc>
          <w:tcPr>
            <w:tcW w:w="5220" w:type="dxa"/>
            <w:vAlign w:val="bottom"/>
            <w:shd w:val="clear" w:color="auto" w:fill="FDA685"/>
          </w:tcPr>
          <w:p>
            <w:pPr>
              <w:jc w:val="center"/>
              <w:spacing w:after="0"/>
              <w:rPr>
                <w:sz w:val="20"/>
                <w:szCs w:val="20"/>
                <w:color w:val="auto"/>
              </w:rPr>
            </w:pPr>
            <w:r>
              <w:rPr>
                <w:rFonts w:ascii="Arial" w:cs="Arial" w:eastAsia="Arial" w:hAnsi="Arial"/>
                <w:sz w:val="17"/>
                <w:szCs w:val="17"/>
                <w:b w:val="1"/>
                <w:bCs w:val="1"/>
                <w:color w:val="auto"/>
                <w:w w:val="92"/>
              </w:rPr>
              <w:t>Reporting pursuant to SASB Software</w:t>
            </w:r>
          </w:p>
        </w:tc>
        <w:tc>
          <w:tcPr>
            <w:tcW w:w="280" w:type="dxa"/>
            <w:vAlign w:val="bottom"/>
          </w:tcPr>
          <w:p>
            <w:pPr>
              <w:spacing w:after="0"/>
              <w:rPr>
                <w:sz w:val="24"/>
                <w:szCs w:val="24"/>
                <w:color w:val="auto"/>
              </w:rPr>
            </w:pPr>
          </w:p>
        </w:tc>
        <w:tc>
          <w:tcPr>
            <w:tcW w:w="5120" w:type="dxa"/>
            <w:vAlign w:val="bottom"/>
            <w:shd w:val="clear" w:color="auto" w:fill="FDA685"/>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FDA685"/>
          </w:tcPr>
          <w:p>
            <w:pPr>
              <w:jc w:val="center"/>
              <w:spacing w:after="0"/>
              <w:rPr>
                <w:sz w:val="20"/>
                <w:szCs w:val="20"/>
                <w:color w:val="auto"/>
              </w:rPr>
            </w:pPr>
            <w:r>
              <w:rPr>
                <w:rFonts w:ascii="Arial" w:cs="Arial" w:eastAsia="Arial" w:hAnsi="Arial"/>
                <w:sz w:val="17"/>
                <w:szCs w:val="17"/>
                <w:b w:val="1"/>
                <w:bCs w:val="1"/>
                <w:color w:val="auto"/>
                <w:w w:val="94"/>
              </w:rPr>
              <w:t>and IT Services Standards (2018), GRI</w:t>
            </w:r>
          </w:p>
        </w:tc>
        <w:tc>
          <w:tcPr>
            <w:tcW w:w="280" w:type="dxa"/>
            <w:vAlign w:val="bottom"/>
          </w:tcPr>
          <w:p>
            <w:pPr>
              <w:spacing w:after="0"/>
              <w:rPr>
                <w:sz w:val="18"/>
                <w:szCs w:val="18"/>
                <w:color w:val="auto"/>
              </w:rPr>
            </w:pPr>
          </w:p>
        </w:tc>
        <w:tc>
          <w:tcPr>
            <w:tcW w:w="5120" w:type="dxa"/>
            <w:vAlign w:val="bottom"/>
            <w:vMerge w:val="restart"/>
            <w:shd w:val="clear" w:color="auto" w:fill="FDA685"/>
          </w:tcPr>
          <w:p>
            <w:pPr>
              <w:jc w:val="center"/>
              <w:spacing w:after="0"/>
              <w:rPr>
                <w:sz w:val="20"/>
                <w:szCs w:val="20"/>
                <w:color w:val="auto"/>
              </w:rPr>
            </w:pPr>
            <w:r>
              <w:rPr>
                <w:rFonts w:ascii="Arial" w:cs="Arial" w:eastAsia="Arial" w:hAnsi="Arial"/>
                <w:sz w:val="17"/>
                <w:szCs w:val="17"/>
                <w:b w:val="1"/>
                <w:bCs w:val="1"/>
                <w:color w:val="auto"/>
                <w:w w:val="95"/>
              </w:rPr>
              <w:t>Participant</w:t>
            </w:r>
          </w:p>
        </w:tc>
        <w:tc>
          <w:tcPr>
            <w:tcW w:w="0" w:type="dxa"/>
            <w:vAlign w:val="bottom"/>
          </w:tcPr>
          <w:p>
            <w:pPr>
              <w:spacing w:after="0"/>
              <w:rPr>
                <w:sz w:val="1"/>
                <w:szCs w:val="1"/>
                <w:color w:val="auto"/>
              </w:rPr>
            </w:pPr>
          </w:p>
        </w:tc>
      </w:tr>
      <w:tr>
        <w:trPr>
          <w:trHeight w:val="104"/>
        </w:trPr>
        <w:tc>
          <w:tcPr>
            <w:tcW w:w="5220" w:type="dxa"/>
            <w:vAlign w:val="bottom"/>
            <w:vMerge w:val="restart"/>
            <w:shd w:val="clear" w:color="auto" w:fill="FDA685"/>
          </w:tcPr>
          <w:p>
            <w:pPr>
              <w:jc w:val="center"/>
              <w:spacing w:after="0"/>
              <w:rPr>
                <w:sz w:val="20"/>
                <w:szCs w:val="20"/>
                <w:color w:val="auto"/>
              </w:rPr>
            </w:pPr>
            <w:r>
              <w:rPr>
                <w:rFonts w:ascii="Arial" w:cs="Arial" w:eastAsia="Arial" w:hAnsi="Arial"/>
                <w:sz w:val="17"/>
                <w:szCs w:val="17"/>
                <w:b w:val="1"/>
                <w:bCs w:val="1"/>
                <w:color w:val="auto"/>
                <w:w w:val="92"/>
              </w:rPr>
              <w:t>Standards, 2016 and the</w:t>
            </w:r>
          </w:p>
        </w:tc>
        <w:tc>
          <w:tcPr>
            <w:tcW w:w="280" w:type="dxa"/>
            <w:vAlign w:val="bottom"/>
          </w:tcPr>
          <w:p>
            <w:pPr>
              <w:spacing w:after="0"/>
              <w:rPr>
                <w:sz w:val="9"/>
                <w:szCs w:val="9"/>
                <w:color w:val="auto"/>
              </w:rPr>
            </w:pPr>
          </w:p>
        </w:tc>
        <w:tc>
          <w:tcPr>
            <w:tcW w:w="5120" w:type="dxa"/>
            <w:vAlign w:val="bottom"/>
            <w:vMerge w:val="continue"/>
            <w:shd w:val="clear" w:color="auto" w:fill="FDA685"/>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220" w:type="dxa"/>
            <w:vAlign w:val="bottom"/>
            <w:vMerge w:val="continue"/>
            <w:shd w:val="clear" w:color="auto" w:fill="FDA685"/>
          </w:tcPr>
          <w:p>
            <w:pPr>
              <w:spacing w:after="0"/>
              <w:rPr>
                <w:sz w:val="9"/>
                <w:szCs w:val="9"/>
                <w:color w:val="auto"/>
              </w:rPr>
            </w:pPr>
          </w:p>
        </w:tc>
        <w:tc>
          <w:tcPr>
            <w:tcW w:w="280" w:type="dxa"/>
            <w:vAlign w:val="bottom"/>
          </w:tcPr>
          <w:p>
            <w:pPr>
              <w:spacing w:after="0"/>
              <w:rPr>
                <w:sz w:val="9"/>
                <w:szCs w:val="9"/>
                <w:color w:val="auto"/>
              </w:rPr>
            </w:pPr>
          </w:p>
        </w:tc>
        <w:tc>
          <w:tcPr>
            <w:tcW w:w="5120" w:type="dxa"/>
            <w:vAlign w:val="bottom"/>
            <w:vMerge w:val="restart"/>
            <w:shd w:val="clear" w:color="auto" w:fill="FDA685"/>
          </w:tcPr>
          <w:p>
            <w:pPr>
              <w:jc w:val="center"/>
              <w:ind w:left="13"/>
              <w:spacing w:after="0"/>
              <w:rPr>
                <w:sz w:val="20"/>
                <w:szCs w:val="20"/>
                <w:color w:val="auto"/>
              </w:rPr>
            </w:pPr>
            <w:r>
              <w:rPr>
                <w:rFonts w:ascii="Arial" w:cs="Arial" w:eastAsia="Arial" w:hAnsi="Arial"/>
                <w:sz w:val="17"/>
                <w:szCs w:val="17"/>
                <w:b w:val="1"/>
                <w:bCs w:val="1"/>
                <w:color w:val="auto"/>
                <w:w w:val="93"/>
              </w:rPr>
              <w:t>United Nations Global Compact</w:t>
            </w:r>
          </w:p>
        </w:tc>
        <w:tc>
          <w:tcPr>
            <w:tcW w:w="0" w:type="dxa"/>
            <w:vAlign w:val="bottom"/>
          </w:tcPr>
          <w:p>
            <w:pPr>
              <w:spacing w:after="0"/>
              <w:rPr>
                <w:sz w:val="1"/>
                <w:szCs w:val="1"/>
                <w:color w:val="auto"/>
              </w:rPr>
            </w:pPr>
          </w:p>
        </w:tc>
      </w:tr>
      <w:tr>
        <w:trPr>
          <w:trHeight w:val="122"/>
        </w:trPr>
        <w:tc>
          <w:tcPr>
            <w:tcW w:w="5220" w:type="dxa"/>
            <w:vAlign w:val="bottom"/>
            <w:vMerge w:val="restart"/>
            <w:shd w:val="clear" w:color="auto" w:fill="FDA685"/>
          </w:tcPr>
          <w:p>
            <w:pPr>
              <w:jc w:val="center"/>
              <w:spacing w:after="0"/>
              <w:rPr>
                <w:sz w:val="20"/>
                <w:szCs w:val="20"/>
                <w:color w:val="auto"/>
              </w:rPr>
            </w:pPr>
            <w:r>
              <w:rPr>
                <w:rFonts w:ascii="Arial" w:cs="Arial" w:eastAsia="Arial" w:hAnsi="Arial"/>
                <w:sz w:val="17"/>
                <w:szCs w:val="17"/>
                <w:b w:val="1"/>
                <w:bCs w:val="1"/>
                <w:color w:val="auto"/>
                <w:w w:val="91"/>
              </w:rPr>
              <w:t>United Nations Sustainable</w:t>
            </w:r>
          </w:p>
        </w:tc>
        <w:tc>
          <w:tcPr>
            <w:tcW w:w="280" w:type="dxa"/>
            <w:vAlign w:val="bottom"/>
          </w:tcPr>
          <w:p>
            <w:pPr>
              <w:spacing w:after="0"/>
              <w:rPr>
                <w:sz w:val="10"/>
                <w:szCs w:val="10"/>
                <w:color w:val="auto"/>
              </w:rPr>
            </w:pPr>
          </w:p>
        </w:tc>
        <w:tc>
          <w:tcPr>
            <w:tcW w:w="5120" w:type="dxa"/>
            <w:vAlign w:val="bottom"/>
            <w:vMerge w:val="continue"/>
            <w:shd w:val="clear" w:color="auto" w:fill="FDA685"/>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220" w:type="dxa"/>
            <w:vAlign w:val="bottom"/>
            <w:vMerge w:val="continue"/>
            <w:shd w:val="clear" w:color="auto" w:fill="FDA685"/>
          </w:tcPr>
          <w:p>
            <w:pPr>
              <w:spacing w:after="0"/>
              <w:rPr>
                <w:sz w:val="7"/>
                <w:szCs w:val="7"/>
                <w:color w:val="auto"/>
              </w:rPr>
            </w:pPr>
          </w:p>
        </w:tc>
        <w:tc>
          <w:tcPr>
            <w:tcW w:w="280" w:type="dxa"/>
            <w:vAlign w:val="bottom"/>
          </w:tcPr>
          <w:p>
            <w:pPr>
              <w:spacing w:after="0"/>
              <w:rPr>
                <w:sz w:val="7"/>
                <w:szCs w:val="7"/>
                <w:color w:val="auto"/>
              </w:rPr>
            </w:pPr>
          </w:p>
        </w:tc>
        <w:tc>
          <w:tcPr>
            <w:tcW w:w="5120" w:type="dxa"/>
            <w:vAlign w:val="bottom"/>
            <w:shd w:val="clear" w:color="auto" w:fill="FDA685"/>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FDA685"/>
          </w:tcPr>
          <w:p>
            <w:pPr>
              <w:jc w:val="center"/>
              <w:spacing w:after="0"/>
              <w:rPr>
                <w:sz w:val="20"/>
                <w:szCs w:val="20"/>
                <w:color w:val="auto"/>
              </w:rPr>
            </w:pPr>
            <w:r>
              <w:rPr>
                <w:rFonts w:ascii="Arial" w:cs="Arial" w:eastAsia="Arial" w:hAnsi="Arial"/>
                <w:sz w:val="17"/>
                <w:szCs w:val="17"/>
                <w:b w:val="1"/>
                <w:bCs w:val="1"/>
                <w:color w:val="auto"/>
                <w:w w:val="90"/>
              </w:rPr>
              <w:t>Development Goals</w:t>
            </w:r>
          </w:p>
        </w:tc>
        <w:tc>
          <w:tcPr>
            <w:tcW w:w="280" w:type="dxa"/>
            <w:vAlign w:val="bottom"/>
          </w:tcPr>
          <w:p>
            <w:pPr>
              <w:spacing w:after="0"/>
              <w:rPr>
                <w:sz w:val="19"/>
                <w:szCs w:val="19"/>
                <w:color w:val="auto"/>
              </w:rPr>
            </w:pPr>
          </w:p>
        </w:tc>
        <w:tc>
          <w:tcPr>
            <w:tcW w:w="5120" w:type="dxa"/>
            <w:vAlign w:val="bottom"/>
            <w:shd w:val="clear" w:color="auto" w:fill="FDA685"/>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FDA685"/>
          </w:tcPr>
          <w:p>
            <w:pPr>
              <w:spacing w:after="0"/>
              <w:rPr>
                <w:sz w:val="18"/>
                <w:szCs w:val="18"/>
                <w:color w:val="auto"/>
              </w:rPr>
            </w:pPr>
          </w:p>
        </w:tc>
        <w:tc>
          <w:tcPr>
            <w:tcW w:w="280" w:type="dxa"/>
            <w:vAlign w:val="bottom"/>
          </w:tcPr>
          <w:p>
            <w:pPr>
              <w:spacing w:after="0"/>
              <w:rPr>
                <w:sz w:val="18"/>
                <w:szCs w:val="18"/>
                <w:color w:val="auto"/>
              </w:rPr>
            </w:pPr>
          </w:p>
        </w:tc>
        <w:tc>
          <w:tcPr>
            <w:tcW w:w="5120" w:type="dxa"/>
            <w:vAlign w:val="bottom"/>
            <w:shd w:val="clear" w:color="auto" w:fill="FDA685"/>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132080</wp:posOffset>
            </wp:positionV>
            <wp:extent cx="6740525" cy="387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40525" cy="387985"/>
                    </a:xfrm>
                    <a:prstGeom prst="rect">
                      <a:avLst/>
                    </a:prstGeom>
                    <a:noFill/>
                  </pic:spPr>
                </pic:pic>
              </a:graphicData>
            </a:graphic>
          </wp:anchor>
        </w:drawing>
      </w:r>
    </w:p>
    <w:p>
      <w:pPr>
        <w:spacing w:after="0" w:line="365"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 xml:space="preserve">Participant in the CDP’s Climate Change disclosure program </w:t>
      </w:r>
      <w:r>
        <w:rPr>
          <w:rFonts w:ascii="Arial" w:cs="Arial" w:eastAsia="Arial" w:hAnsi="Arial"/>
          <w:sz w:val="17"/>
          <w:szCs w:val="17"/>
          <w:color w:val="auto"/>
        </w:rPr>
        <w:t>with respect to GHG emissions and climate change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300355</wp:posOffset>
            </wp:positionV>
            <wp:extent cx="239395" cy="2393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300355</wp:posOffset>
            </wp:positionV>
            <wp:extent cx="239395" cy="2393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300355</wp:posOffset>
            </wp:positionV>
            <wp:extent cx="239395" cy="2393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Safety Excellence Award</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for Women’s Safety 2021 and</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2022, and for Fire Safety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72390</wp:posOffset>
            </wp:positionV>
            <wp:extent cx="15449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1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International Institute of Safety &amp; Security</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Management (IISM) Global Conclave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259715</wp:posOffset>
            </wp:positionV>
            <wp:extent cx="239395" cy="2393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Environmental Stewardship</w:t>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Award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16510</wp:posOffset>
            </wp:positionV>
            <wp:extent cx="15449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127"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World Safety Forum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jc w:val="center"/>
              <w:spacing w:after="0"/>
              <w:rPr>
                <w:sz w:val="20"/>
                <w:szCs w:val="20"/>
                <w:color w:val="auto"/>
              </w:rPr>
            </w:pPr>
            <w:r>
              <w:rPr>
                <w:rFonts w:ascii="Arial" w:cs="Arial" w:eastAsia="Arial" w:hAnsi="Arial"/>
                <w:sz w:val="17"/>
                <w:szCs w:val="17"/>
                <w:b w:val="1"/>
                <w:bCs w:val="1"/>
                <w:color w:val="auto"/>
                <w:w w:val="91"/>
              </w:rPr>
              <w:t>100 Most Sustainable</w:t>
            </w:r>
          </w:p>
        </w:tc>
        <w:tc>
          <w:tcPr>
            <w:tcW w:w="1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w w:val="91"/>
              </w:rPr>
              <w:t>Safest Workplace</w:t>
            </w:r>
          </w:p>
        </w:tc>
      </w:tr>
      <w:tr>
        <w:trPr>
          <w:trHeight w:val="233"/>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Companies 2022 and 2023</w:t>
            </w:r>
          </w:p>
        </w:tc>
        <w:tc>
          <w:tcPr>
            <w:tcW w:w="17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Award 2021 and 2022</w:t>
            </w:r>
          </w:p>
        </w:tc>
      </w:tr>
      <w:tr>
        <w:trPr>
          <w:trHeight w:val="272"/>
        </w:trPr>
        <w:tc>
          <w:tcPr>
            <w:tcW w:w="2540" w:type="dxa"/>
            <w:vAlign w:val="bottom"/>
          </w:tcPr>
          <w:p>
            <w:pPr>
              <w:jc w:val="center"/>
              <w:spacing w:after="0"/>
              <w:rPr>
                <w:sz w:val="20"/>
                <w:szCs w:val="20"/>
                <w:color w:val="auto"/>
              </w:rPr>
            </w:pPr>
            <w:r>
              <w:rPr>
                <w:rFonts w:ascii="Arial" w:cs="Arial" w:eastAsia="Arial" w:hAnsi="Arial"/>
                <w:sz w:val="13"/>
                <w:szCs w:val="13"/>
                <w:color w:val="auto"/>
                <w:w w:val="90"/>
              </w:rPr>
              <w:t>Barron’s</w:t>
            </w:r>
          </w:p>
        </w:tc>
        <w:tc>
          <w:tcPr>
            <w:tcW w:w="178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World Safety Forum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347345</wp:posOffset>
            </wp:positionV>
            <wp:extent cx="239395" cy="2393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347345</wp:posOffset>
            </wp:positionV>
            <wp:extent cx="239395" cy="2393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40" w:type="dxa"/>
            <w:vAlign w:val="bottom"/>
          </w:tcPr>
          <w:p>
            <w:pPr>
              <w:jc w:val="center"/>
              <w:spacing w:after="0"/>
              <w:rPr>
                <w:sz w:val="20"/>
                <w:szCs w:val="20"/>
                <w:color w:val="auto"/>
              </w:rPr>
            </w:pPr>
            <w:r>
              <w:rPr>
                <w:rFonts w:ascii="Arial" w:cs="Arial" w:eastAsia="Arial" w:hAnsi="Arial"/>
                <w:sz w:val="17"/>
                <w:szCs w:val="17"/>
                <w:b w:val="1"/>
                <w:bCs w:val="1"/>
                <w:color w:val="auto"/>
                <w:w w:val="95"/>
              </w:rPr>
              <w:t>International Safety Award</w:t>
            </w:r>
          </w:p>
        </w:tc>
        <w:tc>
          <w:tcPr>
            <w:tcW w:w="17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w w:val="91"/>
              </w:rPr>
              <w:t>Most Trusted Companies</w:t>
            </w:r>
          </w:p>
        </w:tc>
      </w:tr>
      <w:tr>
        <w:trPr>
          <w:trHeight w:val="233"/>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17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2022 and 2023</w:t>
            </w:r>
          </w:p>
        </w:tc>
      </w:tr>
      <w:tr>
        <w:trPr>
          <w:trHeight w:val="272"/>
        </w:trPr>
        <w:tc>
          <w:tcPr>
            <w:tcW w:w="2540" w:type="dxa"/>
            <w:vAlign w:val="bottom"/>
          </w:tcPr>
          <w:p>
            <w:pPr>
              <w:jc w:val="center"/>
              <w:spacing w:after="0"/>
              <w:rPr>
                <w:sz w:val="20"/>
                <w:szCs w:val="20"/>
                <w:color w:val="auto"/>
              </w:rPr>
            </w:pPr>
            <w:r>
              <w:rPr>
                <w:rFonts w:ascii="Arial" w:cs="Arial" w:eastAsia="Arial" w:hAnsi="Arial"/>
                <w:sz w:val="13"/>
                <w:szCs w:val="13"/>
                <w:color w:val="auto"/>
                <w:w w:val="93"/>
              </w:rPr>
              <w:t>British Safety Council</w:t>
            </w:r>
          </w:p>
        </w:tc>
        <w:tc>
          <w:tcPr>
            <w:tcW w:w="178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9"/>
              </w:rPr>
              <w:t>Newsweek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256540</wp:posOffset>
            </wp:positionV>
            <wp:extent cx="239395" cy="2393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780"/>
        <w:spacing w:after="0"/>
        <w:rPr>
          <w:sz w:val="20"/>
          <w:szCs w:val="20"/>
          <w:color w:val="auto"/>
        </w:rPr>
      </w:pPr>
      <w:r>
        <w:rPr>
          <w:rFonts w:ascii="Arial" w:cs="Arial" w:eastAsia="Arial" w:hAnsi="Arial"/>
          <w:sz w:val="17"/>
          <w:szCs w:val="17"/>
          <w:b w:val="1"/>
          <w:bCs w:val="1"/>
          <w:color w:val="auto"/>
        </w:rPr>
        <w:t>Gold Medal—2022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16109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10995" cy="8255"/>
                    </a:xfrm>
                    <a:prstGeom prst="rect">
                      <a:avLst/>
                    </a:prstGeom>
                    <a:noFill/>
                  </pic:spPr>
                </pic:pic>
              </a:graphicData>
            </a:graphic>
          </wp:anchor>
        </w:drawing>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EcoVadis</w:t>
      </w:r>
    </w:p>
    <w:p>
      <w:pPr>
        <w:spacing w:after="0" w:line="270" w:lineRule="exact"/>
        <w:rPr>
          <w:sz w:val="20"/>
          <w:szCs w:val="20"/>
          <w:color w:val="auto"/>
        </w:rPr>
      </w:pPr>
    </w:p>
    <w:p>
      <w:pPr>
        <w:ind w:left="3520"/>
        <w:spacing w:after="0"/>
        <w:tabs>
          <w:tab w:leader="none" w:pos="5520" w:val="left"/>
          <w:tab w:leader="none" w:pos="590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59</w:t>
      </w:r>
    </w:p>
    <w:p>
      <w:pPr>
        <w:sectPr>
          <w:pgSz w:w="11900" w:h="16838" w:orient="portrait"/>
          <w:cols w:equalWidth="0" w:num="2">
            <w:col w:w="3920" w:space="720"/>
            <w:col w:w="6300"/>
          </w:cols>
          <w:pgMar w:left="320" w:top="473" w:right="6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Sustainability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Environmental, social and governance matters and pay-for-performance at EXL</w:t>
      </w:r>
    </w:p>
    <w:p>
      <w:pPr>
        <w:spacing w:after="0" w:line="117" w:lineRule="exact"/>
        <w:rPr>
          <w:sz w:val="20"/>
          <w:szCs w:val="20"/>
          <w:color w:val="auto"/>
        </w:rPr>
      </w:pPr>
    </w:p>
    <w:p>
      <w:pPr>
        <w:ind w:left="320"/>
        <w:spacing w:after="0" w:line="356" w:lineRule="auto"/>
        <w:rPr>
          <w:sz w:val="20"/>
          <w:szCs w:val="20"/>
          <w:color w:val="auto"/>
        </w:rPr>
      </w:pPr>
      <w:r>
        <w:rPr>
          <w:rFonts w:ascii="Arial" w:cs="Arial" w:eastAsia="Arial" w:hAnsi="Arial"/>
          <w:sz w:val="15"/>
          <w:szCs w:val="15"/>
          <w:color w:val="auto"/>
        </w:rPr>
        <w:t>A portion of our CEO’s total compensation is tied to the achievement of specific performance goals relating to ESG matters. For more information, see “Detailed review of compensation components – Annual incentives – Determination of individual performance measure achievement” on page 79.</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Sustainability oversight</w:t>
      </w:r>
    </w:p>
    <w:p>
      <w:pPr>
        <w:spacing w:after="0" w:line="117" w:lineRule="exact"/>
        <w:rPr>
          <w:sz w:val="20"/>
          <w:szCs w:val="20"/>
          <w:color w:val="auto"/>
        </w:rPr>
      </w:pPr>
    </w:p>
    <w:p>
      <w:pPr>
        <w:ind w:left="320" w:right="840"/>
        <w:spacing w:after="0" w:line="286" w:lineRule="auto"/>
        <w:rPr>
          <w:sz w:val="20"/>
          <w:szCs w:val="20"/>
          <w:color w:val="auto"/>
        </w:rPr>
      </w:pPr>
      <w:r>
        <w:rPr>
          <w:rFonts w:ascii="Arial" w:cs="Arial" w:eastAsia="Arial" w:hAnsi="Arial"/>
          <w:sz w:val="17"/>
          <w:szCs w:val="17"/>
          <w:color w:val="auto"/>
        </w:rPr>
        <w:t>For more information on our oversight of sustainability and ESG-related matters and risks, see “Environmental, social and governance risk management” on page 45.</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24"/>
          <w:szCs w:val="24"/>
          <w:color w:val="auto"/>
        </w:rPr>
        <w:t>Learn more about sustainability and environmental, social and governance matters at EXL</w:t>
      </w:r>
    </w:p>
    <w:p>
      <w:pPr>
        <w:spacing w:after="0" w:line="117" w:lineRule="exact"/>
        <w:rPr>
          <w:sz w:val="20"/>
          <w:szCs w:val="20"/>
          <w:color w:val="auto"/>
        </w:rPr>
      </w:pPr>
    </w:p>
    <w:p>
      <w:pPr>
        <w:ind w:left="320" w:right="200"/>
        <w:spacing w:after="0" w:line="356" w:lineRule="auto"/>
        <w:rPr>
          <w:sz w:val="20"/>
          <w:szCs w:val="20"/>
          <w:color w:val="auto"/>
        </w:rPr>
      </w:pPr>
      <w:r>
        <w:rPr>
          <w:rFonts w:ascii="Arial" w:cs="Arial" w:eastAsia="Arial" w:hAnsi="Arial"/>
          <w:sz w:val="15"/>
          <w:szCs w:val="15"/>
          <w:color w:val="auto"/>
        </w:rPr>
        <w:t>Please visit www.exlservice.com/about/sustainability to learn more about our efforts toward sustainability and the impacts we are making on our communities and the environment. Information on our website referred to in this Proxy Statement does not constitute a part of this Proxy Statement.</w:t>
      </w:r>
    </w:p>
    <w:p>
      <w:pPr>
        <w:spacing w:after="0" w:line="28"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60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00"/>
          </w:cols>
          <w:pgMar w:left="320" w:top="473" w:right="77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Our executive officers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Our executive officers</w:t>
      </w:r>
    </w:p>
    <w:p>
      <w:pPr>
        <w:spacing w:after="0" w:line="244" w:lineRule="exact"/>
        <w:rPr>
          <w:sz w:val="20"/>
          <w:szCs w:val="20"/>
          <w:color w:val="auto"/>
        </w:rPr>
      </w:pPr>
    </w:p>
    <w:p>
      <w:pPr>
        <w:ind w:left="2220"/>
        <w:spacing w:after="0"/>
        <w:tabs>
          <w:tab w:leader="none" w:pos="4020" w:val="left"/>
          <w:tab w:leader="none" w:pos="4240" w:val="left"/>
        </w:tabs>
        <w:rPr>
          <w:sz w:val="20"/>
          <w:szCs w:val="20"/>
          <w:color w:val="auto"/>
        </w:rPr>
      </w:pPr>
      <w:r>
        <w:rPr>
          <w:rFonts w:ascii="Arial" w:cs="Arial" w:eastAsia="Arial" w:hAnsi="Arial"/>
          <w:sz w:val="17"/>
          <w:szCs w:val="17"/>
          <w:b w:val="1"/>
          <w:bCs w:val="1"/>
          <w:color w:val="auto"/>
        </w:rPr>
        <w:t xml:space="preserve">Rohit Kapoor </w:t>
      </w:r>
      <w:r>
        <w:rPr>
          <w:rFonts w:ascii="Arial" w:cs="Arial" w:eastAsia="Arial" w:hAnsi="Arial"/>
          <w:sz w:val="17"/>
          <w:szCs w:val="17"/>
          <w:color w:val="auto"/>
        </w:rPr>
        <w:t>(age 58)</w:t>
      </w:r>
      <w:r>
        <w:rPr>
          <w:sz w:val="20"/>
          <w:szCs w:val="20"/>
          <w:color w:val="auto"/>
        </w:rPr>
        <w:tab/>
      </w:r>
      <w:r>
        <w:rPr>
          <w:rFonts w:ascii="Arial" w:cs="Arial" w:eastAsia="Arial" w:hAnsi="Arial"/>
          <w:sz w:val="17"/>
          <w:szCs w:val="17"/>
          <w:color w:val="FB4E0B"/>
        </w:rPr>
        <w:t>|</w:t>
      </w:r>
      <w:r>
        <w:rPr>
          <w:sz w:val="20"/>
          <w:szCs w:val="20"/>
          <w:color w:val="auto"/>
        </w:rPr>
        <w:tab/>
      </w:r>
      <w:r>
        <w:rPr>
          <w:rFonts w:ascii="Arial" w:cs="Arial" w:eastAsia="Arial" w:hAnsi="Arial"/>
          <w:sz w:val="15"/>
          <w:szCs w:val="15"/>
          <w:b w:val="1"/>
          <w:bCs w:val="1"/>
          <w:i w:val="1"/>
          <w:iCs w:val="1"/>
          <w:color w:val="auto"/>
        </w:rPr>
        <w:t>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760095" cy="7600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1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See section entitled “Our board of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20"/>
        <w:spacing w:after="0"/>
        <w:tabs>
          <w:tab w:leader="none" w:pos="4140" w:val="left"/>
          <w:tab w:leader="none" w:pos="4360" w:val="left"/>
        </w:tabs>
        <w:rPr>
          <w:sz w:val="20"/>
          <w:szCs w:val="20"/>
          <w:color w:val="auto"/>
        </w:rPr>
      </w:pPr>
      <w:r>
        <w:rPr>
          <w:rFonts w:ascii="Arial" w:cs="Arial" w:eastAsia="Arial" w:hAnsi="Arial"/>
          <w:sz w:val="17"/>
          <w:szCs w:val="17"/>
          <w:b w:val="1"/>
          <w:bCs w:val="1"/>
          <w:color w:val="auto"/>
        </w:rPr>
        <w:t xml:space="preserve">Ajay Ayyappan </w:t>
      </w:r>
      <w:r>
        <w:rPr>
          <w:rFonts w:ascii="Arial" w:cs="Arial" w:eastAsia="Arial" w:hAnsi="Arial"/>
          <w:sz w:val="17"/>
          <w:szCs w:val="17"/>
          <w:color w:val="auto"/>
        </w:rPr>
        <w:t>(age 45)</w:t>
      </w:r>
      <w:r>
        <w:rPr>
          <w:sz w:val="20"/>
          <w:szCs w:val="20"/>
          <w:color w:val="auto"/>
        </w:rPr>
        <w:tab/>
      </w:r>
      <w:r>
        <w:rPr>
          <w:rFonts w:ascii="Arial" w:cs="Arial" w:eastAsia="Arial" w:hAnsi="Arial"/>
          <w:sz w:val="17"/>
          <w:szCs w:val="17"/>
          <w:color w:val="FB4E0B"/>
        </w:rPr>
        <w:t>|</w:t>
      </w:r>
      <w:r>
        <w:rPr>
          <w:sz w:val="20"/>
          <w:szCs w:val="20"/>
          <w:color w:val="auto"/>
        </w:rPr>
        <w:tab/>
      </w:r>
      <w:r>
        <w:rPr>
          <w:rFonts w:ascii="Arial" w:cs="Arial" w:eastAsia="Arial" w:hAnsi="Arial"/>
          <w:sz w:val="15"/>
          <w:szCs w:val="15"/>
          <w:b w:val="1"/>
          <w:bCs w:val="1"/>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760095" cy="7600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11" w:lineRule="exact"/>
        <w:rPr>
          <w:sz w:val="20"/>
          <w:szCs w:val="20"/>
          <w:color w:val="auto"/>
        </w:rPr>
      </w:pPr>
    </w:p>
    <w:p>
      <w:pPr>
        <w:ind w:left="2220" w:right="180"/>
        <w:spacing w:after="0" w:line="258" w:lineRule="auto"/>
        <w:rPr>
          <w:sz w:val="20"/>
          <w:szCs w:val="20"/>
          <w:color w:val="auto"/>
        </w:rPr>
      </w:pPr>
      <w:r>
        <w:rPr>
          <w:rFonts w:ascii="Arial" w:cs="Arial" w:eastAsia="Arial" w:hAnsi="Arial"/>
          <w:sz w:val="17"/>
          <w:szCs w:val="17"/>
          <w:color w:val="auto"/>
        </w:rPr>
        <w:t>Mr. Ayyappan has served as our Executive Vice President, General Counsel and Corporate Secretary since February 2023. He previously served as our Senior Vice President, General Counsel and Corporate Secretary (December 2018 to February 2023), our Vice President, Acting General Counsel and Corporate Secretary (August 2018 to December 2018), our Vice President, Deputy General Counsel and Assistant Secretary (April 2014 to August 2018) and our Vice President and Assistant General Counsel (March 2007 to March 2014). Prior to joining us, Mr. Ayyappan was a corporate associate at the law firm, Morgan, Lewis &amp; Bockius LLP.</w:t>
      </w:r>
    </w:p>
    <w:p>
      <w:pPr>
        <w:spacing w:after="0" w:line="295" w:lineRule="exact"/>
        <w:rPr>
          <w:sz w:val="20"/>
          <w:szCs w:val="20"/>
          <w:color w:val="auto"/>
        </w:rPr>
      </w:pPr>
    </w:p>
    <w:p>
      <w:pPr>
        <w:ind w:left="2220"/>
        <w:spacing w:after="0"/>
        <w:tabs>
          <w:tab w:leader="none" w:pos="3940" w:val="left"/>
          <w:tab w:leader="none" w:pos="4140" w:val="left"/>
        </w:tabs>
        <w:rPr>
          <w:sz w:val="20"/>
          <w:szCs w:val="20"/>
          <w:color w:val="auto"/>
        </w:rPr>
      </w:pPr>
      <w:r>
        <w:rPr>
          <w:rFonts w:ascii="Arial" w:cs="Arial" w:eastAsia="Arial" w:hAnsi="Arial"/>
          <w:sz w:val="17"/>
          <w:szCs w:val="17"/>
          <w:b w:val="1"/>
          <w:bCs w:val="1"/>
          <w:color w:val="auto"/>
        </w:rPr>
        <w:t xml:space="preserve">Vikas Bhalla </w:t>
      </w:r>
      <w:r>
        <w:rPr>
          <w:rFonts w:ascii="Arial" w:cs="Arial" w:eastAsia="Arial" w:hAnsi="Arial"/>
          <w:sz w:val="17"/>
          <w:szCs w:val="17"/>
          <w:color w:val="auto"/>
        </w:rPr>
        <w:t>(age 51)</w:t>
      </w:r>
      <w:r>
        <w:rPr>
          <w:sz w:val="20"/>
          <w:szCs w:val="20"/>
          <w:color w:val="auto"/>
        </w:rPr>
        <w:tab/>
      </w:r>
      <w:r>
        <w:rPr>
          <w:rFonts w:ascii="Arial" w:cs="Arial" w:eastAsia="Arial" w:hAnsi="Arial"/>
          <w:sz w:val="17"/>
          <w:szCs w:val="17"/>
          <w:color w:val="FB4E0B"/>
        </w:rPr>
        <w:t>|</w:t>
      </w:r>
      <w:r>
        <w:rPr>
          <w:sz w:val="20"/>
          <w:szCs w:val="20"/>
          <w:color w:val="auto"/>
        </w:rPr>
        <w:tab/>
      </w:r>
      <w:r>
        <w:rPr>
          <w:rFonts w:ascii="Arial" w:cs="Arial" w:eastAsia="Arial" w:hAnsi="Arial"/>
          <w:sz w:val="15"/>
          <w:szCs w:val="15"/>
          <w:b w:val="1"/>
          <w:bCs w:val="1"/>
          <w:i w:val="1"/>
          <w:iCs w:val="1"/>
          <w:color w:val="auto"/>
        </w:rPr>
        <w:t>Executive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760095" cy="7600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11" w:lineRule="exact"/>
        <w:rPr>
          <w:sz w:val="20"/>
          <w:szCs w:val="20"/>
          <w:color w:val="auto"/>
        </w:rPr>
      </w:pPr>
    </w:p>
    <w:p>
      <w:pPr>
        <w:ind w:left="2220" w:right="80"/>
        <w:spacing w:after="0" w:line="258" w:lineRule="auto"/>
        <w:rPr>
          <w:sz w:val="20"/>
          <w:szCs w:val="20"/>
          <w:color w:val="auto"/>
        </w:rPr>
      </w:pPr>
      <w:r>
        <w:rPr>
          <w:rFonts w:ascii="Arial" w:cs="Arial" w:eastAsia="Arial" w:hAnsi="Arial"/>
          <w:sz w:val="17"/>
          <w:szCs w:val="17"/>
          <w:color w:val="auto"/>
        </w:rPr>
        <w:t>Mr. Bhalla has served as our Executive Vice President and Business Head, Insurance since January 2014 and as our Head of Outsourcing since November 2009. He previously served as Vice President, Operations of EXL India (June 2006 to October 2009), as Vice President, Migrations, Quality and Process Excellence of EXL India (April 2002 to June 2006) and as Director, Quality Initiatives of EXL India (May 2001 to March 2002). From May 1998 to May 2001, Mr. Bhalla served in various capacities at General Electric, including as the Quality Leader and E-Business Leader for GE Plastics India. Mr. Bhalla is based in India.</w:t>
      </w:r>
    </w:p>
    <w:p>
      <w:pPr>
        <w:spacing w:after="0" w:line="295" w:lineRule="exact"/>
        <w:rPr>
          <w:sz w:val="20"/>
          <w:szCs w:val="20"/>
          <w:color w:val="auto"/>
        </w:rPr>
      </w:pPr>
    </w:p>
    <w:tbl>
      <w:tblPr>
        <w:tblLayout w:type="fixed"/>
        <w:tblInd w:w="2220" w:type="dxa"/>
        <w:tblCellMar>
          <w:top w:w="0" w:type="dxa"/>
          <w:left w:w="0" w:type="dxa"/>
          <w:bottom w:w="0" w:type="dxa"/>
          <w:right w:w="0" w:type="dxa"/>
        </w:tblCellMar>
      </w:tblPr>
      <w:tr>
        <w:trPr>
          <w:trHeight w:val="214"/>
        </w:trPr>
        <w:tc>
          <w:tcPr>
            <w:tcW w:w="1860" w:type="dxa"/>
            <w:vAlign w:val="bottom"/>
          </w:tcPr>
          <w:p>
            <w:pPr>
              <w:spacing w:after="0"/>
              <w:rPr>
                <w:sz w:val="20"/>
                <w:szCs w:val="20"/>
                <w:color w:val="auto"/>
              </w:rPr>
            </w:pPr>
            <w:r>
              <w:rPr>
                <w:rFonts w:ascii="Arial" w:cs="Arial" w:eastAsia="Arial" w:hAnsi="Arial"/>
                <w:sz w:val="17"/>
                <w:szCs w:val="17"/>
                <w:b w:val="1"/>
                <w:bCs w:val="1"/>
                <w:color w:val="auto"/>
              </w:rPr>
              <w:t xml:space="preserve">Vivek Jetley </w:t>
            </w:r>
            <w:r>
              <w:rPr>
                <w:rFonts w:ascii="Arial" w:cs="Arial" w:eastAsia="Arial" w:hAnsi="Arial"/>
                <w:sz w:val="17"/>
                <w:szCs w:val="17"/>
                <w:color w:val="auto"/>
              </w:rPr>
              <w:t>(age 48)</w:t>
            </w:r>
            <w:r>
              <w:rPr>
                <w:rFonts w:ascii="Arial" w:cs="Arial" w:eastAsia="Arial" w:hAnsi="Arial"/>
                <w:sz w:val="17"/>
                <w:szCs w:val="17"/>
                <w:b w:val="1"/>
                <w:bCs w:val="1"/>
                <w:color w:val="auto"/>
              </w:rPr>
              <w:t xml:space="preserve">  </w:t>
            </w:r>
            <w:r>
              <w:rPr>
                <w:rFonts w:ascii="Arial" w:cs="Arial" w:eastAsia="Arial" w:hAnsi="Arial"/>
                <w:sz w:val="17"/>
                <w:szCs w:val="17"/>
                <w:color w:val="FB4E0B"/>
              </w:rPr>
              <w:t>|</w:t>
            </w:r>
          </w:p>
        </w:tc>
        <w:tc>
          <w:tcPr>
            <w:tcW w:w="58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Executive Vice President and Business Head, Analytics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8300" w:type="dxa"/>
            <w:vAlign w:val="bottom"/>
            <w:gridSpan w:val="3"/>
          </w:tcPr>
          <w:p>
            <w:pPr>
              <w:spacing w:after="0"/>
              <w:rPr>
                <w:sz w:val="20"/>
                <w:szCs w:val="20"/>
                <w:color w:val="auto"/>
              </w:rPr>
            </w:pPr>
            <w:r>
              <w:rPr>
                <w:rFonts w:ascii="Arial" w:cs="Arial" w:eastAsia="Arial" w:hAnsi="Arial"/>
                <w:sz w:val="17"/>
                <w:szCs w:val="17"/>
                <w:color w:val="auto"/>
                <w:w w:val="91"/>
              </w:rPr>
              <w:t>Mr. Jetley has served as our Executive Vice President and Business Head, Analytics since January 2020. He previously</w:t>
            </w:r>
          </w:p>
        </w:tc>
        <w:tc>
          <w:tcPr>
            <w:tcW w:w="220" w:type="dxa"/>
            <w:vAlign w:val="bottom"/>
          </w:tcPr>
          <w:p>
            <w:pPr>
              <w:spacing w:after="0"/>
              <w:rPr>
                <w:sz w:val="18"/>
                <w:szCs w:val="18"/>
                <w:color w:val="auto"/>
              </w:rPr>
            </w:pPr>
          </w:p>
        </w:tc>
      </w:tr>
      <w:tr>
        <w:trPr>
          <w:trHeight w:val="208"/>
        </w:trPr>
        <w:tc>
          <w:tcPr>
            <w:tcW w:w="8300" w:type="dxa"/>
            <w:vAlign w:val="bottom"/>
            <w:gridSpan w:val="3"/>
          </w:tcPr>
          <w:p>
            <w:pPr>
              <w:spacing w:after="0"/>
              <w:rPr>
                <w:sz w:val="20"/>
                <w:szCs w:val="20"/>
                <w:color w:val="auto"/>
              </w:rPr>
            </w:pPr>
            <w:r>
              <w:rPr>
                <w:rFonts w:ascii="Arial" w:cs="Arial" w:eastAsia="Arial" w:hAnsi="Arial"/>
                <w:sz w:val="17"/>
                <w:szCs w:val="17"/>
                <w:color w:val="auto"/>
                <w:w w:val="94"/>
              </w:rPr>
              <w:t>served in various leadership roles with us, including heading enterprise strategy and setting up a strategic deal team.</w:t>
            </w:r>
          </w:p>
        </w:tc>
        <w:tc>
          <w:tcPr>
            <w:tcW w:w="220" w:type="dxa"/>
            <w:vAlign w:val="bottom"/>
          </w:tcPr>
          <w:p>
            <w:pPr>
              <w:spacing w:after="0"/>
              <w:rPr>
                <w:sz w:val="18"/>
                <w:szCs w:val="18"/>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7"/>
                <w:szCs w:val="17"/>
                <w:color w:val="auto"/>
              </w:rPr>
              <w:t>Mr. Jetley has been with EXL since 2006. Prior to joining us, Mr. Jetley was a Partner at Inductis.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885"/>
        </w:trPr>
        <w:tc>
          <w:tcPr>
            <w:tcW w:w="1860" w:type="dxa"/>
            <w:vAlign w:val="bottom"/>
          </w:tcPr>
          <w:p>
            <w:pPr>
              <w:spacing w:after="0"/>
              <w:rPr>
                <w:sz w:val="20"/>
                <w:szCs w:val="20"/>
                <w:color w:val="auto"/>
              </w:rPr>
            </w:pPr>
            <w:r>
              <w:rPr>
                <w:rFonts w:ascii="Arial" w:cs="Arial" w:eastAsia="Arial" w:hAnsi="Arial"/>
                <w:sz w:val="17"/>
                <w:szCs w:val="17"/>
                <w:b w:val="1"/>
                <w:bCs w:val="1"/>
                <w:color w:val="auto"/>
                <w:w w:val="95"/>
              </w:rPr>
              <w:t xml:space="preserve">Narasimha Kini </w:t>
            </w:r>
            <w:r>
              <w:rPr>
                <w:rFonts w:ascii="Arial" w:cs="Arial" w:eastAsia="Arial" w:hAnsi="Arial"/>
                <w:sz w:val="17"/>
                <w:szCs w:val="17"/>
                <w:color w:val="auto"/>
                <w:w w:val="95"/>
              </w:rPr>
              <w:t>(age 54)</w:t>
            </w:r>
          </w:p>
        </w:tc>
        <w:tc>
          <w:tcPr>
            <w:tcW w:w="5800" w:type="dxa"/>
            <w:vAlign w:val="bottom"/>
          </w:tcPr>
          <w:p>
            <w:pPr>
              <w:ind w:left="120"/>
              <w:spacing w:after="0"/>
              <w:rPr>
                <w:sz w:val="20"/>
                <w:szCs w:val="20"/>
                <w:color w:val="auto"/>
              </w:rPr>
            </w:pPr>
            <w:r>
              <w:rPr>
                <w:rFonts w:ascii="Arial" w:cs="Arial" w:eastAsia="Arial" w:hAnsi="Arial"/>
                <w:sz w:val="17"/>
                <w:szCs w:val="17"/>
                <w:color w:val="FB4E0B"/>
              </w:rPr>
              <w:t xml:space="preserve">|  </w:t>
            </w:r>
            <w:r>
              <w:rPr>
                <w:rFonts w:ascii="Arial" w:cs="Arial" w:eastAsia="Arial" w:hAnsi="Arial"/>
                <w:sz w:val="17"/>
                <w:szCs w:val="17"/>
                <w:b w:val="1"/>
                <w:bCs w:val="1"/>
                <w:i w:val="1"/>
                <w:iCs w:val="1"/>
                <w:color w:val="000000"/>
              </w:rPr>
              <w:t>Executive Vice President and Business Head, Emerging Business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8"/>
        </w:trPr>
        <w:tc>
          <w:tcPr>
            <w:tcW w:w="8300" w:type="dxa"/>
            <w:vAlign w:val="bottom"/>
            <w:gridSpan w:val="3"/>
          </w:tcPr>
          <w:p>
            <w:pPr>
              <w:spacing w:after="0"/>
              <w:rPr>
                <w:sz w:val="20"/>
                <w:szCs w:val="20"/>
                <w:color w:val="auto"/>
              </w:rPr>
            </w:pPr>
            <w:r>
              <w:rPr>
                <w:rFonts w:ascii="Arial" w:cs="Arial" w:eastAsia="Arial" w:hAnsi="Arial"/>
                <w:sz w:val="17"/>
                <w:szCs w:val="17"/>
                <w:color w:val="auto"/>
                <w:w w:val="93"/>
              </w:rPr>
              <w:t>Mr. Kini has served as our Executive Vice President and Business Head, Emerging Business since October 2021. He</w:t>
            </w:r>
          </w:p>
        </w:tc>
        <w:tc>
          <w:tcPr>
            <w:tcW w:w="220" w:type="dxa"/>
            <w:vAlign w:val="bottom"/>
          </w:tcPr>
          <w:p>
            <w:pPr>
              <w:spacing w:after="0"/>
              <w:rPr>
                <w:sz w:val="18"/>
                <w:szCs w:val="18"/>
                <w:color w:val="auto"/>
              </w:rPr>
            </w:pPr>
          </w:p>
        </w:tc>
      </w:tr>
      <w:tr>
        <w:trPr>
          <w:trHeight w:val="208"/>
        </w:trPr>
        <w:tc>
          <w:tcPr>
            <w:tcW w:w="8300" w:type="dxa"/>
            <w:vAlign w:val="bottom"/>
            <w:gridSpan w:val="3"/>
          </w:tcPr>
          <w:p>
            <w:pPr>
              <w:spacing w:after="0"/>
              <w:rPr>
                <w:sz w:val="20"/>
                <w:szCs w:val="20"/>
                <w:color w:val="auto"/>
              </w:rPr>
            </w:pPr>
            <w:r>
              <w:rPr>
                <w:rFonts w:ascii="Arial" w:cs="Arial" w:eastAsia="Arial" w:hAnsi="Arial"/>
                <w:sz w:val="17"/>
                <w:szCs w:val="17"/>
                <w:color w:val="auto"/>
                <w:w w:val="94"/>
              </w:rPr>
              <w:t>previously served in several leadership roles with us, including in our strategic initiatives and finance and accounting</w:t>
            </w:r>
          </w:p>
        </w:tc>
        <w:tc>
          <w:tcPr>
            <w:tcW w:w="220" w:type="dxa"/>
            <w:vAlign w:val="bottom"/>
          </w:tcPr>
          <w:p>
            <w:pPr>
              <w:spacing w:after="0"/>
              <w:rPr>
                <w:sz w:val="18"/>
                <w:szCs w:val="18"/>
                <w:color w:val="auto"/>
              </w:rPr>
            </w:pPr>
          </w:p>
        </w:tc>
      </w:tr>
      <w:tr>
        <w:trPr>
          <w:trHeight w:val="221"/>
        </w:trPr>
        <w:tc>
          <w:tcPr>
            <w:tcW w:w="8300" w:type="dxa"/>
            <w:vAlign w:val="bottom"/>
            <w:gridSpan w:val="3"/>
          </w:tcPr>
          <w:p>
            <w:pPr>
              <w:spacing w:after="0"/>
              <w:rPr>
                <w:sz w:val="20"/>
                <w:szCs w:val="20"/>
                <w:color w:val="auto"/>
              </w:rPr>
            </w:pPr>
            <w:r>
              <w:rPr>
                <w:rFonts w:ascii="Arial" w:cs="Arial" w:eastAsia="Arial" w:hAnsi="Arial"/>
                <w:sz w:val="17"/>
                <w:szCs w:val="17"/>
                <w:color w:val="auto"/>
                <w:w w:val="96"/>
              </w:rPr>
              <w:t>services. Mr. Kini has been with EXL since 2001. Prior to joining us, Mr. Kini was a Finance Leader at Willis Faber.</w:t>
            </w:r>
          </w:p>
        </w:tc>
        <w:tc>
          <w:tcPr>
            <w:tcW w:w="220" w:type="dxa"/>
            <w:vAlign w:val="bottom"/>
          </w:tcPr>
          <w:p>
            <w:pPr>
              <w:spacing w:after="0"/>
              <w:rPr>
                <w:sz w:val="19"/>
                <w:szCs w:val="19"/>
                <w:color w:val="auto"/>
              </w:rPr>
            </w:pPr>
          </w:p>
        </w:tc>
      </w:tr>
      <w:tr>
        <w:trPr>
          <w:trHeight w:val="993"/>
        </w:trPr>
        <w:tc>
          <w:tcPr>
            <w:tcW w:w="1860" w:type="dxa"/>
            <w:vAlign w:val="bottom"/>
          </w:tcPr>
          <w:p>
            <w:pPr>
              <w:spacing w:after="0"/>
              <w:rPr>
                <w:sz w:val="24"/>
                <w:szCs w:val="24"/>
                <w:color w:val="auto"/>
              </w:rPr>
            </w:pPr>
          </w:p>
        </w:tc>
        <w:tc>
          <w:tcPr>
            <w:tcW w:w="5800" w:type="dxa"/>
            <w:vAlign w:val="bottom"/>
          </w:tcPr>
          <w:p>
            <w:pPr>
              <w:ind w:left="4080"/>
              <w:spacing w:after="0"/>
              <w:rPr>
                <w:sz w:val="20"/>
                <w:szCs w:val="20"/>
                <w:color w:val="auto"/>
              </w:rPr>
            </w:pPr>
            <w:r>
              <w:rPr>
                <w:rFonts w:ascii="Arial" w:cs="Arial" w:eastAsia="Arial" w:hAnsi="Arial"/>
                <w:sz w:val="13"/>
                <w:szCs w:val="13"/>
                <w:color w:val="auto"/>
              </w:rPr>
              <w:t>EXL 2023 Proxy Statement</w:t>
            </w:r>
          </w:p>
        </w:tc>
        <w:tc>
          <w:tcPr>
            <w:tcW w:w="640" w:type="dxa"/>
            <w:vAlign w:val="bottom"/>
          </w:tcPr>
          <w:p>
            <w:pPr>
              <w:jc w:val="right"/>
              <w:ind w:right="121"/>
              <w:spacing w:after="0"/>
              <w:rPr>
                <w:sz w:val="20"/>
                <w:szCs w:val="20"/>
                <w:color w:val="auto"/>
              </w:rPr>
            </w:pPr>
            <w:r>
              <w:rPr>
                <w:rFonts w:ascii="Arial" w:cs="Arial" w:eastAsia="Arial" w:hAnsi="Arial"/>
                <w:sz w:val="28"/>
                <w:szCs w:val="28"/>
                <w:b w:val="1"/>
                <w:bCs w:val="1"/>
                <w:color w:val="FB4E0B"/>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-2124710</wp:posOffset>
            </wp:positionV>
            <wp:extent cx="760095" cy="7600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-1158240</wp:posOffset>
            </wp:positionV>
            <wp:extent cx="760095" cy="7600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Our executive officers</w:t>
      </w:r>
    </w:p>
    <w:p>
      <w:pPr>
        <w:spacing w:after="0" w:line="337" w:lineRule="exact"/>
        <w:rPr>
          <w:sz w:val="20"/>
          <w:szCs w:val="20"/>
          <w:color w:val="auto"/>
        </w:rPr>
      </w:pPr>
    </w:p>
    <w:p>
      <w:pPr>
        <w:ind w:left="2440"/>
        <w:spacing w:after="0"/>
        <w:tabs>
          <w:tab w:leader="none" w:pos="4200" w:val="left"/>
          <w:tab w:leader="none" w:pos="4420" w:val="left"/>
        </w:tabs>
        <w:rPr>
          <w:sz w:val="20"/>
          <w:szCs w:val="20"/>
          <w:color w:val="auto"/>
        </w:rPr>
      </w:pPr>
      <w:r>
        <w:rPr>
          <w:rFonts w:ascii="Arial" w:cs="Arial" w:eastAsia="Arial" w:hAnsi="Arial"/>
          <w:sz w:val="17"/>
          <w:szCs w:val="17"/>
          <w:b w:val="1"/>
          <w:bCs w:val="1"/>
          <w:color w:val="auto"/>
        </w:rPr>
        <w:t xml:space="preserve">Anita Mahon </w:t>
      </w:r>
      <w:r>
        <w:rPr>
          <w:rFonts w:ascii="Arial" w:cs="Arial" w:eastAsia="Arial" w:hAnsi="Arial"/>
          <w:sz w:val="17"/>
          <w:szCs w:val="17"/>
          <w:color w:val="auto"/>
        </w:rPr>
        <w:t>(age 54)</w:t>
      </w:r>
      <w:r>
        <w:rPr>
          <w:sz w:val="20"/>
          <w:szCs w:val="20"/>
          <w:color w:val="auto"/>
        </w:rPr>
        <w:tab/>
      </w:r>
      <w:r>
        <w:rPr>
          <w:rFonts w:ascii="Arial" w:cs="Arial" w:eastAsia="Arial" w:hAnsi="Arial"/>
          <w:sz w:val="17"/>
          <w:szCs w:val="17"/>
          <w:color w:val="FB4E0B"/>
        </w:rPr>
        <w:t>|</w:t>
      </w:r>
      <w:r>
        <w:rPr>
          <w:sz w:val="20"/>
          <w:szCs w:val="20"/>
          <w:color w:val="auto"/>
        </w:rPr>
        <w:tab/>
      </w:r>
      <w:r>
        <w:rPr>
          <w:rFonts w:ascii="Arial" w:cs="Arial" w:eastAsia="Arial" w:hAnsi="Arial"/>
          <w:sz w:val="15"/>
          <w:szCs w:val="15"/>
          <w:b w:val="1"/>
          <w:bCs w:val="1"/>
          <w:i w:val="1"/>
          <w:iCs w:val="1"/>
          <w:color w:val="auto"/>
        </w:rPr>
        <w:t>Executive Vice President and Business Head,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760095" cy="7600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11"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Ms. Mahon has served as our Executive Vice President and Business Head, Healthcare since May 2022, and previously</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served as our Executive Vice President and Chief Growth Officer (March 2020 to May 2022). Prior to joining us,</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Ms. Mahon served as Vice President, Data, Strategy &amp; Portfolio Officer at IBM Watson Health, a business unit focused</w:t>
      </w:r>
    </w:p>
    <w:p>
      <w:pPr>
        <w:spacing w:after="0" w:line="24"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on developing cognitive and data-driven technologies to advance health. Ms. Mahon joined IBM in 2016 through its</w:t>
      </w:r>
    </w:p>
    <w:p>
      <w:pPr>
        <w:spacing w:after="0" w:line="24"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acquisition of Truven Health Analytics, a healthcare information and analytics business, where she served as Chief</w:t>
      </w:r>
    </w:p>
    <w:p>
      <w:pPr>
        <w:spacing w:after="0" w:line="24"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Strategy Officer. Prior to Truven, she held other leadership roles that placed her at the intersection of strategy, technology</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and analytics.</w:t>
      </w:r>
    </w:p>
    <w:p>
      <w:pPr>
        <w:spacing w:after="0" w:line="320" w:lineRule="exact"/>
        <w:rPr>
          <w:sz w:val="20"/>
          <w:szCs w:val="20"/>
          <w:color w:val="auto"/>
        </w:rPr>
      </w:pPr>
    </w:p>
    <w:p>
      <w:pPr>
        <w:ind w:left="2440"/>
        <w:spacing w:after="0"/>
        <w:tabs>
          <w:tab w:leader="none" w:pos="4560" w:val="left"/>
          <w:tab w:leader="none" w:pos="4760" w:val="left"/>
        </w:tabs>
        <w:rPr>
          <w:sz w:val="20"/>
          <w:szCs w:val="20"/>
          <w:color w:val="auto"/>
        </w:rPr>
      </w:pPr>
      <w:r>
        <w:rPr>
          <w:rFonts w:ascii="Arial" w:cs="Arial" w:eastAsia="Arial" w:hAnsi="Arial"/>
          <w:sz w:val="17"/>
          <w:szCs w:val="17"/>
          <w:b w:val="1"/>
          <w:bCs w:val="1"/>
          <w:color w:val="auto"/>
        </w:rPr>
        <w:t xml:space="preserve">Maurizio Nicolelli </w:t>
      </w:r>
      <w:r>
        <w:rPr>
          <w:rFonts w:ascii="Arial" w:cs="Arial" w:eastAsia="Arial" w:hAnsi="Arial"/>
          <w:sz w:val="17"/>
          <w:szCs w:val="17"/>
          <w:color w:val="auto"/>
        </w:rPr>
        <w:t>(age 54)</w:t>
      </w:r>
      <w:r>
        <w:rPr>
          <w:sz w:val="20"/>
          <w:szCs w:val="20"/>
          <w:color w:val="auto"/>
        </w:rPr>
        <w:tab/>
      </w:r>
      <w:r>
        <w:rPr>
          <w:rFonts w:ascii="Arial" w:cs="Arial" w:eastAsia="Arial" w:hAnsi="Arial"/>
          <w:sz w:val="17"/>
          <w:szCs w:val="17"/>
          <w:color w:val="FB4E0B"/>
        </w:rPr>
        <w:t>|</w:t>
      </w:r>
      <w:r>
        <w:rPr>
          <w:sz w:val="20"/>
          <w:szCs w:val="20"/>
          <w:color w:val="auto"/>
        </w:rPr>
        <w:tab/>
      </w:r>
      <w:r>
        <w:rPr>
          <w:rFonts w:ascii="Arial" w:cs="Arial" w:eastAsia="Arial" w:hAnsi="Arial"/>
          <w:sz w:val="15"/>
          <w:szCs w:val="15"/>
          <w:b w:val="1"/>
          <w:bCs w:val="1"/>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760095" cy="7600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11" w:lineRule="exact"/>
        <w:rPr>
          <w:sz w:val="20"/>
          <w:szCs w:val="20"/>
          <w:color w:val="auto"/>
        </w:rPr>
      </w:pPr>
    </w:p>
    <w:p>
      <w:pPr>
        <w:ind w:left="2440"/>
        <w:spacing w:after="0" w:line="260" w:lineRule="auto"/>
        <w:rPr>
          <w:sz w:val="20"/>
          <w:szCs w:val="20"/>
          <w:color w:val="auto"/>
        </w:rPr>
      </w:pPr>
      <w:r>
        <w:rPr>
          <w:rFonts w:ascii="Arial" w:cs="Arial" w:eastAsia="Arial" w:hAnsi="Arial"/>
          <w:sz w:val="17"/>
          <w:szCs w:val="17"/>
          <w:color w:val="auto"/>
        </w:rPr>
        <w:t>Mr. Nicolelli has served as our Executive Vice President and Chief Financial Officer since February 2020. Prior to joining the Company, Mr. Nicolelli served as Senior Vice President and Chief Financial Officer of Casa Systems beginning in 2019. He previously served 23 years at FactSet Research Systems, where he was Senior Vice President, Principal and Chief Financial Officer from 2009 to 2018.</w:t>
      </w:r>
    </w:p>
    <w:p>
      <w:pPr>
        <w:spacing w:after="0" w:line="200" w:lineRule="exact"/>
        <w:rPr>
          <w:sz w:val="20"/>
          <w:szCs w:val="20"/>
          <w:color w:val="auto"/>
        </w:rPr>
      </w:pPr>
    </w:p>
    <w:p>
      <w:pPr>
        <w:spacing w:after="0" w:line="249" w:lineRule="exact"/>
        <w:rPr>
          <w:sz w:val="20"/>
          <w:szCs w:val="20"/>
          <w:color w:val="auto"/>
        </w:rPr>
      </w:pPr>
    </w:p>
    <w:p>
      <w:pPr>
        <w:ind w:left="2440"/>
        <w:spacing w:after="0"/>
        <w:tabs>
          <w:tab w:leader="none" w:pos="4000" w:val="left"/>
          <w:tab w:leader="none" w:pos="4220" w:val="left"/>
        </w:tabs>
        <w:rPr>
          <w:sz w:val="20"/>
          <w:szCs w:val="20"/>
          <w:color w:val="auto"/>
        </w:rPr>
      </w:pPr>
      <w:r>
        <w:rPr>
          <w:rFonts w:ascii="Arial" w:cs="Arial" w:eastAsia="Arial" w:hAnsi="Arial"/>
          <w:sz w:val="17"/>
          <w:szCs w:val="17"/>
          <w:b w:val="1"/>
          <w:bCs w:val="1"/>
          <w:color w:val="auto"/>
        </w:rPr>
        <w:t xml:space="preserve">Ankor Rai </w:t>
      </w:r>
      <w:r>
        <w:rPr>
          <w:rFonts w:ascii="Arial" w:cs="Arial" w:eastAsia="Arial" w:hAnsi="Arial"/>
          <w:sz w:val="17"/>
          <w:szCs w:val="17"/>
          <w:color w:val="auto"/>
        </w:rPr>
        <w:t>(age 47)</w:t>
      </w:r>
      <w:r>
        <w:rPr>
          <w:sz w:val="20"/>
          <w:szCs w:val="20"/>
          <w:color w:val="auto"/>
        </w:rPr>
        <w:tab/>
      </w:r>
      <w:r>
        <w:rPr>
          <w:rFonts w:ascii="Arial" w:cs="Arial" w:eastAsia="Arial" w:hAnsi="Arial"/>
          <w:sz w:val="17"/>
          <w:szCs w:val="17"/>
          <w:color w:val="FB4E0B"/>
        </w:rPr>
        <w:t>|</w:t>
      </w:r>
      <w:r>
        <w:rPr>
          <w:sz w:val="20"/>
          <w:szCs w:val="20"/>
          <w:color w:val="auto"/>
        </w:rPr>
        <w:tab/>
      </w:r>
      <w:r>
        <w:rPr>
          <w:rFonts w:ascii="Arial" w:cs="Arial" w:eastAsia="Arial" w:hAnsi="Arial"/>
          <w:sz w:val="15"/>
          <w:szCs w:val="15"/>
          <w:b w:val="1"/>
          <w:bCs w:val="1"/>
          <w:i w:val="1"/>
          <w:iCs w:val="1"/>
          <w:color w:val="auto"/>
        </w:rPr>
        <w:t>Executive Vice President and Chief Digital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760095" cy="7600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pacing w:after="0" w:line="11" w:lineRule="exact"/>
        <w:rPr>
          <w:sz w:val="20"/>
          <w:szCs w:val="20"/>
          <w:color w:val="auto"/>
        </w:rPr>
      </w:pPr>
    </w:p>
    <w:p>
      <w:pPr>
        <w:ind w:left="2440" w:right="160"/>
        <w:spacing w:after="0" w:line="287" w:lineRule="auto"/>
        <w:rPr>
          <w:sz w:val="20"/>
          <w:szCs w:val="20"/>
          <w:color w:val="auto"/>
        </w:rPr>
      </w:pPr>
      <w:r>
        <w:rPr>
          <w:rFonts w:ascii="Arial" w:cs="Arial" w:eastAsia="Arial" w:hAnsi="Arial"/>
          <w:sz w:val="16"/>
          <w:szCs w:val="16"/>
          <w:color w:val="auto"/>
        </w:rPr>
        <w:t>Mr. Rai has served as our Executive Vice President and Chief Digital Officer from October 2021 until his resignation in April 2023. He previously served in several leadership roles with us, including as the global co-head of our Analytics business. Mr. Rai was with EXL since 2006. Prior to joining us, Mr. Rai was a Partner at Inductis.</w:t>
      </w:r>
    </w:p>
    <w:p>
      <w:pPr>
        <w:spacing w:after="0" w:line="200" w:lineRule="exact"/>
        <w:rPr>
          <w:sz w:val="20"/>
          <w:szCs w:val="20"/>
          <w:color w:val="auto"/>
        </w:rPr>
      </w:pPr>
    </w:p>
    <w:p>
      <w:pPr>
        <w:spacing w:after="0" w:line="253"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Arial" w:cs="Arial" w:eastAsia="Arial" w:hAnsi="Arial"/>
                <w:sz w:val="14"/>
                <w:szCs w:val="14"/>
                <w:b w:val="1"/>
                <w:bCs w:val="1"/>
                <w:color w:val="D8D8D8"/>
              </w:rPr>
              <w:t>Executive compensation</w:t>
            </w:r>
          </w:p>
        </w:tc>
      </w:tr>
      <w:tr>
        <w:trPr>
          <w:trHeight w:val="704"/>
        </w:trPr>
        <w:tc>
          <w:tcPr>
            <w:tcW w:w="6760" w:type="dxa"/>
            <w:vAlign w:val="bottom"/>
            <w:gridSpan w:val="29"/>
          </w:tcPr>
          <w:p>
            <w:pPr>
              <w:spacing w:after="0"/>
              <w:rPr>
                <w:sz w:val="20"/>
                <w:szCs w:val="20"/>
                <w:color w:val="auto"/>
              </w:rPr>
            </w:pPr>
            <w:r>
              <w:rPr>
                <w:rFonts w:ascii="Arial" w:cs="Arial" w:eastAsia="Arial" w:hAnsi="Arial"/>
                <w:sz w:val="31"/>
                <w:szCs w:val="31"/>
                <w:color w:val="FB4E0B"/>
              </w:rPr>
              <w:t>Executive compensation</w:t>
            </w:r>
          </w:p>
        </w:tc>
        <w:tc>
          <w:tcPr>
            <w:tcW w:w="3860" w:type="dxa"/>
            <w:vAlign w:val="bottom"/>
          </w:tcPr>
          <w:p>
            <w:pPr>
              <w:spacing w:after="0"/>
              <w:rPr>
                <w:sz w:val="24"/>
                <w:szCs w:val="24"/>
                <w:color w:val="auto"/>
              </w:rPr>
            </w:pPr>
          </w:p>
        </w:tc>
      </w:tr>
      <w:tr>
        <w:trPr>
          <w:trHeight w:val="693"/>
        </w:trPr>
        <w:tc>
          <w:tcPr>
            <w:tcW w:w="6760" w:type="dxa"/>
            <w:vAlign w:val="bottom"/>
            <w:gridSpan w:val="29"/>
          </w:tcPr>
          <w:p>
            <w:pPr>
              <w:spacing w:after="0"/>
              <w:rPr>
                <w:sz w:val="20"/>
                <w:szCs w:val="20"/>
                <w:color w:val="auto"/>
              </w:rPr>
            </w:pPr>
            <w:r>
              <w:rPr>
                <w:rFonts w:ascii="Arial" w:cs="Arial" w:eastAsia="Arial" w:hAnsi="Arial"/>
                <w:sz w:val="24"/>
                <w:szCs w:val="24"/>
                <w:color w:val="auto"/>
              </w:rPr>
              <w:t>Compensation Discussion and Analysis</w:t>
            </w:r>
          </w:p>
        </w:tc>
        <w:tc>
          <w:tcPr>
            <w:tcW w:w="3860" w:type="dxa"/>
            <w:vAlign w:val="bottom"/>
          </w:tcPr>
          <w:p>
            <w:pPr>
              <w:spacing w:after="0"/>
              <w:rPr>
                <w:sz w:val="24"/>
                <w:szCs w:val="24"/>
                <w:color w:val="auto"/>
              </w:rPr>
            </w:pPr>
          </w:p>
        </w:tc>
      </w:tr>
      <w:tr>
        <w:trPr>
          <w:trHeight w:val="530"/>
        </w:trPr>
        <w:tc>
          <w:tcPr>
            <w:tcW w:w="6760" w:type="dxa"/>
            <w:vAlign w:val="bottom"/>
            <w:gridSpan w:val="29"/>
          </w:tcPr>
          <w:p>
            <w:pPr>
              <w:spacing w:after="0"/>
              <w:rPr>
                <w:sz w:val="20"/>
                <w:szCs w:val="20"/>
                <w:color w:val="auto"/>
              </w:rPr>
            </w:pPr>
            <w:r>
              <w:rPr>
                <w:rFonts w:ascii="Arial" w:cs="Arial" w:eastAsia="Arial" w:hAnsi="Arial"/>
                <w:sz w:val="19"/>
                <w:szCs w:val="19"/>
                <w:b w:val="1"/>
                <w:bCs w:val="1"/>
                <w:color w:val="FB4E0B"/>
              </w:rPr>
              <w:t>Table of Contents</w:t>
            </w:r>
          </w:p>
        </w:tc>
        <w:tc>
          <w:tcPr>
            <w:tcW w:w="3860" w:type="dxa"/>
            <w:vAlign w:val="bottom"/>
          </w:tcPr>
          <w:p>
            <w:pPr>
              <w:spacing w:after="0"/>
              <w:rPr>
                <w:sz w:val="24"/>
                <w:szCs w:val="24"/>
                <w:color w:val="auto"/>
              </w:rPr>
            </w:pPr>
          </w:p>
        </w:tc>
      </w:tr>
      <w:tr>
        <w:trPr>
          <w:trHeight w:val="386"/>
        </w:trPr>
        <w:tc>
          <w:tcPr>
            <w:tcW w:w="168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b w:val="1"/>
                <w:bCs w:val="1"/>
                <w:color w:val="0000EE"/>
                <w:w w:val="86"/>
              </w:rPr>
              <w:t>Named executive officers</w:t>
            </w:r>
          </w:p>
        </w:tc>
        <w:tc>
          <w:tcPr>
            <w:tcW w:w="5080" w:type="dxa"/>
            <w:vAlign w:val="bottom"/>
            <w:gridSpan w:val="17"/>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279"/>
        </w:trPr>
        <w:tc>
          <w:tcPr>
            <w:tcW w:w="13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86"/>
              </w:rPr>
              <w:t>Executive summary</w:t>
            </w:r>
          </w:p>
        </w:tc>
        <w:tc>
          <w:tcPr>
            <w:tcW w:w="5440" w:type="dxa"/>
            <w:vAlign w:val="bottom"/>
            <w:gridSpan w:val="23"/>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Select 2022 financial and business highlights</w:t>
            </w:r>
          </w:p>
        </w:tc>
        <w:tc>
          <w:tcPr>
            <w:tcW w:w="38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9"/>
        </w:trPr>
        <w:tc>
          <w:tcPr>
            <w:tcW w:w="160" w:type="dxa"/>
            <w:vAlign w:val="bottom"/>
          </w:tcPr>
          <w:p>
            <w:pPr>
              <w:spacing w:after="0"/>
              <w:rPr>
                <w:sz w:val="24"/>
                <w:szCs w:val="24"/>
                <w:color w:val="auto"/>
              </w:rPr>
            </w:pPr>
          </w:p>
        </w:tc>
        <w:tc>
          <w:tcPr>
            <w:tcW w:w="15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6"/>
                <w:szCs w:val="16"/>
                <w:color w:val="0000EE"/>
                <w:w w:val="89"/>
              </w:rPr>
              <w:t>Total stockholder return</w:t>
            </w:r>
          </w:p>
        </w:tc>
        <w:tc>
          <w:tcPr>
            <w:tcW w:w="1300" w:type="dxa"/>
            <w:vAlign w:val="bottom"/>
            <w:tcBorders>
              <w:top w:val="single" w:sz="8" w:color="0000EE"/>
            </w:tcBorders>
            <w:gridSpan w:val="6"/>
          </w:tcPr>
          <w:p>
            <w:pPr>
              <w:spacing w:after="0"/>
              <w:rPr>
                <w:sz w:val="24"/>
                <w:szCs w:val="24"/>
                <w:color w:val="auto"/>
              </w:rPr>
            </w:pPr>
          </w:p>
        </w:tc>
        <w:tc>
          <w:tcPr>
            <w:tcW w:w="3780" w:type="dxa"/>
            <w:vAlign w:val="bottom"/>
            <w:gridSpan w:val="11"/>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Awards and industry recognition</w:t>
            </w:r>
          </w:p>
        </w:tc>
        <w:tc>
          <w:tcPr>
            <w:tcW w:w="38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9"/>
        </w:trPr>
        <w:tc>
          <w:tcPr>
            <w:tcW w:w="160" w:type="dxa"/>
            <w:vAlign w:val="bottom"/>
          </w:tcPr>
          <w:p>
            <w:pPr>
              <w:spacing w:after="0"/>
              <w:rPr>
                <w:sz w:val="24"/>
                <w:szCs w:val="24"/>
                <w:color w:val="auto"/>
              </w:rPr>
            </w:pPr>
          </w:p>
        </w:tc>
        <w:tc>
          <w:tcPr>
            <w:tcW w:w="204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0000EE"/>
              </w:rPr>
              <w:t>Clients and operations</w:t>
            </w:r>
          </w:p>
        </w:tc>
        <w:tc>
          <w:tcPr>
            <w:tcW w:w="4560" w:type="dxa"/>
            <w:vAlign w:val="bottom"/>
            <w:gridSpan w:val="14"/>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Summary of key compensation considerations &amp; decisions in 2022</w:t>
            </w:r>
          </w:p>
        </w:tc>
        <w:tc>
          <w:tcPr>
            <w:tcW w:w="38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9"/>
        </w:trPr>
        <w:tc>
          <w:tcPr>
            <w:tcW w:w="16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color w:val="0000EE"/>
                <w:w w:val="88"/>
              </w:rPr>
              <w:t>Pay-for-performance</w:t>
            </w:r>
          </w:p>
        </w:tc>
        <w:tc>
          <w:tcPr>
            <w:tcW w:w="2860" w:type="dxa"/>
            <w:vAlign w:val="bottom"/>
            <w:tcBorders>
              <w:top w:val="single" w:sz="8" w:color="0000EE"/>
            </w:tcBorders>
            <w:gridSpan w:val="21"/>
          </w:tcPr>
          <w:p>
            <w:pPr>
              <w:spacing w:after="0"/>
              <w:rPr>
                <w:sz w:val="24"/>
                <w:szCs w:val="24"/>
                <w:color w:val="auto"/>
              </w:rPr>
            </w:pPr>
          </w:p>
        </w:tc>
        <w:tc>
          <w:tcPr>
            <w:tcW w:w="242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9"/>
        </w:trPr>
        <w:tc>
          <w:tcPr>
            <w:tcW w:w="374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b w:val="1"/>
                <w:bCs w:val="1"/>
                <w:color w:val="0000EE"/>
                <w:w w:val="85"/>
              </w:rPr>
              <w:t>Executive compensation program, practices and policies</w:t>
            </w:r>
          </w:p>
        </w:tc>
        <w:tc>
          <w:tcPr>
            <w:tcW w:w="3020" w:type="dxa"/>
            <w:vAlign w:val="bottom"/>
            <w:gridSpan w:val="3"/>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r>
        <w:trPr>
          <w:trHeight w:val="279"/>
        </w:trPr>
        <w:tc>
          <w:tcPr>
            <w:tcW w:w="346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b w:val="1"/>
                <w:bCs w:val="1"/>
                <w:color w:val="0000EE"/>
                <w:w w:val="85"/>
              </w:rPr>
              <w:t>Overview of compensation policies and philosophies</w:t>
            </w:r>
          </w:p>
        </w:tc>
        <w:tc>
          <w:tcPr>
            <w:tcW w:w="3300" w:type="dxa"/>
            <w:vAlign w:val="bottom"/>
            <w:gridSpan w:val="5"/>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279"/>
        </w:trPr>
        <w:tc>
          <w:tcPr>
            <w:tcW w:w="6760" w:type="dxa"/>
            <w:vAlign w:val="bottom"/>
            <w:gridSpan w:val="29"/>
          </w:tcPr>
          <w:p>
            <w:pPr>
              <w:spacing w:after="0"/>
              <w:rPr>
                <w:sz w:val="20"/>
                <w:szCs w:val="20"/>
                <w:color w:val="auto"/>
              </w:rPr>
            </w:pPr>
            <w:r>
              <w:rPr>
                <w:rFonts w:ascii="Arial" w:cs="Arial" w:eastAsia="Arial" w:hAnsi="Arial"/>
                <w:sz w:val="16"/>
                <w:szCs w:val="16"/>
                <w:b w:val="1"/>
                <w:bCs w:val="1"/>
                <w:color w:val="0000EE"/>
              </w:rPr>
              <w:t>Compensation process: roles and responsibilities</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72</w:t>
            </w:r>
          </w:p>
        </w:tc>
      </w:tr>
      <w:tr>
        <w:trPr>
          <w:trHeight w:val="279"/>
        </w:trPr>
        <w:tc>
          <w:tcPr>
            <w:tcW w:w="3220" w:type="dxa"/>
            <w:vAlign w:val="bottom"/>
            <w:tcBorders>
              <w:top w:val="single" w:sz="8" w:color="0000EE"/>
            </w:tcBorders>
            <w:gridSpan w:val="22"/>
          </w:tcPr>
          <w:p>
            <w:pPr>
              <w:spacing w:after="0"/>
              <w:rPr>
                <w:sz w:val="20"/>
                <w:szCs w:val="20"/>
                <w:color w:val="auto"/>
              </w:rPr>
            </w:pPr>
            <w:r>
              <w:rPr>
                <w:rFonts w:ascii="Arial" w:cs="Arial" w:eastAsia="Arial" w:hAnsi="Arial"/>
                <w:sz w:val="16"/>
                <w:szCs w:val="16"/>
                <w:b w:val="1"/>
                <w:bCs w:val="1"/>
                <w:color w:val="0000EE"/>
                <w:w w:val="85"/>
              </w:rPr>
              <w:t>Components of executive compensation for 2022</w:t>
            </w:r>
          </w:p>
        </w:tc>
        <w:tc>
          <w:tcPr>
            <w:tcW w:w="3540" w:type="dxa"/>
            <w:vAlign w:val="bottom"/>
            <w:gridSpan w:val="7"/>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74</w:t>
            </w:r>
          </w:p>
        </w:tc>
      </w:tr>
      <w:tr>
        <w:trPr>
          <w:trHeight w:val="279"/>
        </w:trPr>
        <w:tc>
          <w:tcPr>
            <w:tcW w:w="30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6"/>
                <w:szCs w:val="16"/>
                <w:b w:val="1"/>
                <w:bCs w:val="1"/>
                <w:color w:val="0000EE"/>
                <w:w w:val="85"/>
              </w:rPr>
              <w:t>Detailed review of compensation components</w:t>
            </w:r>
          </w:p>
        </w:tc>
        <w:tc>
          <w:tcPr>
            <w:tcW w:w="200" w:type="dxa"/>
            <w:vAlign w:val="bottom"/>
            <w:tcBorders>
              <w:top w:val="single" w:sz="8" w:color="0000EE"/>
            </w:tcBorders>
            <w:gridSpan w:val="2"/>
          </w:tcPr>
          <w:p>
            <w:pPr>
              <w:spacing w:after="0"/>
              <w:rPr>
                <w:sz w:val="24"/>
                <w:szCs w:val="24"/>
                <w:color w:val="auto"/>
              </w:rPr>
            </w:pPr>
          </w:p>
        </w:tc>
        <w:tc>
          <w:tcPr>
            <w:tcW w:w="3560" w:type="dxa"/>
            <w:vAlign w:val="bottom"/>
            <w:gridSpan w:val="8"/>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75</w:t>
            </w: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Base salary</w:t>
            </w:r>
          </w:p>
        </w:tc>
        <w:tc>
          <w:tcPr>
            <w:tcW w:w="3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Annual incentives</w:t>
            </w:r>
          </w:p>
        </w:tc>
        <w:tc>
          <w:tcPr>
            <w:tcW w:w="38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178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89"/>
              </w:rPr>
              <w:t>Long-term equity incentives</w:t>
            </w:r>
          </w:p>
        </w:tc>
        <w:tc>
          <w:tcPr>
            <w:tcW w:w="4820" w:type="dxa"/>
            <w:vAlign w:val="bottom"/>
            <w:gridSpan w:val="16"/>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9"/>
        </w:trPr>
        <w:tc>
          <w:tcPr>
            <w:tcW w:w="160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b w:val="1"/>
                <w:bCs w:val="1"/>
                <w:color w:val="0000EE"/>
                <w:w w:val="86"/>
              </w:rPr>
              <w:t>Fiscal year 2022 awards</w:t>
            </w:r>
          </w:p>
        </w:tc>
        <w:tc>
          <w:tcPr>
            <w:tcW w:w="5160" w:type="dxa"/>
            <w:vAlign w:val="bottom"/>
            <w:gridSpan w:val="19"/>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r>
        <w:trPr>
          <w:trHeight w:val="279"/>
        </w:trPr>
        <w:tc>
          <w:tcPr>
            <w:tcW w:w="306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b w:val="1"/>
                <w:bCs w:val="1"/>
                <w:color w:val="0000EE"/>
                <w:w w:val="87"/>
              </w:rPr>
              <w:t>Payout of awards granted in prior fiscal years</w:t>
            </w:r>
          </w:p>
        </w:tc>
        <w:tc>
          <w:tcPr>
            <w:tcW w:w="3700" w:type="dxa"/>
            <w:vAlign w:val="bottom"/>
            <w:gridSpan w:val="9"/>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279"/>
        </w:trPr>
        <w:tc>
          <w:tcPr>
            <w:tcW w:w="6760" w:type="dxa"/>
            <w:vAlign w:val="bottom"/>
            <w:gridSpan w:val="29"/>
          </w:tcPr>
          <w:p>
            <w:pPr>
              <w:spacing w:after="0"/>
              <w:rPr>
                <w:sz w:val="20"/>
                <w:szCs w:val="20"/>
                <w:color w:val="auto"/>
              </w:rPr>
            </w:pPr>
            <w:r>
              <w:rPr>
                <w:rFonts w:ascii="Arial" w:cs="Arial" w:eastAsia="Arial" w:hAnsi="Arial"/>
                <w:sz w:val="16"/>
                <w:szCs w:val="16"/>
                <w:b w:val="1"/>
                <w:bCs w:val="1"/>
                <w:color w:val="0000EE"/>
              </w:rPr>
              <w:t>Benefits and perquisites</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79"/>
        </w:trPr>
        <w:tc>
          <w:tcPr>
            <w:tcW w:w="6760" w:type="dxa"/>
            <w:vAlign w:val="bottom"/>
            <w:gridSpan w:val="29"/>
          </w:tcPr>
          <w:p>
            <w:pPr>
              <w:spacing w:after="0"/>
              <w:rPr>
                <w:sz w:val="20"/>
                <w:szCs w:val="20"/>
                <w:color w:val="auto"/>
              </w:rPr>
            </w:pPr>
            <w:r>
              <w:rPr>
                <w:rFonts w:ascii="Arial" w:cs="Arial" w:eastAsia="Arial" w:hAnsi="Arial"/>
                <w:sz w:val="16"/>
                <w:szCs w:val="16"/>
                <w:b w:val="1"/>
                <w:bCs w:val="1"/>
                <w:color w:val="0000EE"/>
              </w:rPr>
              <w:t>Risk and compensation policies</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79"/>
        </w:trPr>
        <w:tc>
          <w:tcPr>
            <w:tcW w:w="274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b w:val="1"/>
                <w:bCs w:val="1"/>
                <w:color w:val="0000EE"/>
                <w:w w:val="85"/>
              </w:rPr>
              <w:t>Severance and change-in-control benefits</w:t>
            </w:r>
          </w:p>
        </w:tc>
        <w:tc>
          <w:tcPr>
            <w:tcW w:w="4020" w:type="dxa"/>
            <w:vAlign w:val="bottom"/>
            <w:gridSpan w:val="13"/>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279"/>
        </w:trPr>
        <w:tc>
          <w:tcPr>
            <w:tcW w:w="29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b w:val="1"/>
                <w:bCs w:val="1"/>
                <w:color w:val="0000EE"/>
                <w:w w:val="85"/>
              </w:rPr>
              <w:t>Deductibility cap on executive compensation</w:t>
            </w:r>
          </w:p>
        </w:tc>
        <w:tc>
          <w:tcPr>
            <w:tcW w:w="3800" w:type="dxa"/>
            <w:vAlign w:val="bottom"/>
            <w:gridSpan w:val="12"/>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85</w:t>
            </w:r>
          </w:p>
        </w:tc>
      </w:tr>
      <w:tr>
        <w:trPr>
          <w:trHeight w:val="279"/>
        </w:trPr>
        <w:tc>
          <w:tcPr>
            <w:tcW w:w="6760" w:type="dxa"/>
            <w:vAlign w:val="bottom"/>
            <w:gridSpan w:val="29"/>
          </w:tcPr>
          <w:p>
            <w:pPr>
              <w:spacing w:after="0"/>
              <w:rPr>
                <w:sz w:val="20"/>
                <w:szCs w:val="20"/>
                <w:color w:val="auto"/>
              </w:rPr>
            </w:pPr>
            <w:r>
              <w:rPr>
                <w:rFonts w:ascii="Arial" w:cs="Arial" w:eastAsia="Arial" w:hAnsi="Arial"/>
                <w:sz w:val="16"/>
                <w:szCs w:val="16"/>
                <w:b w:val="1"/>
                <w:bCs w:val="1"/>
                <w:color w:val="0000EE"/>
              </w:rPr>
              <w:t>Compensation and Talent Management Committee Report</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86</w:t>
            </w:r>
          </w:p>
        </w:tc>
      </w:tr>
      <w:tr>
        <w:trPr>
          <w:trHeight w:val="279"/>
        </w:trPr>
        <w:tc>
          <w:tcPr>
            <w:tcW w:w="3300" w:type="dxa"/>
            <w:vAlign w:val="bottom"/>
            <w:tcBorders>
              <w:top w:val="single" w:sz="8" w:color="0000EE"/>
              <w:bottom w:val="single" w:sz="8" w:color="0000EE"/>
            </w:tcBorders>
            <w:gridSpan w:val="23"/>
          </w:tcPr>
          <w:p>
            <w:pPr>
              <w:spacing w:after="0"/>
              <w:rPr>
                <w:sz w:val="20"/>
                <w:szCs w:val="20"/>
                <w:color w:val="auto"/>
              </w:rPr>
            </w:pPr>
            <w:r>
              <w:rPr>
                <w:rFonts w:ascii="Arial" w:cs="Arial" w:eastAsia="Arial" w:hAnsi="Arial"/>
                <w:sz w:val="16"/>
                <w:szCs w:val="16"/>
                <w:b w:val="1"/>
                <w:bCs w:val="1"/>
                <w:color w:val="0000EE"/>
                <w:w w:val="87"/>
              </w:rPr>
              <w:t>Summary compensation table for fiscal year 2022</w:t>
            </w:r>
          </w:p>
        </w:tc>
        <w:tc>
          <w:tcPr>
            <w:tcW w:w="600" w:type="dxa"/>
            <w:vAlign w:val="bottom"/>
            <w:tcBorders>
              <w:top w:val="single" w:sz="8" w:color="0000EE"/>
            </w:tcBorders>
            <w:gridSpan w:val="4"/>
          </w:tcPr>
          <w:p>
            <w:pPr>
              <w:spacing w:after="0"/>
              <w:rPr>
                <w:sz w:val="24"/>
                <w:szCs w:val="24"/>
                <w:color w:val="auto"/>
              </w:rPr>
            </w:pPr>
          </w:p>
        </w:tc>
        <w:tc>
          <w:tcPr>
            <w:tcW w:w="2860" w:type="dxa"/>
            <w:vAlign w:val="bottom"/>
            <w:gridSpan w:val="2"/>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279"/>
        </w:trPr>
        <w:tc>
          <w:tcPr>
            <w:tcW w:w="6760" w:type="dxa"/>
            <w:vAlign w:val="bottom"/>
            <w:gridSpan w:val="29"/>
          </w:tcPr>
          <w:p>
            <w:pPr>
              <w:spacing w:after="0"/>
              <w:rPr>
                <w:sz w:val="20"/>
                <w:szCs w:val="20"/>
                <w:color w:val="auto"/>
              </w:rPr>
            </w:pPr>
            <w:r>
              <w:rPr>
                <w:rFonts w:ascii="Arial" w:cs="Arial" w:eastAsia="Arial" w:hAnsi="Arial"/>
                <w:sz w:val="16"/>
                <w:szCs w:val="16"/>
                <w:b w:val="1"/>
                <w:bCs w:val="1"/>
                <w:color w:val="0000EE"/>
              </w:rPr>
              <w:t>Grants of plan-based awards table for fiscal year 2022</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r>
        <w:trPr>
          <w:trHeight w:val="279"/>
        </w:trPr>
        <w:tc>
          <w:tcPr>
            <w:tcW w:w="166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6"/>
                <w:szCs w:val="16"/>
                <w:b w:val="1"/>
                <w:bCs w:val="1"/>
                <w:color w:val="0000EE"/>
                <w:w w:val="86"/>
              </w:rPr>
              <w:t>Employment agreements</w:t>
            </w:r>
          </w:p>
        </w:tc>
        <w:tc>
          <w:tcPr>
            <w:tcW w:w="1940" w:type="dxa"/>
            <w:vAlign w:val="bottom"/>
            <w:tcBorders>
              <w:top w:val="single" w:sz="8" w:color="0000EE"/>
            </w:tcBorders>
            <w:gridSpan w:val="14"/>
          </w:tcPr>
          <w:p>
            <w:pPr>
              <w:spacing w:after="0"/>
              <w:rPr>
                <w:sz w:val="24"/>
                <w:szCs w:val="24"/>
                <w:color w:val="auto"/>
              </w:rPr>
            </w:pPr>
          </w:p>
        </w:tc>
        <w:tc>
          <w:tcPr>
            <w:tcW w:w="3160" w:type="dxa"/>
            <w:vAlign w:val="bottom"/>
            <w:gridSpan w:val="4"/>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90</w:t>
            </w: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Rohit Kapoor</w:t>
            </w:r>
          </w:p>
        </w:tc>
        <w:tc>
          <w:tcPr>
            <w:tcW w:w="38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40" w:type="dxa"/>
            <w:vAlign w:val="bottom"/>
            <w:gridSpan w:val="23"/>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Maurizio Nicolelli</w:t>
            </w:r>
          </w:p>
        </w:tc>
        <w:tc>
          <w:tcPr>
            <w:tcW w:w="38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79"/>
        </w:trPr>
        <w:tc>
          <w:tcPr>
            <w:tcW w:w="160" w:type="dxa"/>
            <w:vAlign w:val="bottom"/>
          </w:tcPr>
          <w:p>
            <w:pPr>
              <w:spacing w:after="0"/>
              <w:rPr>
                <w:sz w:val="24"/>
                <w:szCs w:val="24"/>
                <w:color w:val="auto"/>
              </w:rPr>
            </w:pPr>
          </w:p>
        </w:tc>
        <w:tc>
          <w:tcPr>
            <w:tcW w:w="8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3"/>
              </w:rPr>
              <w:t>Vikas Bhalla</w:t>
            </w:r>
          </w:p>
        </w:tc>
        <w:tc>
          <w:tcPr>
            <w:tcW w:w="300" w:type="dxa"/>
            <w:vAlign w:val="bottom"/>
            <w:tcBorders>
              <w:top w:val="single" w:sz="8" w:color="0000EE"/>
            </w:tcBorders>
            <w:gridSpan w:val="2"/>
          </w:tcPr>
          <w:p>
            <w:pPr>
              <w:spacing w:after="0"/>
              <w:rPr>
                <w:sz w:val="24"/>
                <w:szCs w:val="24"/>
                <w:color w:val="auto"/>
              </w:rPr>
            </w:pPr>
          </w:p>
        </w:tc>
        <w:tc>
          <w:tcPr>
            <w:tcW w:w="5440" w:type="dxa"/>
            <w:vAlign w:val="bottom"/>
            <w:gridSpan w:val="23"/>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79"/>
        </w:trPr>
        <w:tc>
          <w:tcPr>
            <w:tcW w:w="160" w:type="dxa"/>
            <w:vAlign w:val="bottom"/>
          </w:tcPr>
          <w:p>
            <w:pPr>
              <w:spacing w:after="0"/>
              <w:rPr>
                <w:sz w:val="24"/>
                <w:szCs w:val="24"/>
                <w:color w:val="auto"/>
              </w:rPr>
            </w:pPr>
          </w:p>
        </w:tc>
        <w:tc>
          <w:tcPr>
            <w:tcW w:w="6600" w:type="dxa"/>
            <w:vAlign w:val="bottom"/>
            <w:gridSpan w:val="28"/>
          </w:tcPr>
          <w:p>
            <w:pPr>
              <w:spacing w:after="0"/>
              <w:rPr>
                <w:sz w:val="20"/>
                <w:szCs w:val="20"/>
                <w:color w:val="auto"/>
              </w:rPr>
            </w:pPr>
            <w:r>
              <w:rPr>
                <w:rFonts w:ascii="Arial" w:cs="Arial" w:eastAsia="Arial" w:hAnsi="Arial"/>
                <w:sz w:val="16"/>
                <w:szCs w:val="16"/>
                <w:color w:val="0000EE"/>
              </w:rPr>
              <w:t>Vivek Jetley</w:t>
            </w:r>
          </w:p>
        </w:tc>
        <w:tc>
          <w:tcPr>
            <w:tcW w:w="3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9"/>
        </w:trPr>
        <w:tc>
          <w:tcPr>
            <w:tcW w:w="160" w:type="dxa"/>
            <w:vAlign w:val="bottom"/>
          </w:tcPr>
          <w:p>
            <w:pPr>
              <w:spacing w:after="0"/>
              <w:rPr>
                <w:sz w:val="24"/>
                <w:szCs w:val="24"/>
                <w:color w:val="auto"/>
              </w:rPr>
            </w:pPr>
          </w:p>
        </w:tc>
        <w:tc>
          <w:tcPr>
            <w:tcW w:w="7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rPr>
              <w:t>Ankor Rai</w:t>
            </w:r>
          </w:p>
        </w:tc>
        <w:tc>
          <w:tcPr>
            <w:tcW w:w="5820" w:type="dxa"/>
            <w:vAlign w:val="bottom"/>
            <w:gridSpan w:val="26"/>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73" w:right="639" w:bottom="1440" w:gutter="0" w:footer="0" w:header="0"/>
        </w:sectPr>
      </w:pPr>
    </w:p>
    <w:p>
      <w:pPr>
        <w:spacing w:after="0" w:line="80"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63</w:t>
      </w:r>
    </w:p>
    <w:p>
      <w:pPr>
        <w:sectPr>
          <w:pgSz w:w="11900" w:h="16838" w:orient="portrait"/>
          <w:cols w:equalWidth="0" w:num="1">
            <w:col w:w="10940"/>
          </w:cols>
          <w:pgMar w:left="320" w:top="473" w:right="6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200" w:lineRule="exact"/>
        <w:rPr>
          <w:sz w:val="20"/>
          <w:szCs w:val="20"/>
          <w:color w:val="auto"/>
        </w:rPr>
      </w:pP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34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b w:val="1"/>
                <w:bCs w:val="1"/>
                <w:color w:val="0000EE"/>
                <w:w w:val="87"/>
              </w:rPr>
              <w:t>Outstanding equity awards at fiscal 2022 year-end</w:t>
            </w:r>
          </w:p>
        </w:tc>
        <w:tc>
          <w:tcPr>
            <w:tcW w:w="4520" w:type="dxa"/>
            <w:vAlign w:val="bottom"/>
            <w:gridSpan w:val="3"/>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93</w:t>
            </w:r>
          </w:p>
        </w:tc>
      </w:tr>
      <w:tr>
        <w:trPr>
          <w:trHeight w:val="279"/>
        </w:trPr>
        <w:tc>
          <w:tcPr>
            <w:tcW w:w="7860" w:type="dxa"/>
            <w:vAlign w:val="bottom"/>
            <w:gridSpan w:val="13"/>
          </w:tcPr>
          <w:p>
            <w:pPr>
              <w:spacing w:after="0"/>
              <w:rPr>
                <w:sz w:val="20"/>
                <w:szCs w:val="20"/>
                <w:color w:val="auto"/>
              </w:rPr>
            </w:pPr>
            <w:r>
              <w:rPr>
                <w:rFonts w:ascii="Arial" w:cs="Arial" w:eastAsia="Arial" w:hAnsi="Arial"/>
                <w:sz w:val="16"/>
                <w:szCs w:val="16"/>
                <w:b w:val="1"/>
                <w:bCs w:val="1"/>
                <w:color w:val="0000EE"/>
              </w:rPr>
              <w:t>Option exercises and stock vested during fiscal year 2022</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94</w:t>
            </w:r>
          </w:p>
        </w:tc>
      </w:tr>
      <w:tr>
        <w:trPr>
          <w:trHeight w:val="279"/>
        </w:trPr>
        <w:tc>
          <w:tcPr>
            <w:tcW w:w="3780" w:type="dxa"/>
            <w:vAlign w:val="bottom"/>
            <w:tcBorders>
              <w:top w:val="single" w:sz="8" w:color="0000EE"/>
            </w:tcBorders>
            <w:gridSpan w:val="11"/>
          </w:tcPr>
          <w:p>
            <w:pPr>
              <w:spacing w:after="0"/>
              <w:rPr>
                <w:sz w:val="20"/>
                <w:szCs w:val="20"/>
                <w:color w:val="auto"/>
              </w:rPr>
            </w:pPr>
            <w:r>
              <w:rPr>
                <w:rFonts w:ascii="Arial" w:cs="Arial" w:eastAsia="Arial" w:hAnsi="Arial"/>
                <w:sz w:val="16"/>
                <w:szCs w:val="16"/>
                <w:b w:val="1"/>
                <w:bCs w:val="1"/>
                <w:color w:val="0000EE"/>
              </w:rPr>
              <w:t>Pension benefits for fiscal year 2022</w:t>
            </w:r>
          </w:p>
        </w:tc>
        <w:tc>
          <w:tcPr>
            <w:tcW w:w="4080" w:type="dxa"/>
            <w:vAlign w:val="bottom"/>
            <w:gridSpan w:val="2"/>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79"/>
        </w:trPr>
        <w:tc>
          <w:tcPr>
            <w:tcW w:w="7860" w:type="dxa"/>
            <w:vAlign w:val="bottom"/>
            <w:gridSpan w:val="13"/>
          </w:tcPr>
          <w:p>
            <w:pPr>
              <w:spacing w:after="0"/>
              <w:rPr>
                <w:sz w:val="20"/>
                <w:szCs w:val="20"/>
                <w:color w:val="auto"/>
              </w:rPr>
            </w:pPr>
            <w:r>
              <w:rPr>
                <w:rFonts w:ascii="Arial" w:cs="Arial" w:eastAsia="Arial" w:hAnsi="Arial"/>
                <w:sz w:val="16"/>
                <w:szCs w:val="16"/>
                <w:b w:val="1"/>
                <w:bCs w:val="1"/>
                <w:color w:val="0000EE"/>
              </w:rPr>
              <w:t>Potential payments upon termination or change in control at fiscal 2022 year-end</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r>
        <w:trPr>
          <w:trHeight w:val="279"/>
        </w:trPr>
        <w:tc>
          <w:tcPr>
            <w:tcW w:w="5380" w:type="dxa"/>
            <w:vAlign w:val="bottom"/>
            <w:tcBorders>
              <w:top w:val="single" w:sz="8" w:color="0000EE"/>
            </w:tcBorders>
            <w:gridSpan w:val="12"/>
          </w:tcPr>
          <w:p>
            <w:pPr>
              <w:spacing w:after="0"/>
              <w:rPr>
                <w:sz w:val="20"/>
                <w:szCs w:val="20"/>
                <w:color w:val="auto"/>
              </w:rPr>
            </w:pPr>
            <w:r>
              <w:rPr>
                <w:rFonts w:ascii="Arial" w:cs="Arial" w:eastAsia="Arial" w:hAnsi="Arial"/>
                <w:sz w:val="16"/>
                <w:szCs w:val="16"/>
                <w:b w:val="1"/>
                <w:bCs w:val="1"/>
                <w:color w:val="0000EE"/>
              </w:rPr>
              <w:t>Indicative payouts for Rohit Kapoor</w:t>
            </w:r>
          </w:p>
        </w:tc>
        <w:tc>
          <w:tcPr>
            <w:tcW w:w="24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98</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79"/>
        </w:trPr>
        <w:tc>
          <w:tcPr>
            <w:tcW w:w="7860" w:type="dxa"/>
            <w:vAlign w:val="bottom"/>
            <w:gridSpan w:val="13"/>
          </w:tcPr>
          <w:p>
            <w:pPr>
              <w:spacing w:after="0"/>
              <w:rPr>
                <w:sz w:val="20"/>
                <w:szCs w:val="20"/>
                <w:color w:val="auto"/>
              </w:rPr>
            </w:pPr>
            <w:r>
              <w:rPr>
                <w:rFonts w:ascii="Arial" w:cs="Arial" w:eastAsia="Arial" w:hAnsi="Arial"/>
                <w:sz w:val="16"/>
                <w:szCs w:val="16"/>
                <w:b w:val="1"/>
                <w:bCs w:val="1"/>
                <w:color w:val="0000EE"/>
              </w:rPr>
              <w:t>Indicative payouts for Maurizio Nicolelli</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r>
      <w:tr>
        <w:trPr>
          <w:trHeight w:val="279"/>
        </w:trPr>
        <w:tc>
          <w:tcPr>
            <w:tcW w:w="2700" w:type="dxa"/>
            <w:vAlign w:val="bottom"/>
            <w:tcBorders>
              <w:top w:val="single" w:sz="8" w:color="0000EE"/>
            </w:tcBorders>
            <w:gridSpan w:val="8"/>
          </w:tcPr>
          <w:p>
            <w:pPr>
              <w:spacing w:after="0"/>
              <w:rPr>
                <w:sz w:val="20"/>
                <w:szCs w:val="20"/>
                <w:color w:val="auto"/>
              </w:rPr>
            </w:pPr>
            <w:r>
              <w:rPr>
                <w:rFonts w:ascii="Arial" w:cs="Arial" w:eastAsia="Arial" w:hAnsi="Arial"/>
                <w:sz w:val="16"/>
                <w:szCs w:val="16"/>
                <w:b w:val="1"/>
                <w:bCs w:val="1"/>
                <w:color w:val="0000EE"/>
              </w:rPr>
              <w:t>Indicative payouts for Vikas Bhalla</w:t>
            </w:r>
          </w:p>
        </w:tc>
        <w:tc>
          <w:tcPr>
            <w:tcW w:w="5160" w:type="dxa"/>
            <w:vAlign w:val="bottom"/>
            <w:gridSpan w:val="5"/>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101</w:t>
            </w:r>
          </w:p>
        </w:tc>
      </w:tr>
      <w:tr>
        <w:trPr>
          <w:trHeight w:val="279"/>
        </w:trPr>
        <w:tc>
          <w:tcPr>
            <w:tcW w:w="2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87"/>
              </w:rPr>
              <w:t>Indicative payouts for Vivek Jetley</w:t>
            </w:r>
          </w:p>
        </w:tc>
        <w:tc>
          <w:tcPr>
            <w:tcW w:w="60" w:type="dxa"/>
            <w:vAlign w:val="bottom"/>
            <w:tcBorders>
              <w:top w:val="single" w:sz="8" w:color="0000EE"/>
            </w:tcBorders>
          </w:tcPr>
          <w:p>
            <w:pPr>
              <w:spacing w:after="0"/>
              <w:rPr>
                <w:sz w:val="24"/>
                <w:szCs w:val="24"/>
                <w:color w:val="auto"/>
              </w:rPr>
            </w:pPr>
          </w:p>
        </w:tc>
        <w:tc>
          <w:tcPr>
            <w:tcW w:w="5480" w:type="dxa"/>
            <w:vAlign w:val="bottom"/>
            <w:gridSpan w:val="6"/>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101</w:t>
            </w:r>
          </w:p>
        </w:tc>
      </w:tr>
      <w:tr>
        <w:trPr>
          <w:trHeight w:val="279"/>
        </w:trPr>
        <w:tc>
          <w:tcPr>
            <w:tcW w:w="7860" w:type="dxa"/>
            <w:vAlign w:val="bottom"/>
            <w:gridSpan w:val="13"/>
          </w:tcPr>
          <w:p>
            <w:pPr>
              <w:spacing w:after="0"/>
              <w:rPr>
                <w:sz w:val="20"/>
                <w:szCs w:val="20"/>
                <w:color w:val="auto"/>
              </w:rPr>
            </w:pPr>
            <w:r>
              <w:rPr>
                <w:rFonts w:ascii="Arial" w:cs="Arial" w:eastAsia="Arial" w:hAnsi="Arial"/>
                <w:sz w:val="16"/>
                <w:szCs w:val="16"/>
                <w:b w:val="1"/>
                <w:bCs w:val="1"/>
                <w:color w:val="0000EE"/>
              </w:rPr>
              <w:t>Indicative payouts for Ankor Rai</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102</w:t>
            </w:r>
          </w:p>
        </w:tc>
      </w:tr>
      <w:tr>
        <w:trPr>
          <w:trHeight w:val="279"/>
        </w:trPr>
        <w:tc>
          <w:tcPr>
            <w:tcW w:w="2200" w:type="dxa"/>
            <w:vAlign w:val="bottom"/>
            <w:tcBorders>
              <w:top w:val="single" w:sz="8" w:color="0000EE"/>
            </w:tcBorders>
            <w:gridSpan w:val="5"/>
          </w:tcPr>
          <w:p>
            <w:pPr>
              <w:spacing w:after="0"/>
              <w:rPr>
                <w:sz w:val="20"/>
                <w:szCs w:val="20"/>
                <w:color w:val="auto"/>
              </w:rPr>
            </w:pPr>
            <w:r>
              <w:rPr>
                <w:rFonts w:ascii="Arial" w:cs="Arial" w:eastAsia="Arial" w:hAnsi="Arial"/>
                <w:sz w:val="16"/>
                <w:szCs w:val="16"/>
                <w:b w:val="1"/>
                <w:bCs w:val="1"/>
                <w:color w:val="0000EE"/>
              </w:rPr>
              <w:t>Certain defined terms</w:t>
            </w:r>
          </w:p>
        </w:tc>
        <w:tc>
          <w:tcPr>
            <w:tcW w:w="5660" w:type="dxa"/>
            <w:vAlign w:val="bottom"/>
            <w:gridSpan w:val="8"/>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102</w:t>
            </w:r>
          </w:p>
        </w:tc>
      </w:tr>
      <w:tr>
        <w:trPr>
          <w:trHeight w:val="279"/>
        </w:trPr>
        <w:tc>
          <w:tcPr>
            <w:tcW w:w="9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90"/>
              </w:rPr>
              <w:t>CEO pay ratio</w:t>
            </w:r>
          </w:p>
        </w:tc>
        <w:tc>
          <w:tcPr>
            <w:tcW w:w="480" w:type="dxa"/>
            <w:vAlign w:val="bottom"/>
            <w:tcBorders>
              <w:top w:val="single" w:sz="8" w:color="0000EE"/>
            </w:tcBorders>
          </w:tcPr>
          <w:p>
            <w:pPr>
              <w:spacing w:after="0"/>
              <w:rPr>
                <w:sz w:val="24"/>
                <w:szCs w:val="24"/>
                <w:color w:val="auto"/>
              </w:rPr>
            </w:pPr>
          </w:p>
        </w:tc>
        <w:tc>
          <w:tcPr>
            <w:tcW w:w="6400" w:type="dxa"/>
            <w:vAlign w:val="bottom"/>
            <w:gridSpan w:val="9"/>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104</w:t>
            </w:r>
          </w:p>
        </w:tc>
      </w:tr>
      <w:tr>
        <w:trPr>
          <w:trHeight w:val="279"/>
        </w:trPr>
        <w:tc>
          <w:tcPr>
            <w:tcW w:w="7860" w:type="dxa"/>
            <w:vAlign w:val="bottom"/>
            <w:gridSpan w:val="13"/>
          </w:tcPr>
          <w:p>
            <w:pPr>
              <w:spacing w:after="0"/>
              <w:rPr>
                <w:sz w:val="20"/>
                <w:szCs w:val="20"/>
                <w:color w:val="auto"/>
              </w:rPr>
            </w:pPr>
            <w:r>
              <w:rPr>
                <w:rFonts w:ascii="Arial" w:cs="Arial" w:eastAsia="Arial" w:hAnsi="Arial"/>
                <w:sz w:val="16"/>
                <w:szCs w:val="16"/>
                <w:b w:val="1"/>
                <w:bCs w:val="1"/>
                <w:color w:val="0000EE"/>
              </w:rPr>
              <w:t>Director compensation for fiscal year 2022</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109</w:t>
            </w:r>
          </w:p>
        </w:tc>
      </w:tr>
      <w:tr>
        <w:trPr>
          <w:trHeight w:val="491"/>
        </w:trPr>
        <w:tc>
          <w:tcPr>
            <w:tcW w:w="460" w:type="dxa"/>
            <w:vAlign w:val="bottom"/>
            <w:tcBorders>
              <w:top w:val="single" w:sz="8" w:color="0000EE"/>
            </w:tcBorders>
          </w:tcPr>
          <w:p>
            <w:pPr>
              <w:ind w:left="100"/>
              <w:spacing w:after="0"/>
              <w:rPr>
                <w:sz w:val="20"/>
                <w:szCs w:val="20"/>
                <w:color w:val="auto"/>
              </w:rPr>
            </w:pPr>
            <w:r>
              <w:rPr>
                <w:rFonts w:ascii="Arial" w:cs="Arial" w:eastAsia="Arial" w:hAnsi="Arial"/>
                <w:sz w:val="17"/>
                <w:szCs w:val="17"/>
                <w:b w:val="1"/>
                <w:bCs w:val="1"/>
                <w:color w:val="auto"/>
              </w:rPr>
              <w:t>64</w:t>
            </w:r>
          </w:p>
        </w:tc>
        <w:tc>
          <w:tcPr>
            <w:tcW w:w="380" w:type="dxa"/>
            <w:vAlign w:val="bottom"/>
            <w:tcBorders>
              <w:top w:val="single" w:sz="8" w:color="0000EE"/>
            </w:tcBorders>
          </w:tcPr>
          <w:p>
            <w:pPr>
              <w:jc w:val="right"/>
              <w:spacing w:after="0"/>
              <w:rPr>
                <w:sz w:val="20"/>
                <w:szCs w:val="20"/>
                <w:color w:val="auto"/>
              </w:rPr>
            </w:pPr>
            <w:r>
              <w:rPr>
                <w:rFonts w:ascii="Arial" w:cs="Arial" w:eastAsia="Arial" w:hAnsi="Arial"/>
                <w:sz w:val="28"/>
                <w:szCs w:val="28"/>
                <w:b w:val="1"/>
                <w:bCs w:val="1"/>
                <w:color w:val="FB4E0B"/>
              </w:rPr>
              <w:t>/</w:t>
            </w:r>
          </w:p>
        </w:tc>
        <w:tc>
          <w:tcPr>
            <w:tcW w:w="1980" w:type="dxa"/>
            <w:vAlign w:val="bottom"/>
            <w:tcBorders>
              <w:top w:val="single" w:sz="8" w:color="0000EE"/>
            </w:tcBorders>
            <w:gridSpan w:val="7"/>
          </w:tcPr>
          <w:p>
            <w:pPr>
              <w:ind w:left="140"/>
              <w:spacing w:after="0"/>
              <w:rPr>
                <w:sz w:val="20"/>
                <w:szCs w:val="20"/>
                <w:color w:val="auto"/>
              </w:rPr>
            </w:pPr>
            <w:r>
              <w:rPr>
                <w:rFonts w:ascii="Arial" w:cs="Arial" w:eastAsia="Arial" w:hAnsi="Arial"/>
                <w:sz w:val="13"/>
                <w:szCs w:val="13"/>
                <w:color w:val="auto"/>
              </w:rPr>
              <w:t>EXL 2023 Proxy Statement</w:t>
            </w:r>
          </w:p>
        </w:tc>
        <w:tc>
          <w:tcPr>
            <w:tcW w:w="504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0880"/>
          </w:cols>
          <w:pgMar w:left="320" w:top="473" w:right="69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Named Executive Officers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determined in accordance with SEC rules, our named executive officers (“NEOs”) for 2022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164465</wp:posOffset>
            </wp:positionV>
            <wp:extent cx="528955" cy="528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Rohit Kapoor, </w:t>
      </w:r>
      <w:r>
        <w:rPr>
          <w:rFonts w:ascii="Arial" w:cs="Arial" w:eastAsia="Arial" w:hAnsi="Arial"/>
          <w:sz w:val="17"/>
          <w:szCs w:val="17"/>
          <w:color w:val="auto"/>
        </w:rPr>
        <w:t>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283845</wp:posOffset>
            </wp:positionV>
            <wp:extent cx="528955" cy="528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Maurizio Nicolelli, </w:t>
      </w:r>
      <w:r>
        <w:rPr>
          <w:rFonts w:ascii="Arial" w:cs="Arial" w:eastAsia="Arial" w:hAnsi="Arial"/>
          <w:sz w:val="17"/>
          <w:szCs w:val="17"/>
          <w:color w:val="auto"/>
        </w:rPr>
        <w:t>our Executive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283845</wp:posOffset>
            </wp:positionV>
            <wp:extent cx="528955" cy="528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Vikas Bhalla, </w:t>
      </w:r>
      <w:r>
        <w:rPr>
          <w:rFonts w:ascii="Arial" w:cs="Arial" w:eastAsia="Arial" w:hAnsi="Arial"/>
          <w:sz w:val="17"/>
          <w:szCs w:val="17"/>
          <w:color w:val="auto"/>
        </w:rPr>
        <w:t>our Executive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283845</wp:posOffset>
            </wp:positionV>
            <wp:extent cx="528955" cy="528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Vivek Jetley</w:t>
      </w:r>
      <w:r>
        <w:rPr>
          <w:rFonts w:ascii="Arial" w:cs="Arial" w:eastAsia="Arial" w:hAnsi="Arial"/>
          <w:sz w:val="17"/>
          <w:szCs w:val="17"/>
          <w:color w:val="auto"/>
        </w:rPr>
        <w:t>, our Executive Vice President and Business Head,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283845</wp:posOffset>
            </wp:positionV>
            <wp:extent cx="528955" cy="5124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895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 xml:space="preserve">Ankor Rai, </w:t>
      </w:r>
      <w:r>
        <w:rPr>
          <w:rFonts w:ascii="Arial" w:cs="Arial" w:eastAsia="Arial" w:hAnsi="Arial"/>
          <w:sz w:val="17"/>
          <w:szCs w:val="17"/>
          <w:color w:val="auto"/>
        </w:rPr>
        <w:t>our Executive Vice President and Chief Digital Officer until April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24"/>
          <w:szCs w:val="24"/>
          <w:color w:val="auto"/>
        </w:rPr>
        <w:t>Executive summary</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Select 2022 financial and business highlights</w:t>
      </w:r>
    </w:p>
    <w:p>
      <w:pPr>
        <w:spacing w:after="0" w:line="130" w:lineRule="exact"/>
        <w:rPr>
          <w:sz w:val="20"/>
          <w:szCs w:val="20"/>
          <w:color w:val="auto"/>
        </w:rPr>
      </w:pPr>
    </w:p>
    <w:p>
      <w:pPr>
        <w:ind w:left="1140" w:right="60" w:hanging="407"/>
        <w:spacing w:after="0" w:line="286"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annual revenues increased 25.8% from $1.12 billion in fiscal year 2021 to $1.41 billion in fiscal year 2022. Analytics revenue increased 40.5% and digital operations and solutions revenue increased 15.6%.</w:t>
      </w:r>
    </w:p>
    <w:p>
      <w:pPr>
        <w:spacing w:after="0" w:line="67" w:lineRule="exact"/>
        <w:rPr>
          <w:rFonts w:ascii="Arial" w:cs="Arial" w:eastAsia="Arial" w:hAnsi="Arial"/>
          <w:sz w:val="17"/>
          <w:szCs w:val="17"/>
          <w:color w:val="auto"/>
        </w:rPr>
      </w:pPr>
    </w:p>
    <w:p>
      <w:pPr>
        <w:ind w:left="1140" w:hanging="407"/>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improved our net income attributable to stockholders by 24.6% from $114.8 million to $143.0 million.</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diluted EPS increased from $3.35 to $4.23, an increase of 26.1%.</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added approximately 8,000 employees to our global workforce, mainly in our delivery centers.</w:t>
      </w:r>
    </w:p>
    <w:p>
      <w:pPr>
        <w:spacing w:after="0" w:line="129" w:lineRule="exact"/>
        <w:rPr>
          <w:rFonts w:ascii="Arial" w:cs="Arial" w:eastAsia="Arial" w:hAnsi="Arial"/>
          <w:sz w:val="17"/>
          <w:szCs w:val="17"/>
          <w:color w:val="auto"/>
        </w:rPr>
      </w:pPr>
    </w:p>
    <w:p>
      <w:pPr>
        <w:ind w:left="1140" w:right="760" w:hanging="407"/>
        <w:spacing w:after="0" w:line="286"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2022, the Company returned capital to stockholders by repurchasing $68.5 million of shares. The Company’s board of directors authorized a $300 million common stock repurchase program beginning January 1, 2022.</w:t>
      </w:r>
    </w:p>
    <w:p>
      <w:pPr>
        <w:spacing w:after="0" w:line="21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65</w:t>
      </w:r>
    </w:p>
    <w:p>
      <w:pPr>
        <w:sectPr>
          <w:pgSz w:w="11900" w:h="16838" w:orient="portrait"/>
          <w:cols w:equalWidth="0" w:num="1">
            <w:col w:w="10940"/>
          </w:cols>
          <w:pgMar w:left="320" w:top="473" w:right="6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Total stockholder return</w:t>
      </w:r>
    </w:p>
    <w:p>
      <w:pPr>
        <w:spacing w:after="0" w:line="117"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The following graphs compare our 1-year, 3-year and 5-year cumulative total stockholder return (“TSR”) as of December 31, 2022, with the median TSR of companies comprising Nasdaq, S&amp;P 600 and our peer group. As shown in the table, our 1-Year, 3-Year and 5-Year TSR outperformed all of our market benchmarks.</w:t>
      </w:r>
    </w:p>
    <w:p>
      <w:pPr>
        <w:spacing w:after="0" w:line="193" w:lineRule="exact"/>
        <w:rPr>
          <w:sz w:val="20"/>
          <w:szCs w:val="20"/>
          <w:color w:val="auto"/>
        </w:rPr>
      </w:pPr>
    </w:p>
    <w:p>
      <w:pPr>
        <w:ind w:left="1740"/>
        <w:spacing w:after="0"/>
        <w:tabs>
          <w:tab w:leader="none" w:pos="5400" w:val="left"/>
          <w:tab w:leader="none" w:pos="8840" w:val="left"/>
        </w:tabs>
        <w:rPr>
          <w:sz w:val="20"/>
          <w:szCs w:val="20"/>
          <w:color w:val="auto"/>
        </w:rPr>
      </w:pPr>
      <w:r>
        <w:rPr>
          <w:rFonts w:ascii="Arial" w:cs="Arial" w:eastAsia="Arial" w:hAnsi="Arial"/>
          <w:sz w:val="17"/>
          <w:szCs w:val="17"/>
          <w:b w:val="1"/>
          <w:bCs w:val="1"/>
          <w:color w:val="auto"/>
        </w:rPr>
        <w:t>1-Year TSR</w:t>
      </w:r>
      <w:r>
        <w:rPr>
          <w:sz w:val="20"/>
          <w:szCs w:val="20"/>
          <w:color w:val="auto"/>
        </w:rPr>
        <w:tab/>
      </w:r>
      <w:r>
        <w:rPr>
          <w:rFonts w:ascii="Arial" w:cs="Arial" w:eastAsia="Arial" w:hAnsi="Arial"/>
          <w:sz w:val="17"/>
          <w:szCs w:val="17"/>
          <w:b w:val="1"/>
          <w:bCs w:val="1"/>
          <w:color w:val="auto"/>
        </w:rPr>
        <w:t>3-Year TSR</w:t>
      </w:r>
      <w:r>
        <w:rPr>
          <w:sz w:val="20"/>
          <w:szCs w:val="20"/>
          <w:color w:val="auto"/>
        </w:rPr>
        <w:tab/>
      </w:r>
      <w:r>
        <w:rPr>
          <w:rFonts w:ascii="Arial" w:cs="Arial" w:eastAsia="Arial" w:hAnsi="Arial"/>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168275</wp:posOffset>
            </wp:positionV>
            <wp:extent cx="6146165" cy="12553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4616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Awards and industry recognition</w:t>
      </w:r>
    </w:p>
    <w:p>
      <w:pPr>
        <w:spacing w:after="0" w:line="130" w:lineRule="exact"/>
        <w:rPr>
          <w:sz w:val="20"/>
          <w:szCs w:val="20"/>
          <w:color w:val="auto"/>
        </w:rPr>
      </w:pPr>
    </w:p>
    <w:p>
      <w:pPr>
        <w:ind w:left="1140" w:hanging="407"/>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people are our primary assets, and they continue to be recognized across the industry.</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in prior years, we continued to receive numerous industry recognitions and awards, including:</w:t>
      </w:r>
    </w:p>
    <w:p>
      <w:pPr>
        <w:spacing w:after="0" w:line="129"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Customer’s Choice in Gartner</w:t>
      </w:r>
      <w:r>
        <w:rPr>
          <w:rFonts w:ascii="Arial" w:cs="Arial" w:eastAsia="Arial" w:hAnsi="Arial"/>
          <w:sz w:val="22"/>
          <w:szCs w:val="22"/>
          <w:color w:val="auto"/>
          <w:vertAlign w:val="superscript"/>
        </w:rPr>
        <w:t>®</w:t>
      </w:r>
      <w:r>
        <w:rPr>
          <w:rFonts w:ascii="Arial" w:cs="Arial" w:eastAsia="Arial" w:hAnsi="Arial"/>
          <w:sz w:val="15"/>
          <w:szCs w:val="15"/>
          <w:color w:val="auto"/>
        </w:rPr>
        <w:t xml:space="preserve"> Peer Insights</w:t>
      </w:r>
      <w:r>
        <w:rPr>
          <w:rFonts w:ascii="Arial" w:cs="Arial" w:eastAsia="Arial" w:hAnsi="Arial"/>
          <w:sz w:val="22"/>
          <w:szCs w:val="22"/>
          <w:color w:val="auto"/>
          <w:vertAlign w:val="superscript"/>
        </w:rPr>
        <w:t>™</w:t>
      </w:r>
      <w:r>
        <w:rPr>
          <w:rFonts w:ascii="Arial" w:cs="Arial" w:eastAsia="Arial" w:hAnsi="Arial"/>
          <w:sz w:val="15"/>
          <w:szCs w:val="15"/>
          <w:color w:val="auto"/>
        </w:rPr>
        <w:t xml:space="preserve"> for Data and Analytics Service Providers</w:t>
      </w:r>
    </w:p>
    <w:p>
      <w:pPr>
        <w:spacing w:after="0" w:line="86" w:lineRule="exact"/>
        <w:rPr>
          <w:rFonts w:ascii="Arial" w:cs="Arial" w:eastAsia="Arial" w:hAnsi="Arial"/>
          <w:sz w:val="17"/>
          <w:szCs w:val="17"/>
          <w:color w:val="auto"/>
        </w:rPr>
      </w:pPr>
    </w:p>
    <w:p>
      <w:pPr>
        <w:ind w:left="1580" w:right="480" w:hanging="416"/>
        <w:spacing w:after="0" w:line="201" w:lineRule="auto"/>
        <w:rPr>
          <w:rFonts w:ascii="Arial" w:cs="Arial" w:eastAsia="Arial" w:hAnsi="Arial"/>
          <w:sz w:val="17"/>
          <w:szCs w:val="17"/>
          <w:color w:val="auto"/>
        </w:rPr>
      </w:pPr>
      <w:r>
        <w:rPr>
          <w:rFonts w:ascii="Arial" w:cs="Arial" w:eastAsia="Arial" w:hAnsi="Arial"/>
          <w:sz w:val="17"/>
          <w:szCs w:val="17"/>
          <w:color w:val="auto"/>
        </w:rPr>
        <w:t xml:space="preserve">–Leader in Everest Group </w:t>
      </w:r>
      <w:r>
        <w:rPr>
          <w:rFonts w:ascii="Arial" w:cs="Arial" w:eastAsia="Arial" w:hAnsi="Arial"/>
          <w:sz w:val="17"/>
          <w:szCs w:val="17"/>
          <w:i w:val="1"/>
          <w:iCs w:val="1"/>
          <w:color w:val="auto"/>
        </w:rPr>
        <w:t>Advanced Analytics and Insights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Healthcare Analytics Service Providers PEAK Matrix</w:t>
      </w:r>
      <w:r>
        <w:rPr>
          <w:rFonts w:ascii="Arial" w:cs="Arial" w:eastAsia="Arial" w:hAnsi="Arial"/>
          <w:sz w:val="26"/>
          <w:szCs w:val="26"/>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Assessments</w:t>
      </w:r>
    </w:p>
    <w:p>
      <w:pPr>
        <w:spacing w:after="0" w:line="105"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Leader in Gartner</w:t>
      </w:r>
      <w:r>
        <w:rPr>
          <w:rFonts w:ascii="Arial" w:cs="Arial" w:eastAsia="Arial" w:hAnsi="Arial"/>
          <w:sz w:val="22"/>
          <w:szCs w:val="22"/>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Magic Quadrant</w:t>
      </w:r>
      <w:r>
        <w:rPr>
          <w:rFonts w:ascii="Arial" w:cs="Arial" w:eastAsia="Arial" w:hAnsi="Arial"/>
          <w:sz w:val="22"/>
          <w:szCs w:val="22"/>
          <w:i w:val="1"/>
          <w:iCs w:val="1"/>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for Finance and Accounting Business Process Outsourcing</w:t>
      </w:r>
    </w:p>
    <w:p>
      <w:pPr>
        <w:spacing w:after="0" w:line="86"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 xml:space="preserve">Leader in all four categories in the </w:t>
      </w:r>
      <w:r>
        <w:rPr>
          <w:rFonts w:ascii="Arial" w:cs="Arial" w:eastAsia="Arial" w:hAnsi="Arial"/>
          <w:sz w:val="15"/>
          <w:szCs w:val="15"/>
          <w:i w:val="1"/>
          <w:iCs w:val="1"/>
          <w:color w:val="auto"/>
        </w:rPr>
        <w:t>ISG Provider Lens</w:t>
      </w:r>
      <w:r>
        <w:rPr>
          <w:rFonts w:ascii="Arial" w:cs="Arial" w:eastAsia="Arial" w:hAnsi="Arial"/>
          <w:sz w:val="22"/>
          <w:szCs w:val="22"/>
          <w:i w:val="1"/>
          <w:iCs w:val="1"/>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for Digital Finance and Accounting Outsourcing Services</w:t>
      </w:r>
    </w:p>
    <w:p>
      <w:pPr>
        <w:spacing w:after="0" w:line="72"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 xml:space="preserve">Leader in Everest Group </w:t>
      </w:r>
      <w:r>
        <w:rPr>
          <w:rFonts w:ascii="Arial" w:cs="Arial" w:eastAsia="Arial" w:hAnsi="Arial"/>
          <w:sz w:val="15"/>
          <w:szCs w:val="15"/>
          <w:i w:val="1"/>
          <w:iCs w:val="1"/>
          <w:color w:val="auto"/>
        </w:rPr>
        <w:t>Digital Platform &amp; Augmentation Suite in Insurance BPS PEAK Matrix</w:t>
      </w:r>
      <w:r>
        <w:rPr>
          <w:rFonts w:ascii="Arial" w:cs="Arial" w:eastAsia="Arial" w:hAnsi="Arial"/>
          <w:sz w:val="22"/>
          <w:szCs w:val="22"/>
          <w:i w:val="1"/>
          <w:iCs w:val="1"/>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Assessment</w:t>
      </w:r>
    </w:p>
    <w:p>
      <w:pPr>
        <w:spacing w:after="0" w:line="72"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 xml:space="preserve">Luminary in Celent </w:t>
      </w:r>
      <w:r>
        <w:rPr>
          <w:rFonts w:ascii="Arial" w:cs="Arial" w:eastAsia="Arial" w:hAnsi="Arial"/>
          <w:sz w:val="15"/>
          <w:szCs w:val="15"/>
          <w:i w:val="1"/>
          <w:iCs w:val="1"/>
          <w:color w:val="auto"/>
        </w:rPr>
        <w:t>New Business and Underwriting Systems: Global Life Insurance</w:t>
      </w:r>
    </w:p>
    <w:p>
      <w:pPr>
        <w:spacing w:after="0" w:line="115"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 xml:space="preserve">Leader in Everest Group </w:t>
      </w:r>
      <w:r>
        <w:rPr>
          <w:rFonts w:ascii="Arial" w:cs="Arial" w:eastAsia="Arial" w:hAnsi="Arial"/>
          <w:sz w:val="15"/>
          <w:szCs w:val="15"/>
          <w:i w:val="1"/>
          <w:iCs w:val="1"/>
          <w:color w:val="auto"/>
        </w:rPr>
        <w:t>Property &amp; Casualty Insurance BPS PEAK Matrix</w:t>
      </w:r>
      <w:r>
        <w:rPr>
          <w:rFonts w:ascii="Arial" w:cs="Arial" w:eastAsia="Arial" w:hAnsi="Arial"/>
          <w:sz w:val="22"/>
          <w:szCs w:val="22"/>
          <w:color w:val="auto"/>
          <w:vertAlign w:val="superscript"/>
        </w:rPr>
        <w:t>®</w:t>
      </w:r>
    </w:p>
    <w:p>
      <w:pPr>
        <w:spacing w:after="0" w:line="86" w:lineRule="exact"/>
        <w:rPr>
          <w:rFonts w:ascii="Arial" w:cs="Arial" w:eastAsia="Arial" w:hAnsi="Arial"/>
          <w:sz w:val="17"/>
          <w:szCs w:val="17"/>
          <w:color w:val="auto"/>
        </w:rPr>
      </w:pPr>
    </w:p>
    <w:p>
      <w:pPr>
        <w:ind w:left="1580" w:right="240" w:hanging="416"/>
        <w:spacing w:after="0" w:line="201" w:lineRule="auto"/>
        <w:rPr>
          <w:rFonts w:ascii="Arial" w:cs="Arial" w:eastAsia="Arial" w:hAnsi="Arial"/>
          <w:sz w:val="17"/>
          <w:szCs w:val="17"/>
          <w:color w:val="auto"/>
        </w:rPr>
      </w:pPr>
      <w:r>
        <w:rPr>
          <w:rFonts w:ascii="Arial" w:cs="Arial" w:eastAsia="Arial" w:hAnsi="Arial"/>
          <w:sz w:val="17"/>
          <w:szCs w:val="17"/>
          <w:color w:val="auto"/>
        </w:rPr>
        <w:t xml:space="preserve">–Leader in all three categories in the </w:t>
      </w:r>
      <w:r>
        <w:rPr>
          <w:rFonts w:ascii="Arial" w:cs="Arial" w:eastAsia="Arial" w:hAnsi="Arial"/>
          <w:sz w:val="17"/>
          <w:szCs w:val="17"/>
          <w:i w:val="1"/>
          <w:iCs w:val="1"/>
          <w:color w:val="auto"/>
        </w:rPr>
        <w:t>ISG Provider Lens</w:t>
      </w:r>
      <w:r>
        <w:rPr>
          <w:rFonts w:ascii="Arial" w:cs="Arial" w:eastAsia="Arial" w:hAnsi="Arial"/>
          <w:sz w:val="26"/>
          <w:szCs w:val="26"/>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for Insurance Services: P&amp;C Insurance BPO Services, Life &amp;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Insurance BPO Services and Life &amp; Retirement TPA Services</w:t>
      </w:r>
    </w:p>
    <w:p>
      <w:pPr>
        <w:spacing w:after="0" w:line="105"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Best in KLAS 2022 for Risk Adjustment</w:t>
      </w:r>
    </w:p>
    <w:p>
      <w:pPr>
        <w:spacing w:after="0" w:line="129"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 xml:space="preserve">Best in Class in the </w:t>
      </w:r>
      <w:r>
        <w:rPr>
          <w:rFonts w:ascii="Arial" w:cs="Arial" w:eastAsia="Arial" w:hAnsi="Arial"/>
          <w:sz w:val="16"/>
          <w:szCs w:val="16"/>
          <w:i w:val="1"/>
          <w:iCs w:val="1"/>
          <w:color w:val="auto"/>
        </w:rPr>
        <w:t>Aité Matrix: Payment Integrity in Healthcare</w:t>
      </w:r>
    </w:p>
    <w:p>
      <w:pPr>
        <w:spacing w:after="0" w:line="129"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 xml:space="preserve">Leader in Everest Group </w:t>
      </w:r>
      <w:r>
        <w:rPr>
          <w:rFonts w:ascii="Arial" w:cs="Arial" w:eastAsia="Arial" w:hAnsi="Arial"/>
          <w:sz w:val="15"/>
          <w:szCs w:val="15"/>
          <w:i w:val="1"/>
          <w:iCs w:val="1"/>
          <w:color w:val="auto"/>
        </w:rPr>
        <w:t>Healthcare Payer Operations PEAK Matrix</w:t>
      </w:r>
      <w:r>
        <w:rPr>
          <w:rFonts w:ascii="Arial" w:cs="Arial" w:eastAsia="Arial" w:hAnsi="Arial"/>
          <w:sz w:val="22"/>
          <w:szCs w:val="22"/>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Assessment 2022</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Clients and operations</w:t>
      </w:r>
    </w:p>
    <w:p>
      <w:pPr>
        <w:spacing w:after="0" w:line="130" w:lineRule="exact"/>
        <w:rPr>
          <w:sz w:val="20"/>
          <w:szCs w:val="20"/>
          <w:color w:val="auto"/>
        </w:rPr>
      </w:pPr>
    </w:p>
    <w:p>
      <w:pPr>
        <w:ind w:left="1140" w:hanging="407"/>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2022, we won 59 new clients, adding to the 58 new clients we won in 2021.</w:t>
      </w:r>
    </w:p>
    <w:p>
      <w:pPr>
        <w:spacing w:after="0" w:line="129" w:lineRule="exact"/>
        <w:rPr>
          <w:rFonts w:ascii="Arial" w:cs="Arial" w:eastAsia="Arial" w:hAnsi="Arial"/>
          <w:sz w:val="17"/>
          <w:szCs w:val="17"/>
          <w:color w:val="auto"/>
        </w:rPr>
      </w:pPr>
    </w:p>
    <w:p>
      <w:pPr>
        <w:ind w:left="1140" w:right="140" w:hanging="407"/>
        <w:spacing w:after="0" w:line="286"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past year, revenue from our top 20 clients grew by 18.4%, with 16 of those clients contracting for our services and solutions in both analytics and digital operations and solutions.</w:t>
      </w:r>
    </w:p>
    <w:p>
      <w:pPr>
        <w:spacing w:after="0" w:line="74"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60"/>
          </w:cols>
          <w:pgMar w:left="320" w:top="473" w:right="7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Summary of key compensation considerations &amp; decisions in 2022</w:t>
      </w:r>
    </w:p>
    <w:p>
      <w:pPr>
        <w:spacing w:after="0" w:line="123" w:lineRule="exact"/>
        <w:rPr>
          <w:sz w:val="20"/>
          <w:szCs w:val="20"/>
          <w:color w:val="auto"/>
        </w:rPr>
      </w:pPr>
    </w:p>
    <w:p>
      <w:pPr>
        <w:ind w:left="320" w:right="420"/>
        <w:spacing w:after="0" w:line="286" w:lineRule="auto"/>
        <w:rPr>
          <w:sz w:val="20"/>
          <w:szCs w:val="20"/>
          <w:color w:val="auto"/>
        </w:rPr>
      </w:pPr>
      <w:r>
        <w:rPr>
          <w:rFonts w:ascii="Arial" w:cs="Arial" w:eastAsia="Arial" w:hAnsi="Arial"/>
          <w:sz w:val="17"/>
          <w:szCs w:val="17"/>
          <w:color w:val="auto"/>
        </w:rPr>
        <w:t>The following highlights the Compensation and Talent Management Committee’s key considerations and compensation decisions in 2022 and with respect to performance for 2022 for our NEOs.</w:t>
      </w:r>
    </w:p>
    <w:p>
      <w:pPr>
        <w:spacing w:after="0" w:line="17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2040" w:type="dxa"/>
            <w:vAlign w:val="bottom"/>
          </w:tcPr>
          <w:p>
            <w:pPr>
              <w:ind w:left="80"/>
              <w:spacing w:after="0"/>
              <w:rPr>
                <w:sz w:val="20"/>
                <w:szCs w:val="20"/>
                <w:color w:val="auto"/>
              </w:rPr>
            </w:pPr>
            <w:r>
              <w:rPr>
                <w:rFonts w:ascii="Arial" w:cs="Arial" w:eastAsia="Arial" w:hAnsi="Arial"/>
                <w:sz w:val="17"/>
                <w:szCs w:val="17"/>
                <w:b w:val="1"/>
                <w:bCs w:val="1"/>
                <w:color w:val="FB4E0B"/>
              </w:rPr>
              <w:t>Items</w:t>
            </w:r>
          </w:p>
        </w:tc>
        <w:tc>
          <w:tcPr>
            <w:tcW w:w="8580" w:type="dxa"/>
            <w:vAlign w:val="bottom"/>
          </w:tcPr>
          <w:p>
            <w:pPr>
              <w:ind w:left="80"/>
              <w:spacing w:after="0"/>
              <w:rPr>
                <w:sz w:val="20"/>
                <w:szCs w:val="20"/>
                <w:color w:val="auto"/>
              </w:rPr>
            </w:pPr>
            <w:r>
              <w:rPr>
                <w:rFonts w:ascii="Arial" w:cs="Arial" w:eastAsia="Arial" w:hAnsi="Arial"/>
                <w:sz w:val="17"/>
                <w:szCs w:val="17"/>
                <w:b w:val="1"/>
                <w:bCs w:val="1"/>
                <w:color w:val="FB4E0B"/>
              </w:rPr>
              <w:t>Considerations and decisions</w:t>
            </w:r>
          </w:p>
        </w:tc>
      </w:tr>
      <w:tr>
        <w:trPr>
          <w:trHeight w:val="71"/>
        </w:trPr>
        <w:tc>
          <w:tcPr>
            <w:tcW w:w="2040" w:type="dxa"/>
            <w:vAlign w:val="bottom"/>
            <w:tcBorders>
              <w:bottom w:val="single" w:sz="8" w:color="FB4E0B"/>
            </w:tcBorders>
          </w:tcPr>
          <w:p>
            <w:pPr>
              <w:spacing w:after="0"/>
              <w:rPr>
                <w:sz w:val="6"/>
                <w:szCs w:val="6"/>
                <w:color w:val="auto"/>
              </w:rPr>
            </w:pPr>
          </w:p>
        </w:tc>
        <w:tc>
          <w:tcPr>
            <w:tcW w:w="8580" w:type="dxa"/>
            <w:vAlign w:val="bottom"/>
            <w:tcBorders>
              <w:bottom w:val="single" w:sz="8" w:color="FB4E0B"/>
            </w:tcBorders>
          </w:tcPr>
          <w:p>
            <w:pPr>
              <w:spacing w:after="0"/>
              <w:rPr>
                <w:sz w:val="6"/>
                <w:szCs w:val="6"/>
                <w:color w:val="auto"/>
              </w:rPr>
            </w:pPr>
          </w:p>
        </w:tc>
      </w:tr>
      <w:tr>
        <w:trPr>
          <w:trHeight w:val="260"/>
        </w:trPr>
        <w:tc>
          <w:tcPr>
            <w:tcW w:w="20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Say on Pay Approval</w:t>
            </w:r>
          </w:p>
        </w:tc>
        <w:tc>
          <w:tcPr>
            <w:tcW w:w="8580" w:type="dxa"/>
            <w:vAlign w:val="bottom"/>
          </w:tcPr>
          <w:p>
            <w:pPr>
              <w:ind w:left="80"/>
              <w:spacing w:after="0"/>
              <w:rPr>
                <w:sz w:val="20"/>
                <w:szCs w:val="20"/>
                <w:color w:val="auto"/>
              </w:rPr>
            </w:pPr>
            <w:r>
              <w:rPr>
                <w:rFonts w:ascii="Arial" w:cs="Arial" w:eastAsia="Arial" w:hAnsi="Arial"/>
                <w:sz w:val="16"/>
                <w:szCs w:val="16"/>
                <w:color w:val="auto"/>
                <w:w w:val="93"/>
              </w:rPr>
              <w:t>Over 99% of our stockholders approved, on a non-binding basis (excluding broker non-votes), of our compensation of our NEOs.</w:t>
            </w:r>
          </w:p>
        </w:tc>
      </w:tr>
      <w:tr>
        <w:trPr>
          <w:trHeight w:val="260"/>
        </w:trPr>
        <w:tc>
          <w:tcPr>
            <w:tcW w:w="2040" w:type="dxa"/>
            <w:vAlign w:val="bottom"/>
            <w:tcBorders>
              <w:bottom w:val="single" w:sz="8" w:color="auto"/>
              <w:right w:val="single" w:sz="8" w:color="auto"/>
            </w:tcBorders>
          </w:tcPr>
          <w:p>
            <w:pPr>
              <w:spacing w:after="0"/>
              <w:rPr>
                <w:sz w:val="22"/>
                <w:szCs w:val="22"/>
                <w:color w:val="auto"/>
              </w:rPr>
            </w:pPr>
          </w:p>
        </w:tc>
        <w:tc>
          <w:tcPr>
            <w:tcW w:w="8580" w:type="dxa"/>
            <w:vAlign w:val="bottom"/>
            <w:tcBorders>
              <w:bottom w:val="single" w:sz="8" w:color="auto"/>
            </w:tcBorders>
          </w:tcPr>
          <w:p>
            <w:pPr>
              <w:spacing w:after="0"/>
              <w:rPr>
                <w:sz w:val="22"/>
                <w:szCs w:val="22"/>
                <w:color w:val="auto"/>
              </w:rPr>
            </w:pPr>
          </w:p>
        </w:tc>
      </w:tr>
      <w:tr>
        <w:trPr>
          <w:trHeight w:val="253"/>
        </w:trPr>
        <w:tc>
          <w:tcPr>
            <w:tcW w:w="20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Base Salaries</w:t>
            </w:r>
          </w:p>
        </w:tc>
        <w:tc>
          <w:tcPr>
            <w:tcW w:w="8580" w:type="dxa"/>
            <w:vAlign w:val="bottom"/>
          </w:tcPr>
          <w:p>
            <w:pPr>
              <w:ind w:left="80"/>
              <w:spacing w:after="0"/>
              <w:rPr>
                <w:sz w:val="20"/>
                <w:szCs w:val="20"/>
                <w:color w:val="auto"/>
              </w:rPr>
            </w:pPr>
            <w:r>
              <w:rPr>
                <w:rFonts w:ascii="Arial" w:cs="Arial" w:eastAsia="Arial" w:hAnsi="Arial"/>
                <w:sz w:val="16"/>
                <w:szCs w:val="16"/>
                <w:color w:val="auto"/>
              </w:rPr>
              <w:t>Base salaries for our NEOs were revised effective October 1, 2022, as described below.</w:t>
            </w:r>
          </w:p>
        </w:tc>
      </w:tr>
      <w:tr>
        <w:trPr>
          <w:trHeight w:val="65"/>
        </w:trPr>
        <w:tc>
          <w:tcPr>
            <w:tcW w:w="204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tcBorders>
          </w:tcPr>
          <w:p>
            <w:pPr>
              <w:spacing w:after="0"/>
              <w:rPr>
                <w:sz w:val="5"/>
                <w:szCs w:val="5"/>
                <w:color w:val="auto"/>
              </w:rPr>
            </w:pPr>
          </w:p>
        </w:tc>
      </w:tr>
      <w:tr>
        <w:trPr>
          <w:trHeight w:val="230"/>
        </w:trPr>
        <w:tc>
          <w:tcPr>
            <w:tcW w:w="20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Annual Incentives</w:t>
            </w:r>
          </w:p>
        </w:tc>
        <w:tc>
          <w:tcPr>
            <w:tcW w:w="8580" w:type="dxa"/>
            <w:vAlign w:val="bottom"/>
          </w:tcPr>
          <w:p>
            <w:pPr>
              <w:ind w:left="80"/>
              <w:spacing w:after="0"/>
              <w:rPr>
                <w:sz w:val="20"/>
                <w:szCs w:val="20"/>
                <w:color w:val="auto"/>
              </w:rPr>
            </w:pPr>
            <w:r>
              <w:rPr>
                <w:rFonts w:ascii="Arial" w:cs="Arial" w:eastAsia="Arial" w:hAnsi="Arial"/>
                <w:sz w:val="16"/>
                <w:szCs w:val="16"/>
                <w:color w:val="auto"/>
                <w:w w:val="88"/>
              </w:rPr>
              <w:t>We based our annual incentives on achievement of Company goals (revenue and AOPM) and personal performance goals. In 2022, we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96"/>
              </w:rPr>
              <w:t>delivered 107.66% of our revenue performance target and 101.45% of our AOPM target, resulting in annual incentive payout</w:t>
            </w:r>
          </w:p>
        </w:tc>
      </w:tr>
      <w:tr>
        <w:trPr>
          <w:trHeight w:val="199"/>
        </w:trPr>
        <w:tc>
          <w:tcPr>
            <w:tcW w:w="2040" w:type="dxa"/>
            <w:vAlign w:val="bottom"/>
            <w:tcBorders>
              <w:right w:val="single" w:sz="8" w:color="auto"/>
            </w:tcBorders>
          </w:tcPr>
          <w:p>
            <w:pPr>
              <w:spacing w:after="0"/>
              <w:rPr>
                <w:sz w:val="17"/>
                <w:szCs w:val="17"/>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90"/>
              </w:rPr>
              <w:t>calculations for our NEOs, ranging from 153% of target performance to 159% of target performance of the named executive officers.</w:t>
            </w:r>
          </w:p>
        </w:tc>
      </w:tr>
      <w:tr>
        <w:trPr>
          <w:trHeight w:val="71"/>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r>
      <w:tr>
        <w:trPr>
          <w:trHeight w:val="230"/>
        </w:trPr>
        <w:tc>
          <w:tcPr>
            <w:tcW w:w="20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Equity Incentives</w:t>
            </w:r>
          </w:p>
        </w:tc>
        <w:tc>
          <w:tcPr>
            <w:tcW w:w="8580" w:type="dxa"/>
            <w:vAlign w:val="bottom"/>
          </w:tcPr>
          <w:p>
            <w:pPr>
              <w:ind w:left="80"/>
              <w:spacing w:after="0"/>
              <w:rPr>
                <w:sz w:val="20"/>
                <w:szCs w:val="20"/>
                <w:color w:val="auto"/>
              </w:rPr>
            </w:pPr>
            <w:r>
              <w:rPr>
                <w:rFonts w:ascii="Arial" w:cs="Arial" w:eastAsia="Arial" w:hAnsi="Arial"/>
                <w:sz w:val="16"/>
                <w:szCs w:val="16"/>
                <w:color w:val="auto"/>
                <w:w w:val="88"/>
              </w:rPr>
              <w:t>This was the third and final performance year for the performance-based restricted stock units granted in 2020. We achieved 101.6% of</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88"/>
              </w:rPr>
              <w:t>the revenue target for the revenue-linked restricted stock units resulting in 100% of target funding of those grants. The Company’s TSR</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89"/>
              </w:rPr>
              <w:t>performance was at the 97.6 percentile among its performance peer group (as defined below), resulting in the NEOs earning 200% of</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88"/>
              </w:rPr>
              <w:t>the 2020 relative TSR- linked restricted stock units pursuant to the terms of the original grant. In the aggregate, the performance-based</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87"/>
              </w:rPr>
              <w:t>restricted stock units granted in 2020 achieved vesting of shares at 150% of target performance. No adjustments were made to the 2020</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w w:val="88"/>
              </w:rPr>
              <w:t>performance-based restricted stock units or the associated performance targets to account for the impact of the COVID-19 pandemic in</w:t>
            </w:r>
          </w:p>
        </w:tc>
      </w:tr>
      <w:tr>
        <w:trPr>
          <w:trHeight w:val="199"/>
        </w:trPr>
        <w:tc>
          <w:tcPr>
            <w:tcW w:w="2040" w:type="dxa"/>
            <w:vAlign w:val="bottom"/>
            <w:tcBorders>
              <w:right w:val="single" w:sz="8" w:color="auto"/>
            </w:tcBorders>
          </w:tcPr>
          <w:p>
            <w:pPr>
              <w:spacing w:after="0"/>
              <w:rPr>
                <w:sz w:val="17"/>
                <w:szCs w:val="17"/>
                <w:color w:val="auto"/>
              </w:rPr>
            </w:pPr>
          </w:p>
        </w:tc>
        <w:tc>
          <w:tcPr>
            <w:tcW w:w="8580" w:type="dxa"/>
            <w:vAlign w:val="bottom"/>
          </w:tcPr>
          <w:p>
            <w:pPr>
              <w:ind w:left="80"/>
              <w:spacing w:after="0"/>
              <w:rPr>
                <w:sz w:val="20"/>
                <w:szCs w:val="20"/>
                <w:color w:val="auto"/>
              </w:rPr>
            </w:pPr>
            <w:r>
              <w:rPr>
                <w:rFonts w:ascii="Arial" w:cs="Arial" w:eastAsia="Arial" w:hAnsi="Arial"/>
                <w:sz w:val="16"/>
                <w:szCs w:val="16"/>
                <w:color w:val="auto"/>
              </w:rPr>
              <w:t>the 2020, 2021 and 2022 fiscal years.</w:t>
            </w:r>
          </w:p>
        </w:tc>
      </w:tr>
      <w:tr>
        <w:trPr>
          <w:trHeight w:val="324"/>
        </w:trPr>
        <w:tc>
          <w:tcPr>
            <w:tcW w:w="2040" w:type="dxa"/>
            <w:vAlign w:val="bottom"/>
            <w:tcBorders>
              <w:bottom w:val="single" w:sz="8" w:color="FB4E0B"/>
              <w:right w:val="single" w:sz="8" w:color="auto"/>
            </w:tcBorders>
          </w:tcPr>
          <w:p>
            <w:pPr>
              <w:spacing w:after="0"/>
              <w:rPr>
                <w:sz w:val="24"/>
                <w:szCs w:val="24"/>
                <w:color w:val="auto"/>
              </w:rPr>
            </w:pPr>
          </w:p>
        </w:tc>
        <w:tc>
          <w:tcPr>
            <w:tcW w:w="8580" w:type="dxa"/>
            <w:vAlign w:val="bottom"/>
            <w:tcBorders>
              <w:bottom w:val="single" w:sz="8" w:color="FB4E0B"/>
            </w:tcBorders>
          </w:tcPr>
          <w:p>
            <w:pPr>
              <w:spacing w:after="0"/>
              <w:rPr>
                <w:sz w:val="24"/>
                <w:szCs w:val="24"/>
                <w:color w:val="auto"/>
              </w:rPr>
            </w:pPr>
          </w:p>
        </w:tc>
      </w:tr>
    </w:tbl>
    <w:p>
      <w:pPr>
        <w:spacing w:after="0" w:line="29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Pay-for-performance</w:t>
      </w:r>
    </w:p>
    <w:p>
      <w:pPr>
        <w:spacing w:after="0" w:line="123" w:lineRule="exact"/>
        <w:rPr>
          <w:sz w:val="20"/>
          <w:szCs w:val="20"/>
          <w:color w:val="auto"/>
        </w:rPr>
      </w:pPr>
    </w:p>
    <w:p>
      <w:pPr>
        <w:ind w:left="320" w:right="80"/>
        <w:spacing w:after="0" w:line="270" w:lineRule="auto"/>
        <w:rPr>
          <w:sz w:val="20"/>
          <w:szCs w:val="20"/>
          <w:color w:val="auto"/>
        </w:rPr>
      </w:pPr>
      <w:r>
        <w:rPr>
          <w:rFonts w:ascii="Arial" w:cs="Arial" w:eastAsia="Arial" w:hAnsi="Arial"/>
          <w:sz w:val="17"/>
          <w:szCs w:val="17"/>
          <w:color w:val="auto"/>
        </w:rPr>
        <w:t>Our executive compensation philosophy is focused on pay-for-performance. In this regard, we link a significant portion of each NEO’s total compensation to the achievement of specified performance goals. This variable compensation is “at-risk” and rewards performance and contributions to both short- and long-term financial performance.</w:t>
      </w:r>
    </w:p>
    <w:p>
      <w:pPr>
        <w:spacing w:after="0" w:line="231"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67</w:t>
      </w:r>
    </w:p>
    <w:p>
      <w:pPr>
        <w:sectPr>
          <w:pgSz w:w="11900" w:h="16838" w:orient="portrait"/>
          <w:cols w:equalWidth="0" w:num="1">
            <w:col w:w="10940"/>
          </w:cols>
          <w:pgMar w:left="320" w:top="473" w:right="6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spacing w:after="0" w:line="319" w:lineRule="auto"/>
        <w:rPr>
          <w:sz w:val="20"/>
          <w:szCs w:val="20"/>
          <w:color w:val="auto"/>
        </w:rPr>
      </w:pPr>
      <w:r>
        <w:rPr>
          <w:rFonts w:ascii="Arial" w:cs="Arial" w:eastAsia="Arial" w:hAnsi="Arial"/>
          <w:sz w:val="16"/>
          <w:szCs w:val="16"/>
          <w:color w:val="auto"/>
        </w:rPr>
        <w:t>As illustrated by the following charts, the majority of compensation that may be earned by our named executive officers is tied to the achievement of financial performance metrics (annual incentive awards and PRSUs) or fluctuates with the underlying value of our common stock (RSUs).</w:t>
      </w:r>
    </w:p>
    <w:p>
      <w:pPr>
        <w:spacing w:after="0" w:line="151" w:lineRule="exact"/>
        <w:rPr>
          <w:sz w:val="20"/>
          <w:szCs w:val="20"/>
          <w:color w:val="auto"/>
        </w:rPr>
      </w:pPr>
    </w:p>
    <w:tbl>
      <w:tblPr>
        <w:tblLayout w:type="fixed"/>
        <w:tblInd w:w="2060" w:type="dxa"/>
        <w:tblCellMar>
          <w:top w:w="0" w:type="dxa"/>
          <w:left w:w="0" w:type="dxa"/>
          <w:bottom w:w="0" w:type="dxa"/>
          <w:right w:w="0" w:type="dxa"/>
        </w:tblCellMar>
      </w:tblPr>
      <w:tr>
        <w:trPr>
          <w:trHeight w:val="221"/>
        </w:trPr>
        <w:tc>
          <w:tcPr>
            <w:tcW w:w="3620" w:type="dxa"/>
            <w:vAlign w:val="bottom"/>
          </w:tcPr>
          <w:p>
            <w:pPr>
              <w:jc w:val="center"/>
              <w:ind w:right="1605"/>
              <w:spacing w:after="0"/>
              <w:rPr>
                <w:sz w:val="20"/>
                <w:szCs w:val="20"/>
                <w:color w:val="auto"/>
              </w:rPr>
            </w:pPr>
            <w:r>
              <w:rPr>
                <w:rFonts w:ascii="Arial" w:cs="Arial" w:eastAsia="Arial" w:hAnsi="Arial"/>
                <w:sz w:val="19"/>
                <w:szCs w:val="19"/>
                <w:b w:val="1"/>
                <w:bCs w:val="1"/>
                <w:color w:val="FB4E0B"/>
                <w:w w:val="97"/>
              </w:rPr>
              <w:t>Vice Chairman &amp; CEO</w:t>
            </w:r>
          </w:p>
        </w:tc>
        <w:tc>
          <w:tcPr>
            <w:tcW w:w="3700" w:type="dxa"/>
            <w:vAlign w:val="bottom"/>
          </w:tcPr>
          <w:p>
            <w:pPr>
              <w:ind w:left="1740"/>
              <w:spacing w:after="0"/>
              <w:rPr>
                <w:sz w:val="20"/>
                <w:szCs w:val="20"/>
                <w:color w:val="auto"/>
              </w:rPr>
            </w:pPr>
            <w:r>
              <w:rPr>
                <w:rFonts w:ascii="Arial" w:cs="Arial" w:eastAsia="Arial" w:hAnsi="Arial"/>
                <w:sz w:val="19"/>
                <w:szCs w:val="19"/>
                <w:b w:val="1"/>
                <w:bCs w:val="1"/>
                <w:color w:val="FB4E0B"/>
                <w:w w:val="90"/>
              </w:rPr>
              <w:t>NEO compensation mix</w:t>
            </w:r>
          </w:p>
        </w:tc>
      </w:tr>
      <w:tr>
        <w:trPr>
          <w:trHeight w:val="258"/>
        </w:trPr>
        <w:tc>
          <w:tcPr>
            <w:tcW w:w="3620" w:type="dxa"/>
            <w:vAlign w:val="bottom"/>
          </w:tcPr>
          <w:p>
            <w:pPr>
              <w:jc w:val="center"/>
              <w:ind w:right="1605"/>
              <w:spacing w:after="0"/>
              <w:rPr>
                <w:sz w:val="20"/>
                <w:szCs w:val="20"/>
                <w:color w:val="auto"/>
              </w:rPr>
            </w:pPr>
            <w:r>
              <w:rPr>
                <w:rFonts w:ascii="Arial" w:cs="Arial" w:eastAsia="Arial" w:hAnsi="Arial"/>
                <w:sz w:val="19"/>
                <w:szCs w:val="19"/>
                <w:b w:val="1"/>
                <w:bCs w:val="1"/>
                <w:color w:val="FB4E0B"/>
                <w:w w:val="88"/>
              </w:rPr>
              <w:t>compensation mix</w:t>
            </w:r>
          </w:p>
        </w:tc>
        <w:tc>
          <w:tcPr>
            <w:tcW w:w="3700" w:type="dxa"/>
            <w:vAlign w:val="bottom"/>
          </w:tcPr>
          <w:p>
            <w:pPr>
              <w:ind w:left="1720"/>
              <w:spacing w:after="0"/>
              <w:rPr>
                <w:sz w:val="20"/>
                <w:szCs w:val="20"/>
                <w:color w:val="auto"/>
              </w:rPr>
            </w:pPr>
            <w:r>
              <w:rPr>
                <w:rFonts w:ascii="Arial" w:cs="Arial" w:eastAsia="Arial" w:hAnsi="Arial"/>
                <w:sz w:val="14"/>
                <w:szCs w:val="14"/>
                <w:color w:val="auto"/>
                <w:w w:val="91"/>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123190</wp:posOffset>
            </wp:positionV>
            <wp:extent cx="2147570" cy="19246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47570" cy="192468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123190</wp:posOffset>
            </wp:positionV>
            <wp:extent cx="1776095" cy="15284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7609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7920"/>
        <w:spacing w:after="0"/>
        <w:rPr>
          <w:sz w:val="20"/>
          <w:szCs w:val="20"/>
          <w:color w:val="auto"/>
        </w:rPr>
      </w:pPr>
      <w:r>
        <w:rPr>
          <w:rFonts w:ascii="Arial" w:cs="Arial" w:eastAsia="Arial" w:hAnsi="Arial"/>
          <w:sz w:val="13"/>
          <w:szCs w:val="13"/>
          <w:color w:val="auto"/>
        </w:rPr>
        <w:t>*Base salary also includes other compensation</w:t>
      </w:r>
    </w:p>
    <w:p>
      <w:pPr>
        <w:spacing w:after="0" w:line="113" w:lineRule="exact"/>
        <w:rPr>
          <w:sz w:val="20"/>
          <w:szCs w:val="20"/>
          <w:color w:val="auto"/>
        </w:rPr>
      </w:pPr>
    </w:p>
    <w:p>
      <w:pPr>
        <w:jc w:val="both"/>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660"/>
          </w:cols>
          <w:pgMar w:left="320" w:top="473" w:right="91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D8D8D8"/>
        </w:rPr>
        <w:t>Executive compensation</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Executive compensation program, practices and policies</w:t>
      </w:r>
    </w:p>
    <w:p>
      <w:pPr>
        <w:spacing w:after="0" w:line="117" w:lineRule="exact"/>
        <w:rPr>
          <w:sz w:val="20"/>
          <w:szCs w:val="20"/>
          <w:color w:val="auto"/>
        </w:rPr>
      </w:pPr>
    </w:p>
    <w:p>
      <w:pPr>
        <w:ind w:left="320" w:right="40"/>
        <w:spacing w:after="0" w:line="263" w:lineRule="auto"/>
        <w:rPr>
          <w:sz w:val="20"/>
          <w:szCs w:val="20"/>
          <w:color w:val="auto"/>
        </w:rPr>
      </w:pPr>
      <w:r>
        <w:rPr>
          <w:rFonts w:ascii="Arial" w:cs="Arial" w:eastAsia="Arial" w:hAnsi="Arial"/>
          <w:sz w:val="17"/>
          <w:szCs w:val="17"/>
          <w:color w:val="auto"/>
        </w:rPr>
        <w:t>Our compensation programs, practices and policies are reviewed and re-evaluated regularly and are subject to change from time to time in line with market best practices, including alignment of pay with performance. Our executive compensation philosophy is aligned with our core values, focused on pay-for-performance and designed to reflect appropriate governance practices aligned with the needs of our business. Listed below are some of the Company’s more significant practices and policies that were in effect during fiscal year 2022, which were adopted to drive performance and to align our executives’ interests with those of our stockholders.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5240" w:type="dxa"/>
            <w:vAlign w:val="bottom"/>
            <w:gridSpan w:val="2"/>
          </w:tcPr>
          <w:p>
            <w:pPr>
              <w:ind w:left="80"/>
              <w:spacing w:after="0"/>
              <w:rPr>
                <w:sz w:val="20"/>
                <w:szCs w:val="20"/>
                <w:color w:val="auto"/>
              </w:rPr>
            </w:pPr>
            <w:r>
              <w:rPr>
                <w:rFonts w:ascii="Arial" w:cs="Arial" w:eastAsia="Arial" w:hAnsi="Arial"/>
                <w:sz w:val="17"/>
                <w:szCs w:val="17"/>
                <w:b w:val="1"/>
                <w:bCs w:val="1"/>
                <w:color w:val="FB4E0B"/>
              </w:rPr>
              <w:t>What we do</w:t>
            </w:r>
          </w:p>
        </w:tc>
        <w:tc>
          <w:tcPr>
            <w:tcW w:w="4320" w:type="dxa"/>
            <w:vAlign w:val="bottom"/>
            <w:gridSpan w:val="2"/>
          </w:tcPr>
          <w:p>
            <w:pPr>
              <w:ind w:left="160"/>
              <w:spacing w:after="0"/>
              <w:rPr>
                <w:sz w:val="20"/>
                <w:szCs w:val="20"/>
                <w:color w:val="auto"/>
              </w:rPr>
            </w:pPr>
            <w:r>
              <w:rPr>
                <w:rFonts w:ascii="Arial" w:cs="Arial" w:eastAsia="Arial" w:hAnsi="Arial"/>
                <w:sz w:val="17"/>
                <w:szCs w:val="17"/>
                <w:b w:val="1"/>
                <w:bCs w:val="1"/>
                <w:color w:val="FB4E0B"/>
              </w:rPr>
              <w:t>What we don’t do</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
        </w:trPr>
        <w:tc>
          <w:tcPr>
            <w:tcW w:w="540" w:type="dxa"/>
            <w:vAlign w:val="bottom"/>
            <w:tcBorders>
              <w:bottom w:val="single" w:sz="8" w:color="FB4E0B"/>
            </w:tcBorders>
          </w:tcPr>
          <w:p>
            <w:pPr>
              <w:spacing w:after="0"/>
              <w:rPr>
                <w:sz w:val="2"/>
                <w:szCs w:val="2"/>
                <w:color w:val="auto"/>
              </w:rPr>
            </w:pPr>
          </w:p>
        </w:tc>
        <w:tc>
          <w:tcPr>
            <w:tcW w:w="4700" w:type="dxa"/>
            <w:vAlign w:val="bottom"/>
            <w:tcBorders>
              <w:bottom w:val="single" w:sz="8" w:color="FB4E0B"/>
            </w:tcBorders>
          </w:tcPr>
          <w:p>
            <w:pPr>
              <w:spacing w:after="0"/>
              <w:rPr>
                <w:sz w:val="2"/>
                <w:szCs w:val="2"/>
                <w:color w:val="auto"/>
              </w:rPr>
            </w:pPr>
          </w:p>
        </w:tc>
        <w:tc>
          <w:tcPr>
            <w:tcW w:w="620" w:type="dxa"/>
            <w:vAlign w:val="bottom"/>
            <w:tcBorders>
              <w:bottom w:val="single" w:sz="8" w:color="FB4E0B"/>
            </w:tcBorders>
          </w:tcPr>
          <w:p>
            <w:pPr>
              <w:spacing w:after="0"/>
              <w:rPr>
                <w:sz w:val="2"/>
                <w:szCs w:val="2"/>
                <w:color w:val="auto"/>
              </w:rPr>
            </w:pPr>
          </w:p>
        </w:tc>
        <w:tc>
          <w:tcPr>
            <w:tcW w:w="4760" w:type="dxa"/>
            <w:vAlign w:val="bottom"/>
            <w:tcBorders>
              <w:bottom w:val="single" w:sz="8" w:color="FB4E0B"/>
            </w:tcBorders>
            <w:gridSpan w:val="3"/>
          </w:tcPr>
          <w:p>
            <w:pPr>
              <w:spacing w:after="0"/>
              <w:rPr>
                <w:sz w:val="2"/>
                <w:szCs w:val="2"/>
                <w:color w:val="auto"/>
              </w:rPr>
            </w:pPr>
          </w:p>
        </w:tc>
      </w:tr>
      <w:tr>
        <w:trPr>
          <w:trHeight w:val="224"/>
        </w:trPr>
        <w:tc>
          <w:tcPr>
            <w:tcW w:w="540" w:type="dxa"/>
            <w:vAlign w:val="bottom"/>
            <w:tcBorders>
              <w:right w:val="single" w:sz="8" w:color="auto"/>
            </w:tcBorders>
          </w:tcPr>
          <w:p>
            <w:pPr>
              <w:spacing w:after="0"/>
              <w:rPr>
                <w:sz w:val="19"/>
                <w:szCs w:val="19"/>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96"/>
              </w:rPr>
              <w:t xml:space="preserve">Align our executive pay with performance: </w:t>
            </w:r>
            <w:r>
              <w:rPr>
                <w:rFonts w:ascii="Arial" w:cs="Arial" w:eastAsia="Arial" w:hAnsi="Arial"/>
                <w:sz w:val="16"/>
                <w:szCs w:val="16"/>
                <w:color w:val="auto"/>
                <w:w w:val="96"/>
              </w:rPr>
              <w:t>We link a significant</w:t>
            </w:r>
          </w:p>
        </w:tc>
        <w:tc>
          <w:tcPr>
            <w:tcW w:w="620" w:type="dxa"/>
            <w:vAlign w:val="bottom"/>
            <w:tcBorders>
              <w:right w:val="single" w:sz="8" w:color="auto"/>
            </w:tcBorders>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Arial" w:cs="Arial" w:eastAsia="Arial" w:hAnsi="Arial"/>
                <w:sz w:val="16"/>
                <w:szCs w:val="16"/>
                <w:b w:val="1"/>
                <w:bCs w:val="1"/>
                <w:color w:val="auto"/>
                <w:w w:val="94"/>
              </w:rPr>
              <w:t xml:space="preserve">No option repricing: </w:t>
            </w:r>
            <w:r>
              <w:rPr>
                <w:rFonts w:ascii="Arial" w:cs="Arial" w:eastAsia="Arial" w:hAnsi="Arial"/>
                <w:sz w:val="16"/>
                <w:szCs w:val="16"/>
                <w:color w:val="auto"/>
                <w:w w:val="94"/>
              </w:rPr>
              <w:t>We prohibit option repricing without stockholder</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8"/>
              </w:rPr>
              <w:t>portion of each NEO’s total compensation to the achievement of specific</w:t>
            </w:r>
          </w:p>
        </w:tc>
        <w:tc>
          <w:tcPr>
            <w:tcW w:w="620" w:type="dxa"/>
            <w:vAlign w:val="bottom"/>
            <w:tcBorders>
              <w:right w:val="single" w:sz="8" w:color="auto"/>
            </w:tcBorders>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approval.</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performance goals.</w:t>
            </w:r>
          </w:p>
        </w:tc>
        <w:tc>
          <w:tcPr>
            <w:tcW w:w="620" w:type="dxa"/>
            <w:vAlign w:val="bottom"/>
            <w:tcBorders>
              <w:right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08"/>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Variable compensation is “at-risk” and rewards performance and</w:t>
            </w:r>
          </w:p>
        </w:tc>
        <w:tc>
          <w:tcPr>
            <w:tcW w:w="620" w:type="dxa"/>
            <w:vAlign w:val="bottom"/>
            <w:tcBorders>
              <w:right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contributions to both short- and long-term financial performance.</w:t>
            </w:r>
          </w:p>
        </w:tc>
        <w:tc>
          <w:tcPr>
            <w:tcW w:w="620" w:type="dxa"/>
            <w:vAlign w:val="bottom"/>
            <w:tcBorders>
              <w:right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865"/>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gridSpan w:val="3"/>
          </w:tcPr>
          <w:p>
            <w:pPr>
              <w:spacing w:after="0"/>
              <w:rPr>
                <w:sz w:val="24"/>
                <w:szCs w:val="24"/>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89"/>
              </w:rPr>
              <w:t xml:space="preserve">Use appropriate peer groups when establishing compensation: </w:t>
            </w:r>
            <w:r>
              <w:rPr>
                <w:rFonts w:ascii="Arial" w:cs="Arial" w:eastAsia="Arial" w:hAnsi="Arial"/>
                <w:sz w:val="16"/>
                <w:szCs w:val="16"/>
                <w:color w:val="auto"/>
                <w:w w:val="89"/>
              </w:rPr>
              <w:t>We</w:t>
            </w:r>
          </w:p>
        </w:tc>
        <w:tc>
          <w:tcPr>
            <w:tcW w:w="620" w:type="dxa"/>
            <w:vAlign w:val="bottom"/>
            <w:tcBorders>
              <w:right w:val="single" w:sz="8" w:color="auto"/>
            </w:tcBorders>
          </w:tcPr>
          <w:p>
            <w:pPr>
              <w:spacing w:after="0"/>
              <w:rPr>
                <w:sz w:val="18"/>
                <w:szCs w:val="18"/>
                <w:color w:val="auto"/>
              </w:rPr>
            </w:pPr>
          </w:p>
        </w:tc>
        <w:tc>
          <w:tcPr>
            <w:tcW w:w="4760" w:type="dxa"/>
            <w:vAlign w:val="bottom"/>
            <w:gridSpan w:val="3"/>
          </w:tcPr>
          <w:p>
            <w:pPr>
              <w:ind w:left="80"/>
              <w:spacing w:after="0"/>
              <w:rPr>
                <w:sz w:val="20"/>
                <w:szCs w:val="20"/>
                <w:color w:val="auto"/>
              </w:rPr>
            </w:pPr>
            <w:r>
              <w:rPr>
                <w:rFonts w:ascii="Arial" w:cs="Arial" w:eastAsia="Arial" w:hAnsi="Arial"/>
                <w:sz w:val="16"/>
                <w:szCs w:val="16"/>
                <w:b w:val="1"/>
                <w:bCs w:val="1"/>
                <w:color w:val="auto"/>
                <w:w w:val="93"/>
              </w:rPr>
              <w:t xml:space="preserve">No option backdating or discounting: </w:t>
            </w:r>
            <w:r>
              <w:rPr>
                <w:rFonts w:ascii="Arial" w:cs="Arial" w:eastAsia="Arial" w:hAnsi="Arial"/>
                <w:sz w:val="16"/>
                <w:szCs w:val="16"/>
                <w:color w:val="auto"/>
                <w:w w:val="93"/>
              </w:rPr>
              <w:t>We prohibit option backdating</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7"/>
              </w:rPr>
              <w:t>established a peer group to help us review market practices and design a</w:t>
            </w:r>
          </w:p>
        </w:tc>
        <w:tc>
          <w:tcPr>
            <w:tcW w:w="620" w:type="dxa"/>
            <w:vAlign w:val="bottom"/>
            <w:tcBorders>
              <w:right w:val="single" w:sz="8" w:color="auto"/>
            </w:tcBorders>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and discounting.</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8"/>
              </w:rPr>
              <w:t>competitive compensation program. The criteria for peer group selection</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include, annual revenues, similarity in business model and strategic</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7"/>
              </w:rPr>
              <w:t>focus, scope of operations, potential mobility of talent and industry</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alignment.</w:t>
            </w:r>
          </w:p>
        </w:tc>
        <w:tc>
          <w:tcPr>
            <w:tcW w:w="620" w:type="dxa"/>
            <w:vAlign w:val="bottom"/>
            <w:tcBorders>
              <w:right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08"/>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0"/>
              </w:rPr>
              <w:t>We set compensation of our executive officers at levels that we believe</w:t>
            </w:r>
          </w:p>
        </w:tc>
        <w:tc>
          <w:tcPr>
            <w:tcW w:w="620" w:type="dxa"/>
            <w:vAlign w:val="bottom"/>
            <w:tcBorders>
              <w:right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are appropriate relative to the compensation paid to similarly situated</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officers of our peers, giving consideration to market and other factors.</w:t>
            </w:r>
          </w:p>
        </w:tc>
        <w:tc>
          <w:tcPr>
            <w:tcW w:w="620" w:type="dxa"/>
            <w:vAlign w:val="bottom"/>
            <w:tcBorders>
              <w:right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53"/>
        </w:trPr>
        <w:tc>
          <w:tcPr>
            <w:tcW w:w="540" w:type="dxa"/>
            <w:vAlign w:val="bottom"/>
            <w:tcBorders>
              <w:bottom w:val="single" w:sz="8" w:color="auto"/>
              <w:right w:val="single" w:sz="8" w:color="auto"/>
            </w:tcBorders>
          </w:tcPr>
          <w:p>
            <w:pPr>
              <w:spacing w:after="0"/>
              <w:rPr>
                <w:sz w:val="22"/>
                <w:szCs w:val="22"/>
                <w:color w:val="auto"/>
              </w:rPr>
            </w:pPr>
          </w:p>
        </w:tc>
        <w:tc>
          <w:tcPr>
            <w:tcW w:w="47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4760" w:type="dxa"/>
            <w:vAlign w:val="bottom"/>
            <w:tcBorders>
              <w:bottom w:val="single" w:sz="8" w:color="auto"/>
            </w:tcBorders>
            <w:gridSpan w:val="3"/>
          </w:tcPr>
          <w:p>
            <w:pPr>
              <w:spacing w:after="0"/>
              <w:rPr>
                <w:sz w:val="22"/>
                <w:szCs w:val="22"/>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 xml:space="preserve">Ensure equity compensation best practices: </w:t>
            </w:r>
            <w:r>
              <w:rPr>
                <w:rFonts w:ascii="Arial" w:cs="Arial" w:eastAsia="Arial" w:hAnsi="Arial"/>
                <w:sz w:val="16"/>
                <w:szCs w:val="16"/>
                <w:color w:val="auto"/>
                <w:w w:val="97"/>
              </w:rPr>
              <w:t>We design equity</w:t>
            </w:r>
          </w:p>
        </w:tc>
        <w:tc>
          <w:tcPr>
            <w:tcW w:w="620" w:type="dxa"/>
            <w:vAlign w:val="bottom"/>
            <w:tcBorders>
              <w:right w:val="single" w:sz="8" w:color="auto"/>
            </w:tcBorders>
          </w:tcPr>
          <w:p>
            <w:pPr>
              <w:spacing w:after="0"/>
              <w:rPr>
                <w:sz w:val="18"/>
                <w:szCs w:val="18"/>
                <w:color w:val="auto"/>
              </w:rPr>
            </w:pPr>
          </w:p>
        </w:tc>
        <w:tc>
          <w:tcPr>
            <w:tcW w:w="4760" w:type="dxa"/>
            <w:vAlign w:val="bottom"/>
            <w:gridSpan w:val="3"/>
          </w:tcPr>
          <w:p>
            <w:pPr>
              <w:ind w:left="80"/>
              <w:spacing w:after="0"/>
              <w:rPr>
                <w:sz w:val="20"/>
                <w:szCs w:val="20"/>
                <w:color w:val="auto"/>
              </w:rPr>
            </w:pPr>
            <w:r>
              <w:rPr>
                <w:rFonts w:ascii="Arial" w:cs="Arial" w:eastAsia="Arial" w:hAnsi="Arial"/>
                <w:sz w:val="16"/>
                <w:szCs w:val="16"/>
                <w:b w:val="1"/>
                <w:bCs w:val="1"/>
                <w:color w:val="auto"/>
                <w:w w:val="88"/>
              </w:rPr>
              <w:t xml:space="preserve">No excessive overhang or dilution: </w:t>
            </w:r>
            <w:r>
              <w:rPr>
                <w:rFonts w:ascii="Arial" w:cs="Arial" w:eastAsia="Arial" w:hAnsi="Arial"/>
                <w:sz w:val="16"/>
                <w:szCs w:val="16"/>
                <w:color w:val="auto"/>
                <w:w w:val="88"/>
              </w:rPr>
              <w:t>We do not have excessive overhang</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0"/>
              </w:rPr>
              <w:t>incentives to encourage our executives to maintain a long-term view of</w:t>
            </w:r>
          </w:p>
        </w:tc>
        <w:tc>
          <w:tcPr>
            <w:tcW w:w="620" w:type="dxa"/>
            <w:vAlign w:val="bottom"/>
            <w:tcBorders>
              <w:right w:val="single" w:sz="8" w:color="auto"/>
            </w:tcBorders>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or dilution from equity grants.</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6"/>
              </w:rPr>
              <w:t>stockholder value creation, to encourage retention and to ensure a</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8"/>
              </w:rPr>
              <w:t>significant portion of the award is performance-based. Equity awards are</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9"/>
              </w:rPr>
              <w:t>granted on the basis of the executive’s prior year’s performance and are</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subject to time or performance-based vesting conditions. A significant</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4"/>
              </w:rPr>
              <w:t>portion of such awards only pay out according to the achievement of</w:t>
            </w:r>
          </w:p>
        </w:tc>
        <w:tc>
          <w:tcPr>
            <w:tcW w:w="62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Company performance goals covering a 3-year period.</w:t>
            </w:r>
          </w:p>
        </w:tc>
        <w:tc>
          <w:tcPr>
            <w:tcW w:w="620" w:type="dxa"/>
            <w:vAlign w:val="bottom"/>
            <w:tcBorders>
              <w:right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08"/>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4"/>
              </w:rPr>
              <w:t>We hold dividends accrued under our equity awards, if any, until the</w:t>
            </w:r>
          </w:p>
        </w:tc>
        <w:tc>
          <w:tcPr>
            <w:tcW w:w="620" w:type="dxa"/>
            <w:vAlign w:val="bottom"/>
            <w:tcBorders>
              <w:right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recipient vests in the underlying shares or units.</w:t>
            </w:r>
          </w:p>
        </w:tc>
        <w:tc>
          <w:tcPr>
            <w:tcW w:w="620" w:type="dxa"/>
            <w:vAlign w:val="bottom"/>
            <w:tcBorders>
              <w:right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53"/>
        </w:trPr>
        <w:tc>
          <w:tcPr>
            <w:tcW w:w="540" w:type="dxa"/>
            <w:vAlign w:val="bottom"/>
            <w:tcBorders>
              <w:bottom w:val="single" w:sz="8" w:color="auto"/>
              <w:right w:val="single" w:sz="8" w:color="auto"/>
            </w:tcBorders>
          </w:tcPr>
          <w:p>
            <w:pPr>
              <w:spacing w:after="0"/>
              <w:rPr>
                <w:sz w:val="22"/>
                <w:szCs w:val="22"/>
                <w:color w:val="auto"/>
              </w:rPr>
            </w:pPr>
          </w:p>
        </w:tc>
        <w:tc>
          <w:tcPr>
            <w:tcW w:w="47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608"/>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00" w:type="dxa"/>
            <w:vAlign w:val="bottom"/>
          </w:tcPr>
          <w:p>
            <w:pPr>
              <w:ind w:left="1980"/>
              <w:spacing w:after="0"/>
              <w:rPr>
                <w:sz w:val="20"/>
                <w:szCs w:val="20"/>
                <w:color w:val="auto"/>
              </w:rPr>
            </w:pPr>
            <w:r>
              <w:rPr>
                <w:rFonts w:ascii="Arial" w:cs="Arial" w:eastAsia="Arial" w:hAnsi="Arial"/>
                <w:sz w:val="13"/>
                <w:szCs w:val="13"/>
                <w:color w:val="auto"/>
              </w:rPr>
              <w:t>EXL 2023 Proxy Statement</w:t>
            </w:r>
          </w:p>
        </w:tc>
        <w:tc>
          <w:tcPr>
            <w:tcW w:w="520" w:type="dxa"/>
            <w:vAlign w:val="bottom"/>
          </w:tcPr>
          <w:p>
            <w:pPr>
              <w:jc w:val="right"/>
              <w:ind w:right="1"/>
              <w:spacing w:after="0"/>
              <w:rPr>
                <w:sz w:val="20"/>
                <w:szCs w:val="20"/>
                <w:color w:val="auto"/>
              </w:rPr>
            </w:pPr>
            <w:r>
              <w:rPr>
                <w:rFonts w:ascii="Arial" w:cs="Arial" w:eastAsia="Arial" w:hAnsi="Arial"/>
                <w:sz w:val="28"/>
                <w:szCs w:val="28"/>
                <w:b w:val="1"/>
                <w:bCs w:val="1"/>
                <w:color w:val="FB4E0B"/>
              </w:rPr>
              <w:t>/</w:t>
            </w:r>
          </w:p>
        </w:tc>
        <w:tc>
          <w:tcPr>
            <w:tcW w:w="540" w:type="dxa"/>
            <w:vAlign w:val="bottom"/>
          </w:tcPr>
          <w:p>
            <w:pPr>
              <w:jc w:val="right"/>
              <w:ind w:right="113"/>
              <w:spacing w:after="0"/>
              <w:rPr>
                <w:sz w:val="20"/>
                <w:szCs w:val="20"/>
                <w:color w:val="auto"/>
              </w:rPr>
            </w:pPr>
            <w:r>
              <w:rPr>
                <w:rFonts w:ascii="Arial" w:cs="Arial" w:eastAsia="Arial" w:hAnsi="Arial"/>
                <w:sz w:val="17"/>
                <w:szCs w:val="17"/>
                <w:b w:val="1"/>
                <w:bCs w:val="1"/>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-4520565</wp:posOffset>
            </wp:positionV>
            <wp:extent cx="173355" cy="1733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-4520565</wp:posOffset>
            </wp:positionV>
            <wp:extent cx="173355" cy="1733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-3248660</wp:posOffset>
            </wp:positionV>
            <wp:extent cx="173355" cy="1733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-3248660</wp:posOffset>
            </wp:positionV>
            <wp:extent cx="173355" cy="1733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-1868805</wp:posOffset>
            </wp:positionV>
            <wp:extent cx="173355" cy="1733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-1868805</wp:posOffset>
            </wp:positionV>
            <wp:extent cx="173355" cy="1733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6"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540" w:type="dxa"/>
            <w:vAlign w:val="bottom"/>
            <w:tcBorders>
              <w:top w:val="single" w:sz="8" w:color="auto"/>
              <w:right w:val="single" w:sz="8" w:color="auto"/>
            </w:tcBorders>
          </w:tcPr>
          <w:p>
            <w:pPr>
              <w:spacing w:after="0"/>
              <w:rPr>
                <w:sz w:val="20"/>
                <w:szCs w:val="20"/>
                <w:color w:val="auto"/>
              </w:rPr>
            </w:pPr>
          </w:p>
        </w:tc>
        <w:tc>
          <w:tcPr>
            <w:tcW w:w="4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w w:val="92"/>
              </w:rPr>
              <w:t>Maintain an independent Compensation and Talent Management</w:t>
            </w:r>
          </w:p>
        </w:tc>
        <w:tc>
          <w:tcPr>
            <w:tcW w:w="620" w:type="dxa"/>
            <w:vAlign w:val="bottom"/>
            <w:tcBorders>
              <w:top w:val="single" w:sz="8" w:color="auto"/>
              <w:right w:val="single" w:sz="8" w:color="auto"/>
            </w:tcBorders>
          </w:tcPr>
          <w:p>
            <w:pPr>
              <w:spacing w:after="0"/>
              <w:rPr>
                <w:sz w:val="20"/>
                <w:szCs w:val="20"/>
                <w:color w:val="auto"/>
              </w:rPr>
            </w:pPr>
          </w:p>
        </w:tc>
        <w:tc>
          <w:tcPr>
            <w:tcW w:w="4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w w:val="90"/>
              </w:rPr>
              <w:t xml:space="preserve">Limited perquisites: </w:t>
            </w:r>
            <w:r>
              <w:rPr>
                <w:rFonts w:ascii="Arial" w:cs="Arial" w:eastAsia="Arial" w:hAnsi="Arial"/>
                <w:sz w:val="16"/>
                <w:szCs w:val="16"/>
                <w:color w:val="auto"/>
                <w:w w:val="90"/>
              </w:rPr>
              <w:t>We provide our named executive officers with only</w:t>
            </w: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88"/>
              </w:rPr>
              <w:t xml:space="preserve">Committee and consultant: </w:t>
            </w:r>
            <w:r>
              <w:rPr>
                <w:rFonts w:ascii="Arial" w:cs="Arial" w:eastAsia="Arial" w:hAnsi="Arial"/>
                <w:sz w:val="16"/>
                <w:szCs w:val="16"/>
                <w:color w:val="auto"/>
                <w:w w:val="88"/>
              </w:rPr>
              <w:t>Compensation decisions for our NEOs are</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89"/>
              </w:rPr>
              <w:t>limited perquisites and personal benefits that serve an important business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6"/>
              </w:rPr>
              <w:t>approved by a Compensation and Talent Management Committee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8"/>
              </w:rPr>
              <w:t>purpose in addition to the regular benefits offered to all employees.</w:t>
            </w: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composed of non-employee independent directors.</w:t>
            </w:r>
          </w:p>
        </w:tc>
        <w:tc>
          <w:tcPr>
            <w:tcW w:w="620" w:type="dxa"/>
            <w:vAlign w:val="bottom"/>
            <w:tcBorders>
              <w:right w:val="single" w:sz="8" w:color="auto"/>
            </w:tcBorders>
          </w:tcPr>
          <w:p>
            <w:pPr>
              <w:spacing w:after="0"/>
              <w:rPr>
                <w:sz w:val="17"/>
                <w:szCs w:val="17"/>
                <w:color w:val="auto"/>
              </w:rPr>
            </w:pPr>
          </w:p>
        </w:tc>
        <w:tc>
          <w:tcPr>
            <w:tcW w:w="4760" w:type="dxa"/>
            <w:vAlign w:val="bottom"/>
            <w:vMerge w:val="restart"/>
          </w:tcPr>
          <w:p>
            <w:pPr>
              <w:ind w:left="80"/>
              <w:spacing w:after="0"/>
              <w:rPr>
                <w:sz w:val="20"/>
                <w:szCs w:val="20"/>
                <w:color w:val="auto"/>
              </w:rPr>
            </w:pPr>
            <w:r>
              <w:rPr>
                <w:rFonts w:ascii="Arial" w:cs="Arial" w:eastAsia="Arial" w:hAnsi="Arial"/>
                <w:sz w:val="16"/>
                <w:szCs w:val="16"/>
                <w:color w:val="auto"/>
                <w:w w:val="94"/>
              </w:rPr>
              <w:t>We consider the perquisites and personal benefits that we offer to our</w:t>
            </w:r>
          </w:p>
        </w:tc>
        <w:tc>
          <w:tcPr>
            <w:tcW w:w="0" w:type="dxa"/>
            <w:vAlign w:val="bottom"/>
          </w:tcPr>
          <w:p>
            <w:pPr>
              <w:spacing w:after="0"/>
              <w:rPr>
                <w:sz w:val="1"/>
                <w:szCs w:val="1"/>
                <w:color w:val="auto"/>
              </w:rPr>
            </w:pPr>
          </w:p>
        </w:tc>
      </w:tr>
      <w:tr>
        <w:trPr>
          <w:trHeight w:val="113"/>
        </w:trPr>
        <w:tc>
          <w:tcPr>
            <w:tcW w:w="540" w:type="dxa"/>
            <w:vAlign w:val="bottom"/>
            <w:tcBorders>
              <w:right w:val="single" w:sz="8" w:color="auto"/>
            </w:tcBorders>
          </w:tcPr>
          <w:p>
            <w:pPr>
              <w:spacing w:after="0"/>
              <w:rPr>
                <w:sz w:val="9"/>
                <w:szCs w:val="9"/>
                <w:color w:val="auto"/>
              </w:rPr>
            </w:pPr>
          </w:p>
        </w:tc>
        <w:tc>
          <w:tcPr>
            <w:tcW w:w="470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8"/>
              </w:rPr>
              <w:t>Our Compensation and Talent Management Committee is advised by an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5"/>
              </w:rPr>
              <w:t>executives in India to be customary benefits which allow us to remain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independent consultant who reports directly to the Compensation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competitive for top talent.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Talent Management Committee and provides no other services to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Company or management.</w:t>
            </w:r>
          </w:p>
        </w:tc>
        <w:tc>
          <w:tcPr>
            <w:tcW w:w="620" w:type="dxa"/>
            <w:vAlign w:val="bottom"/>
            <w:tcBorders>
              <w:right w:val="single" w:sz="8" w:color="auto"/>
            </w:tcBorders>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40" w:type="dxa"/>
            <w:vAlign w:val="bottom"/>
            <w:tcBorders>
              <w:bottom w:val="single" w:sz="8" w:color="auto"/>
              <w:right w:val="single" w:sz="8" w:color="auto"/>
            </w:tcBorders>
          </w:tcPr>
          <w:p>
            <w:pPr>
              <w:spacing w:after="0"/>
              <w:rPr>
                <w:sz w:val="22"/>
                <w:szCs w:val="22"/>
                <w:color w:val="auto"/>
              </w:rPr>
            </w:pPr>
          </w:p>
        </w:tc>
        <w:tc>
          <w:tcPr>
            <w:tcW w:w="47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95"/>
              </w:rPr>
              <w:t xml:space="preserve">Mitigate risks: </w:t>
            </w:r>
            <w:r>
              <w:rPr>
                <w:rFonts w:ascii="Arial" w:cs="Arial" w:eastAsia="Arial" w:hAnsi="Arial"/>
                <w:sz w:val="16"/>
                <w:szCs w:val="16"/>
                <w:color w:val="auto"/>
                <w:w w:val="95"/>
              </w:rPr>
              <w:t>The mix and design of our compensation programs</w:t>
            </w:r>
          </w:p>
        </w:tc>
        <w:tc>
          <w:tcPr>
            <w:tcW w:w="620" w:type="dxa"/>
            <w:vAlign w:val="bottom"/>
            <w:tcBorders>
              <w:right w:val="single" w:sz="8" w:color="auto"/>
            </w:tcBorders>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6"/>
                <w:szCs w:val="16"/>
                <w:b w:val="1"/>
                <w:bCs w:val="1"/>
                <w:color w:val="auto"/>
                <w:w w:val="92"/>
              </w:rPr>
              <w:t xml:space="preserve">No tax gross-ups: </w:t>
            </w:r>
            <w:r>
              <w:rPr>
                <w:rFonts w:ascii="Arial" w:cs="Arial" w:eastAsia="Arial" w:hAnsi="Arial"/>
                <w:sz w:val="16"/>
                <w:szCs w:val="16"/>
                <w:color w:val="auto"/>
                <w:w w:val="92"/>
              </w:rPr>
              <w:t>We do not provide “gross-ups” to any of our named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0"/>
              </w:rPr>
              <w:t>serves to mitigate operational, financial, legal, regulatory, strategic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0"/>
              </w:rPr>
              <w:t>executive officers, including gross-ups for any excise taxes imposed with</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reputational risks.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2"/>
              </w:rPr>
              <w:t>respect to Section 280G (change-in-control payments) or Section 409A</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0"/>
              </w:rPr>
              <w:t>(nonqualified deferred compensation) of the U.S. Internal Revenue Code</w:t>
            </w: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of 1986, as amended (which we refer to as the “Code”).</w:t>
            </w:r>
          </w:p>
        </w:tc>
        <w:tc>
          <w:tcPr>
            <w:tcW w:w="0" w:type="dxa"/>
            <w:vAlign w:val="bottom"/>
          </w:tcPr>
          <w:p>
            <w:pPr>
              <w:spacing w:after="0"/>
              <w:rPr>
                <w:sz w:val="1"/>
                <w:szCs w:val="1"/>
                <w:color w:val="auto"/>
              </w:rPr>
            </w:pPr>
          </w:p>
        </w:tc>
      </w:tr>
      <w:tr>
        <w:trPr>
          <w:trHeight w:val="253"/>
        </w:trPr>
        <w:tc>
          <w:tcPr>
            <w:tcW w:w="540" w:type="dxa"/>
            <w:vAlign w:val="bottom"/>
            <w:tcBorders>
              <w:bottom w:val="single" w:sz="8" w:color="auto"/>
              <w:right w:val="single" w:sz="8" w:color="auto"/>
            </w:tcBorders>
          </w:tcPr>
          <w:p>
            <w:pPr>
              <w:spacing w:after="0"/>
              <w:rPr>
                <w:sz w:val="22"/>
                <w:szCs w:val="22"/>
                <w:color w:val="auto"/>
              </w:rPr>
            </w:pPr>
          </w:p>
        </w:tc>
        <w:tc>
          <w:tcPr>
            <w:tcW w:w="47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93"/>
              </w:rPr>
              <w:t xml:space="preserve">Maintain a clawback policy: </w:t>
            </w:r>
            <w:r>
              <w:rPr>
                <w:rFonts w:ascii="Arial" w:cs="Arial" w:eastAsia="Arial" w:hAnsi="Arial"/>
                <w:sz w:val="16"/>
                <w:szCs w:val="16"/>
                <w:color w:val="auto"/>
                <w:w w:val="93"/>
              </w:rPr>
              <w:t>We maintain a compensation recovery</w:t>
            </w:r>
          </w:p>
        </w:tc>
        <w:tc>
          <w:tcPr>
            <w:tcW w:w="620" w:type="dxa"/>
            <w:vAlign w:val="bottom"/>
            <w:tcBorders>
              <w:right w:val="single" w:sz="8" w:color="auto"/>
            </w:tcBorders>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6"/>
                <w:szCs w:val="16"/>
                <w:b w:val="1"/>
                <w:bCs w:val="1"/>
                <w:color w:val="auto"/>
                <w:w w:val="95"/>
              </w:rPr>
              <w:t xml:space="preserve">No hedging: </w:t>
            </w:r>
            <w:r>
              <w:rPr>
                <w:rFonts w:ascii="Arial" w:cs="Arial" w:eastAsia="Arial" w:hAnsi="Arial"/>
                <w:sz w:val="16"/>
                <w:szCs w:val="16"/>
                <w:color w:val="auto"/>
                <w:w w:val="95"/>
              </w:rPr>
              <w:t>We maintain a policy in which the following persons are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policy that allows the Company to recover compensation (including</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88"/>
              </w:rPr>
              <w:t>prohibited from engaging in hedging transactions involving our shares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8"/>
              </w:rPr>
              <w:t>cash and/or equity awards) previously paid to one or more officers in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87"/>
              </w:rPr>
              <w:t>other securities: our directors and their secretaries and other assistants; our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8"/>
              </w:rPr>
              <w:t>event of a financial restatement caused by noncompliance with reporting</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87"/>
              </w:rPr>
              <w:t>executive officers and their secretaries and other assistants; our employees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requirements that impacts the applicable performance metric if, in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7"/>
              </w:rPr>
              <w:t>in the accounting, finance and legal departments; the members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opinion of our board of directors or Compensation and Talent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0"/>
              </w:rPr>
              <w:t>permanent invitees of our operating and executive committees; and all of</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Management Committee, the identified executive’s misconduct was a</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0"/>
              </w:rPr>
              <w:t>our vice president level 2 and 3 officers (whom we refer to collectively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material factor causing the restatement.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89"/>
              </w:rPr>
              <w:t>“Reporting Persons”). For this purpose, “hedging” refers to any strategy to</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9"/>
              </w:rPr>
              <w:t>offset or reduce the risk of price fluctuations in our shares or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89"/>
              </w:rPr>
              <w:t>securities or to protect, in whole or in part, against declines in the value of</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our shares or other securities. This prohibition thus applies to all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5"/>
              </w:rPr>
              <w:t>transactions in derivative securities based on our stock such as other</w:t>
            </w: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securities, including puts, calls, swaps and collar arrangements.</w:t>
            </w:r>
          </w:p>
        </w:tc>
        <w:tc>
          <w:tcPr>
            <w:tcW w:w="0" w:type="dxa"/>
            <w:vAlign w:val="bottom"/>
          </w:tcPr>
          <w:p>
            <w:pPr>
              <w:spacing w:after="0"/>
              <w:rPr>
                <w:sz w:val="1"/>
                <w:szCs w:val="1"/>
                <w:color w:val="auto"/>
              </w:rPr>
            </w:pPr>
          </w:p>
        </w:tc>
      </w:tr>
      <w:tr>
        <w:trPr>
          <w:trHeight w:val="253"/>
        </w:trPr>
        <w:tc>
          <w:tcPr>
            <w:tcW w:w="540" w:type="dxa"/>
            <w:vAlign w:val="bottom"/>
            <w:tcBorders>
              <w:bottom w:val="single" w:sz="8" w:color="auto"/>
              <w:right w:val="single" w:sz="8" w:color="auto"/>
            </w:tcBorders>
          </w:tcPr>
          <w:p>
            <w:pPr>
              <w:spacing w:after="0"/>
              <w:rPr>
                <w:sz w:val="22"/>
                <w:szCs w:val="22"/>
                <w:color w:val="auto"/>
              </w:rPr>
            </w:pPr>
          </w:p>
        </w:tc>
        <w:tc>
          <w:tcPr>
            <w:tcW w:w="47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 xml:space="preserve">Maintain a robust stock ownership policy: </w:t>
            </w:r>
            <w:r>
              <w:rPr>
                <w:rFonts w:ascii="Arial" w:cs="Arial" w:eastAsia="Arial" w:hAnsi="Arial"/>
                <w:sz w:val="16"/>
                <w:szCs w:val="16"/>
                <w:color w:val="auto"/>
                <w:w w:val="97"/>
              </w:rPr>
              <w:t>We maintain a stock</w:t>
            </w:r>
          </w:p>
        </w:tc>
        <w:tc>
          <w:tcPr>
            <w:tcW w:w="620" w:type="dxa"/>
            <w:vAlign w:val="bottom"/>
            <w:tcBorders>
              <w:right w:val="single" w:sz="8" w:color="auto"/>
            </w:tcBorders>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6"/>
                <w:szCs w:val="16"/>
                <w:b w:val="1"/>
                <w:bCs w:val="1"/>
                <w:color w:val="auto"/>
                <w:w w:val="90"/>
              </w:rPr>
              <w:t xml:space="preserve">No pledging: </w:t>
            </w:r>
            <w:r>
              <w:rPr>
                <w:rFonts w:ascii="Arial" w:cs="Arial" w:eastAsia="Arial" w:hAnsi="Arial"/>
                <w:sz w:val="16"/>
                <w:szCs w:val="16"/>
                <w:color w:val="auto"/>
                <w:w w:val="90"/>
              </w:rPr>
              <w:t>Under our policy mentioned above, Reporting Persons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4"/>
              </w:rPr>
              <w:t>ownership policy that requires our CEO to maintain aggregate stock</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7"/>
              </w:rPr>
              <w:t>defined above) are only permitted to pledge shares of our stock that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2"/>
              </w:rPr>
              <w:t>ownership equal to at least six times his base salary and vested stock</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w w:val="94"/>
              </w:rPr>
              <w:t>exceed those required to be owned under our Stock Ownership Policy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7"/>
              </w:rPr>
              <w:t>ownership equal to at least three times his base salary, and that, effective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described above.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as of January 1, 2022, requires the other members of our executive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committee to maintain vested stock ownership equal to at least two</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6"/>
              </w:rPr>
              <w:t>times their respective base salaries. Covered executives have three years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from their hire date to attain the required stock ownership levels (or</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6"/>
              </w:rPr>
              <w:t>three years from January 1, 2022 for existing covered executives).</w:t>
            </w:r>
          </w:p>
        </w:tc>
        <w:tc>
          <w:tcPr>
            <w:tcW w:w="620" w:type="dxa"/>
            <w:vAlign w:val="bottom"/>
            <w:tcBorders>
              <w:right w:val="single" w:sz="8" w:color="auto"/>
            </w:tcBorders>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We maintain a similar stock ownership policy for our non-employee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1"/>
              </w:rPr>
              <w:t>directors that requires directors to maintain stock ownership of at least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4"/>
              </w:rPr>
              <w:t>five times their respective annual cash retainers. Directors have five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89"/>
              </w:rPr>
              <w:t>years from their appointment date to attain the required stock ownership</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levels.</w:t>
            </w:r>
          </w:p>
        </w:tc>
        <w:tc>
          <w:tcPr>
            <w:tcW w:w="620" w:type="dxa"/>
            <w:vAlign w:val="bottom"/>
            <w:tcBorders>
              <w:right w:val="single" w:sz="8" w:color="auto"/>
            </w:tcBorders>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0"/>
              </w:rPr>
              <w:t>As of December 31, 2022, all covered executives and directors were in</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compliance with the stock ownership policy.</w:t>
            </w:r>
          </w:p>
        </w:tc>
        <w:tc>
          <w:tcPr>
            <w:tcW w:w="620" w:type="dxa"/>
            <w:vAlign w:val="bottom"/>
            <w:tcBorders>
              <w:right w:val="single" w:sz="8" w:color="auto"/>
            </w:tcBorders>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40" w:type="dxa"/>
            <w:vAlign w:val="bottom"/>
            <w:tcBorders>
              <w:right w:val="single" w:sz="8" w:color="auto"/>
            </w:tcBorders>
          </w:tcPr>
          <w:p>
            <w:pPr>
              <w:spacing w:after="0"/>
              <w:rPr>
                <w:sz w:val="22"/>
                <w:szCs w:val="22"/>
                <w:color w:val="auto"/>
              </w:rPr>
            </w:pPr>
          </w:p>
        </w:tc>
        <w:tc>
          <w:tcPr>
            <w:tcW w:w="470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4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540" w:type="dxa"/>
            <w:vAlign w:val="bottom"/>
            <w:tcBorders>
              <w:bottom w:val="single" w:sz="8" w:color="FB4E0B"/>
            </w:tcBorders>
          </w:tcPr>
          <w:p>
            <w:pPr>
              <w:spacing w:after="0"/>
              <w:rPr>
                <w:sz w:val="3"/>
                <w:szCs w:val="3"/>
                <w:color w:val="auto"/>
              </w:rPr>
            </w:pPr>
          </w:p>
        </w:tc>
        <w:tc>
          <w:tcPr>
            <w:tcW w:w="4700" w:type="dxa"/>
            <w:vAlign w:val="bottom"/>
            <w:tcBorders>
              <w:bottom w:val="single" w:sz="8" w:color="FB4E0B"/>
            </w:tcBorders>
          </w:tcPr>
          <w:p>
            <w:pPr>
              <w:spacing w:after="0"/>
              <w:rPr>
                <w:sz w:val="3"/>
                <w:szCs w:val="3"/>
                <w:color w:val="auto"/>
              </w:rPr>
            </w:pPr>
          </w:p>
        </w:tc>
        <w:tc>
          <w:tcPr>
            <w:tcW w:w="620" w:type="dxa"/>
            <w:vAlign w:val="bottom"/>
            <w:tcBorders>
              <w:bottom w:val="single" w:sz="8" w:color="FB4E0B"/>
            </w:tcBorders>
          </w:tcPr>
          <w:p>
            <w:pPr>
              <w:spacing w:after="0"/>
              <w:rPr>
                <w:sz w:val="3"/>
                <w:szCs w:val="3"/>
                <w:color w:val="auto"/>
              </w:rPr>
            </w:pPr>
          </w:p>
        </w:tc>
        <w:tc>
          <w:tcPr>
            <w:tcW w:w="476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-6195060</wp:posOffset>
            </wp:positionV>
            <wp:extent cx="173355" cy="1733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-6195060</wp:posOffset>
            </wp:positionV>
            <wp:extent cx="173355" cy="1733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-4939030</wp:posOffset>
            </wp:positionV>
            <wp:extent cx="173355" cy="1733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-4939030</wp:posOffset>
            </wp:positionV>
            <wp:extent cx="173355" cy="1733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-4130040</wp:posOffset>
            </wp:positionV>
            <wp:extent cx="173355" cy="1733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-4130040</wp:posOffset>
            </wp:positionV>
            <wp:extent cx="173355" cy="173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-2329180</wp:posOffset>
            </wp:positionV>
            <wp:extent cx="173355" cy="1733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-2329180</wp:posOffset>
            </wp:positionV>
            <wp:extent cx="173355" cy="1733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pacing w:after="0" w:line="91"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70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Overview of compensation policies and philosophies</w:t>
      </w:r>
    </w:p>
    <w:p>
      <w:pPr>
        <w:spacing w:after="0" w:line="117" w:lineRule="exact"/>
        <w:rPr>
          <w:sz w:val="20"/>
          <w:szCs w:val="20"/>
          <w:color w:val="auto"/>
        </w:rPr>
      </w:pPr>
    </w:p>
    <w:p>
      <w:pPr>
        <w:ind w:left="320" w:right="160"/>
        <w:spacing w:after="0" w:line="287" w:lineRule="auto"/>
        <w:rPr>
          <w:sz w:val="20"/>
          <w:szCs w:val="20"/>
          <w:color w:val="auto"/>
        </w:rPr>
      </w:pPr>
      <w:r>
        <w:rPr>
          <w:rFonts w:ascii="Arial" w:cs="Arial" w:eastAsia="Arial" w:hAnsi="Arial"/>
          <w:sz w:val="16"/>
          <w:szCs w:val="16"/>
          <w:color w:val="auto"/>
        </w:rPr>
        <w:t>We believe that our long-term success is linked to our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61" w:lineRule="exact"/>
        <w:rPr>
          <w:sz w:val="20"/>
          <w:szCs w:val="20"/>
          <w:color w:val="auto"/>
        </w:rPr>
      </w:pPr>
    </w:p>
    <w:p>
      <w:pPr>
        <w:ind w:left="320" w:right="500"/>
        <w:spacing w:after="0" w:line="286" w:lineRule="auto"/>
        <w:rPr>
          <w:sz w:val="20"/>
          <w:szCs w:val="20"/>
          <w:color w:val="auto"/>
        </w:rPr>
      </w:pPr>
      <w:r>
        <w:rPr>
          <w:rFonts w:ascii="Arial" w:cs="Arial" w:eastAsia="Arial" w:hAnsi="Arial"/>
          <w:sz w:val="17"/>
          <w:szCs w:val="17"/>
          <w:color w:val="auto"/>
        </w:rPr>
        <w:t>Our Compensation and Talent Management Committee bases its executive compensation programs on the following objectives, which guide us in establishing all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463550</wp:posOffset>
            </wp:positionV>
            <wp:extent cx="6740525" cy="7518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40525" cy="751840"/>
                    </a:xfrm>
                    <a:prstGeom prst="rect">
                      <a:avLst/>
                    </a:prstGeom>
                    <a:noFill/>
                  </pic:spPr>
                </pic:pic>
              </a:graphicData>
            </a:graphic>
          </wp:anchor>
        </w:drawing>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right="1680"/>
        <w:spacing w:after="0" w:line="361" w:lineRule="auto"/>
        <w:rPr>
          <w:sz w:val="20"/>
          <w:szCs w:val="20"/>
          <w:color w:val="auto"/>
        </w:rPr>
      </w:pPr>
      <w:r>
        <w:rPr>
          <w:rFonts w:ascii="Arial" w:cs="Arial" w:eastAsia="Arial" w:hAnsi="Arial"/>
          <w:sz w:val="18"/>
          <w:szCs w:val="18"/>
          <w:b w:val="1"/>
          <w:bCs w:val="1"/>
          <w:color w:val="auto"/>
        </w:rPr>
        <w:t>Compensation should be based on responsibility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100965</wp:posOffset>
            </wp:positionV>
            <wp:extent cx="3230245" cy="1057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30245" cy="1057275"/>
                    </a:xfrm>
                    <a:prstGeom prst="rect">
                      <a:avLst/>
                    </a:prstGeom>
                    <a:noFill/>
                  </pic:spPr>
                </pic:pic>
              </a:graphicData>
            </a:graphic>
          </wp:anchor>
        </w:drawing>
      </w:r>
    </w:p>
    <w:p>
      <w:pPr>
        <w:spacing w:after="0" w:line="229" w:lineRule="exact"/>
        <w:rPr>
          <w:sz w:val="20"/>
          <w:szCs w:val="20"/>
          <w:color w:val="auto"/>
        </w:rPr>
      </w:pPr>
    </w:p>
    <w:p>
      <w:pPr>
        <w:ind w:left="460" w:right="860"/>
        <w:spacing w:after="0" w:line="286" w:lineRule="auto"/>
        <w:rPr>
          <w:sz w:val="20"/>
          <w:szCs w:val="20"/>
          <w:color w:val="auto"/>
        </w:rPr>
      </w:pPr>
      <w:r>
        <w:rPr>
          <w:rFonts w:ascii="Arial" w:cs="Arial" w:eastAsia="Arial" w:hAnsi="Arial"/>
          <w:sz w:val="18"/>
          <w:szCs w:val="18"/>
          <w:b w:val="1"/>
          <w:bCs w:val="1"/>
          <w:color w:val="FB4E0B"/>
        </w:rPr>
        <w:t>Our compensation program should deliver top-tier compensation in return for top-tier individual and company performance, and lower tier compensation for individual performance and/or our performance that falls short of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151765</wp:posOffset>
            </wp:positionV>
            <wp:extent cx="3230245" cy="7518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30245" cy="751840"/>
                    </a:xfrm>
                    <a:prstGeom prst="rect">
                      <a:avLst/>
                    </a:prstGeom>
                    <a:noFill/>
                  </pic:spPr>
                </pic:pic>
              </a:graphicData>
            </a:graphic>
          </wp:anchor>
        </w:drawing>
      </w:r>
    </w:p>
    <w:p>
      <w:pPr>
        <w:spacing w:after="0" w:line="308" w:lineRule="exact"/>
        <w:rPr>
          <w:sz w:val="20"/>
          <w:szCs w:val="20"/>
          <w:color w:val="auto"/>
        </w:rPr>
      </w:pPr>
    </w:p>
    <w:p>
      <w:pPr>
        <w:ind w:left="460" w:right="920"/>
        <w:spacing w:after="0" w:line="242" w:lineRule="auto"/>
        <w:rPr>
          <w:sz w:val="20"/>
          <w:szCs w:val="20"/>
          <w:color w:val="auto"/>
        </w:rPr>
      </w:pPr>
      <w:r>
        <w:rPr>
          <w:rFonts w:ascii="Arial" w:cs="Arial" w:eastAsia="Arial" w:hAnsi="Arial"/>
          <w:sz w:val="21"/>
          <w:szCs w:val="21"/>
          <w:b w:val="1"/>
          <w:bCs w:val="1"/>
          <w:color w:val="auto"/>
        </w:rPr>
        <w:t>Pay-for-performance and retention must be balanced in order to ensure the ongoing motivation and commitment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167005</wp:posOffset>
            </wp:positionV>
            <wp:extent cx="3230245" cy="4540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30245" cy="454025"/>
                    </a:xfrm>
                    <a:prstGeom prst="rect">
                      <a:avLst/>
                    </a:prstGeom>
                    <a:noFill/>
                  </pic:spPr>
                </pic:pic>
              </a:graphicData>
            </a:graphic>
          </wp:anchor>
        </w:drawing>
      </w:r>
    </w:p>
    <w:p>
      <w:pPr>
        <w:spacing w:after="0" w:line="333" w:lineRule="exact"/>
        <w:rPr>
          <w:sz w:val="20"/>
          <w:szCs w:val="20"/>
          <w:color w:val="auto"/>
        </w:rPr>
      </w:pPr>
    </w:p>
    <w:p>
      <w:pPr>
        <w:ind w:left="460" w:right="1100"/>
        <w:spacing w:after="0" w:line="287" w:lineRule="auto"/>
        <w:rPr>
          <w:sz w:val="20"/>
          <w:szCs w:val="20"/>
          <w:color w:val="auto"/>
        </w:rPr>
      </w:pPr>
      <w:r>
        <w:rPr>
          <w:rFonts w:ascii="Arial" w:cs="Arial" w:eastAsia="Arial" w:hAnsi="Arial"/>
          <w:sz w:val="20"/>
          <w:szCs w:val="20"/>
          <w:b w:val="1"/>
          <w:bCs w:val="1"/>
          <w:color w:val="FB4E0B"/>
        </w:rPr>
        <w:t>Compensation should balance long-term and short-term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600"/>
        <w:spacing w:after="0" w:line="258" w:lineRule="auto"/>
        <w:rPr>
          <w:sz w:val="20"/>
          <w:szCs w:val="20"/>
          <w:color w:val="auto"/>
        </w:rPr>
      </w:pPr>
      <w:r>
        <w:rPr>
          <w:rFonts w:ascii="Arial" w:cs="Arial" w:eastAsia="Arial" w:hAnsi="Arial"/>
          <w:sz w:val="20"/>
          <w:szCs w:val="20"/>
          <w:b w:val="1"/>
          <w:bCs w:val="1"/>
          <w:color w:val="FB4E0B"/>
        </w:rPr>
        <w:t>Equity-based compensation should be higher for persons with higher levels of responsibility and greater influence on long-term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157480</wp:posOffset>
            </wp:positionV>
            <wp:extent cx="3296285" cy="6032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96285" cy="603250"/>
                    </a:xfrm>
                    <a:prstGeom prst="rect">
                      <a:avLst/>
                    </a:prstGeom>
                    <a:noFill/>
                  </pic:spPr>
                </pic:pic>
              </a:graphicData>
            </a:graphic>
          </wp:anchor>
        </w:drawing>
      </w:r>
    </w:p>
    <w:p>
      <w:pPr>
        <w:spacing w:after="0" w:line="318" w:lineRule="exact"/>
        <w:rPr>
          <w:sz w:val="20"/>
          <w:szCs w:val="20"/>
          <w:color w:val="auto"/>
        </w:rPr>
      </w:pPr>
    </w:p>
    <w:p>
      <w:pPr>
        <w:ind w:right="1160"/>
        <w:spacing w:after="0" w:line="247" w:lineRule="auto"/>
        <w:rPr>
          <w:sz w:val="20"/>
          <w:szCs w:val="20"/>
          <w:color w:val="auto"/>
        </w:rPr>
      </w:pPr>
      <w:r>
        <w:rPr>
          <w:rFonts w:ascii="Arial" w:cs="Arial" w:eastAsia="Arial" w:hAnsi="Arial"/>
          <w:sz w:val="21"/>
          <w:szCs w:val="21"/>
          <w:b w:val="1"/>
          <w:bCs w:val="1"/>
          <w:color w:val="auto"/>
        </w:rPr>
        <w:t>To enable us to attract and retain top talent, compensation should reflect the value of the job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163195</wp:posOffset>
            </wp:positionV>
            <wp:extent cx="3296285" cy="4540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96285" cy="454025"/>
                    </a:xfrm>
                    <a:prstGeom prst="rect">
                      <a:avLst/>
                    </a:prstGeom>
                    <a:noFill/>
                  </pic:spPr>
                </pic:pic>
              </a:graphicData>
            </a:graphic>
          </wp:anchor>
        </w:drawing>
      </w:r>
    </w:p>
    <w:p>
      <w:pPr>
        <w:spacing w:after="0" w:line="327" w:lineRule="exact"/>
        <w:rPr>
          <w:sz w:val="20"/>
          <w:szCs w:val="20"/>
          <w:color w:val="auto"/>
        </w:rPr>
      </w:pPr>
    </w:p>
    <w:p>
      <w:pPr>
        <w:ind w:right="1540"/>
        <w:spacing w:after="0" w:line="262" w:lineRule="auto"/>
        <w:rPr>
          <w:sz w:val="20"/>
          <w:szCs w:val="20"/>
          <w:color w:val="auto"/>
        </w:rPr>
      </w:pPr>
      <w:r>
        <w:rPr>
          <w:rFonts w:ascii="Arial" w:cs="Arial" w:eastAsia="Arial" w:hAnsi="Arial"/>
          <w:sz w:val="21"/>
          <w:szCs w:val="21"/>
          <w:b w:val="1"/>
          <w:bCs w:val="1"/>
          <w:color w:val="FB4E0B"/>
        </w:rPr>
        <w:t>Compensation programs should be easy to understand.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153670</wp:posOffset>
            </wp:positionV>
            <wp:extent cx="3296285" cy="7188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96285" cy="718820"/>
                    </a:xfrm>
                    <a:prstGeom prst="rect">
                      <a:avLst/>
                    </a:prstGeom>
                    <a:noFill/>
                  </pic:spPr>
                </pic:pic>
              </a:graphicData>
            </a:graphic>
          </wp:anchor>
        </w:drawing>
      </w:r>
    </w:p>
    <w:p>
      <w:pPr>
        <w:spacing w:after="0" w:line="376" w:lineRule="exact"/>
        <w:rPr>
          <w:sz w:val="20"/>
          <w:szCs w:val="20"/>
          <w:color w:val="auto"/>
        </w:rPr>
      </w:pPr>
    </w:p>
    <w:p>
      <w:pPr>
        <w:ind w:right="1000"/>
        <w:spacing w:after="0" w:line="266" w:lineRule="auto"/>
        <w:rPr>
          <w:sz w:val="20"/>
          <w:szCs w:val="20"/>
          <w:color w:val="auto"/>
        </w:rPr>
      </w:pPr>
      <w:r>
        <w:rPr>
          <w:rFonts w:ascii="Arial" w:cs="Arial" w:eastAsia="Arial" w:hAnsi="Arial"/>
          <w:sz w:val="20"/>
          <w:szCs w:val="20"/>
          <w:b w:val="1"/>
          <w:bCs w:val="1"/>
          <w:color w:val="auto"/>
        </w:rPr>
        <w:t>Compensation should be administered uniformly across the Company with clear- cut objectives and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71</w:t>
      </w:r>
    </w:p>
    <w:p>
      <w:pPr>
        <w:sectPr>
          <w:pgSz w:w="11900" w:h="16838" w:orient="portrait"/>
          <w:cols w:equalWidth="0" w:num="2">
            <w:col w:w="5160" w:space="720"/>
            <w:col w:w="5060"/>
          </w:cols>
          <w:pgMar w:left="320" w:top="473" w:right="6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Compensation process: roles and responsibilities</w:t>
      </w:r>
    </w:p>
    <w:p>
      <w:pPr>
        <w:spacing w:after="0" w:line="117" w:lineRule="exact"/>
        <w:rPr>
          <w:sz w:val="20"/>
          <w:szCs w:val="20"/>
          <w:color w:val="auto"/>
        </w:rPr>
      </w:pPr>
    </w:p>
    <w:p>
      <w:pPr>
        <w:jc w:val="both"/>
        <w:ind w:left="320" w:right="240"/>
        <w:spacing w:after="0" w:line="270" w:lineRule="auto"/>
        <w:rPr>
          <w:sz w:val="20"/>
          <w:szCs w:val="20"/>
          <w:color w:val="auto"/>
        </w:rPr>
      </w:pPr>
      <w:r>
        <w:rPr>
          <w:rFonts w:ascii="Arial" w:cs="Arial" w:eastAsia="Arial" w:hAnsi="Arial"/>
          <w:sz w:val="17"/>
          <w:szCs w:val="17"/>
          <w:color w:val="auto"/>
        </w:rPr>
        <w:t>Our Compensation and Talent Management Committee has established a number of processes to assist it in ensuring that our executive compensation programs are achieving their objectives. Our Compensation and Talent Management Committee, our management and our independent compensation consultant are each engaged in these processes, as described in greater detail below.</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328"/>
        </w:trPr>
        <w:tc>
          <w:tcPr>
            <w:tcW w:w="1620" w:type="dxa"/>
            <w:vAlign w:val="bottom"/>
            <w:tcBorders>
              <w:top w:val="single" w:sz="8" w:color="FB4E0B"/>
              <w:right w:val="single" w:sz="8" w:color="auto"/>
            </w:tcBorders>
          </w:tcPr>
          <w:p>
            <w:pPr>
              <w:ind w:left="140"/>
              <w:spacing w:after="0"/>
              <w:rPr>
                <w:sz w:val="20"/>
                <w:szCs w:val="20"/>
                <w:color w:val="auto"/>
              </w:rPr>
            </w:pPr>
            <w:r>
              <w:rPr>
                <w:rFonts w:ascii="Arial" w:cs="Arial" w:eastAsia="Arial" w:hAnsi="Arial"/>
                <w:sz w:val="17"/>
                <w:szCs w:val="17"/>
                <w:b w:val="1"/>
                <w:bCs w:val="1"/>
                <w:color w:val="auto"/>
              </w:rPr>
              <w:t>Company</w:t>
            </w:r>
          </w:p>
        </w:tc>
        <w:tc>
          <w:tcPr>
            <w:tcW w:w="9000" w:type="dxa"/>
            <w:vAlign w:val="bottom"/>
            <w:tcBorders>
              <w:top w:val="single" w:sz="8" w:color="FB4E0B"/>
            </w:tcBorders>
          </w:tcPr>
          <w:p>
            <w:pPr>
              <w:ind w:left="80"/>
              <w:spacing w:after="0"/>
              <w:rPr>
                <w:sz w:val="20"/>
                <w:szCs w:val="20"/>
                <w:color w:val="auto"/>
              </w:rPr>
            </w:pPr>
            <w:r>
              <w:rPr>
                <w:rFonts w:ascii="Arial" w:cs="Arial" w:eastAsia="Arial" w:hAnsi="Arial"/>
                <w:sz w:val="16"/>
                <w:szCs w:val="16"/>
                <w:b w:val="1"/>
                <w:bCs w:val="1"/>
                <w:color w:val="auto"/>
              </w:rPr>
              <w:t>Establishment of performance measures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performance –</w:t>
            </w:r>
          </w:p>
        </w:tc>
        <w:tc>
          <w:tcPr>
            <w:tcW w:w="9000" w:type="dxa"/>
            <w:vAlign w:val="bottom"/>
          </w:tcPr>
          <w:p>
            <w:pPr>
              <w:ind w:left="80"/>
              <w:spacing w:after="0"/>
              <w:rPr>
                <w:sz w:val="20"/>
                <w:szCs w:val="20"/>
                <w:color w:val="auto"/>
              </w:rPr>
            </w:pPr>
            <w:r>
              <w:rPr>
                <w:rFonts w:ascii="Arial" w:cs="Arial" w:eastAsia="Arial" w:hAnsi="Arial"/>
                <w:sz w:val="16"/>
                <w:szCs w:val="16"/>
                <w:color w:val="auto"/>
                <w:w w:val="89"/>
              </w:rPr>
              <w:t>At the beginning of each year, or the end of the prior year, our Compensation and Talent Management Committee establishes the Company-</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w w:val="94"/>
              </w:rPr>
              <w:t>Compensation and</w:t>
            </w:r>
          </w:p>
        </w:tc>
        <w:tc>
          <w:tcPr>
            <w:tcW w:w="9000" w:type="dxa"/>
            <w:vAlign w:val="bottom"/>
          </w:tcPr>
          <w:p>
            <w:pPr>
              <w:ind w:left="80"/>
              <w:spacing w:after="0"/>
              <w:rPr>
                <w:sz w:val="20"/>
                <w:szCs w:val="20"/>
                <w:color w:val="auto"/>
              </w:rPr>
            </w:pPr>
            <w:r>
              <w:rPr>
                <w:rFonts w:ascii="Arial" w:cs="Arial" w:eastAsia="Arial" w:hAnsi="Arial"/>
                <w:sz w:val="16"/>
                <w:szCs w:val="16"/>
                <w:color w:val="auto"/>
                <w:w w:val="89"/>
              </w:rPr>
              <w:t>wide and relevant business line performance measures on which our named executive officers’ annual incentive awards and equity incentive</w:t>
            </w:r>
          </w:p>
        </w:tc>
        <w:tc>
          <w:tcPr>
            <w:tcW w:w="0" w:type="dxa"/>
            <w:vAlign w:val="bottom"/>
          </w:tcPr>
          <w:p>
            <w:pPr>
              <w:spacing w:after="0"/>
              <w:rPr>
                <w:sz w:val="1"/>
                <w:szCs w:val="1"/>
                <w:color w:val="auto"/>
              </w:rPr>
            </w:pPr>
          </w:p>
        </w:tc>
      </w:tr>
      <w:tr>
        <w:trPr>
          <w:trHeight w:val="239"/>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Talent</w:t>
            </w:r>
          </w:p>
        </w:tc>
        <w:tc>
          <w:tcPr>
            <w:tcW w:w="9000" w:type="dxa"/>
            <w:vAlign w:val="bottom"/>
          </w:tcPr>
          <w:p>
            <w:pPr>
              <w:ind w:left="80"/>
              <w:spacing w:after="0"/>
              <w:rPr>
                <w:sz w:val="20"/>
                <w:szCs w:val="20"/>
                <w:color w:val="auto"/>
              </w:rPr>
            </w:pPr>
            <w:r>
              <w:rPr>
                <w:rFonts w:ascii="Arial" w:cs="Arial" w:eastAsia="Arial" w:hAnsi="Arial"/>
                <w:sz w:val="16"/>
                <w:szCs w:val="16"/>
                <w:color w:val="auto"/>
              </w:rPr>
              <w:t>awards are largely based. These measures reflect targets that are intended to encourage stretch performance.</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Management</w:t>
            </w:r>
          </w:p>
        </w:tc>
        <w:tc>
          <w:tcPr>
            <w:tcW w:w="90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Assessment of Company performance</w:t>
            </w:r>
          </w:p>
        </w:tc>
        <w:tc>
          <w:tcPr>
            <w:tcW w:w="0" w:type="dxa"/>
            <w:vAlign w:val="bottom"/>
          </w:tcPr>
          <w:p>
            <w:pPr>
              <w:spacing w:after="0"/>
              <w:rPr>
                <w:sz w:val="1"/>
                <w:szCs w:val="1"/>
                <w:color w:val="auto"/>
              </w:rPr>
            </w:pPr>
          </w:p>
        </w:tc>
      </w:tr>
      <w:tr>
        <w:trPr>
          <w:trHeight w:val="178"/>
        </w:trPr>
        <w:tc>
          <w:tcPr>
            <w:tcW w:w="162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7"/>
                <w:szCs w:val="17"/>
                <w:b w:val="1"/>
                <w:bCs w:val="1"/>
                <w:color w:val="auto"/>
              </w:rPr>
              <w:t>Committee</w:t>
            </w:r>
          </w:p>
        </w:tc>
        <w:tc>
          <w:tcPr>
            <w:tcW w:w="9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95"/>
              </w:rPr>
              <w:t>At the end of the performance period, the Compensation and Talent Management Committee reviews and certifies our performance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92"/>
              </w:rPr>
              <w:t>achievement in relation to the pre-established targets, and considers the appropriateness of adjustments to the performance criteria and</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spacing w:after="0"/>
              <w:rPr>
                <w:sz w:val="17"/>
                <w:szCs w:val="17"/>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rPr>
              <w:t>calculations of performance achievement.</w:t>
            </w:r>
          </w:p>
        </w:tc>
        <w:tc>
          <w:tcPr>
            <w:tcW w:w="0" w:type="dxa"/>
            <w:vAlign w:val="bottom"/>
          </w:tcPr>
          <w:p>
            <w:pPr>
              <w:spacing w:after="0"/>
              <w:rPr>
                <w:sz w:val="1"/>
                <w:szCs w:val="1"/>
                <w:color w:val="auto"/>
              </w:rPr>
            </w:pPr>
          </w:p>
        </w:tc>
      </w:tr>
      <w:tr>
        <w:trPr>
          <w:trHeight w:val="214"/>
        </w:trPr>
        <w:tc>
          <w:tcPr>
            <w:tcW w:w="1620" w:type="dxa"/>
            <w:vAlign w:val="bottom"/>
            <w:tcBorders>
              <w:bottom w:val="single" w:sz="8" w:color="auto"/>
              <w:right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Individual</w:t>
            </w:r>
          </w:p>
        </w:tc>
        <w:tc>
          <w:tcPr>
            <w:tcW w:w="9000" w:type="dxa"/>
            <w:vAlign w:val="bottom"/>
          </w:tcPr>
          <w:p>
            <w:pPr>
              <w:ind w:left="80"/>
              <w:spacing w:after="0"/>
              <w:rPr>
                <w:sz w:val="20"/>
                <w:szCs w:val="20"/>
                <w:color w:val="auto"/>
              </w:rPr>
            </w:pPr>
            <w:r>
              <w:rPr>
                <w:rFonts w:ascii="Arial" w:cs="Arial" w:eastAsia="Arial" w:hAnsi="Arial"/>
                <w:sz w:val="16"/>
                <w:szCs w:val="16"/>
                <w:color w:val="auto"/>
                <w:w w:val="91"/>
              </w:rPr>
              <w:t>The evaluation of an individual’s performance determines a portion of the payouts under our annual incentive program and also influences</w:t>
            </w:r>
          </w:p>
        </w:tc>
        <w:tc>
          <w:tcPr>
            <w:tcW w:w="0" w:type="dxa"/>
            <w:vAlign w:val="bottom"/>
          </w:tcPr>
          <w:p>
            <w:pPr>
              <w:spacing w:after="0"/>
              <w:rPr>
                <w:sz w:val="1"/>
                <w:szCs w:val="1"/>
                <w:color w:val="auto"/>
              </w:rPr>
            </w:pPr>
          </w:p>
        </w:tc>
      </w:tr>
      <w:tr>
        <w:trPr>
          <w:trHeight w:val="213"/>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performance –</w:t>
            </w:r>
          </w:p>
        </w:tc>
        <w:tc>
          <w:tcPr>
            <w:tcW w:w="9000" w:type="dxa"/>
            <w:vAlign w:val="bottom"/>
          </w:tcPr>
          <w:p>
            <w:pPr>
              <w:ind w:left="80"/>
              <w:spacing w:after="0"/>
              <w:rPr>
                <w:sz w:val="20"/>
                <w:szCs w:val="20"/>
                <w:color w:val="auto"/>
              </w:rPr>
            </w:pPr>
            <w:r>
              <w:rPr>
                <w:rFonts w:ascii="Arial" w:cs="Arial" w:eastAsia="Arial" w:hAnsi="Arial"/>
                <w:sz w:val="16"/>
                <w:szCs w:val="16"/>
                <w:color w:val="auto"/>
              </w:rPr>
              <w:t>any changes in base salary for each of our named executive officers.</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w w:val="95"/>
              </w:rPr>
              <w:t>board of directors,</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Compensation</w:t>
            </w:r>
          </w:p>
        </w:tc>
        <w:tc>
          <w:tcPr>
            <w:tcW w:w="9000" w:type="dxa"/>
            <w:vAlign w:val="bottom"/>
          </w:tcPr>
          <w:p>
            <w:pPr>
              <w:ind w:left="80"/>
              <w:spacing w:after="0"/>
              <w:rPr>
                <w:sz w:val="20"/>
                <w:szCs w:val="20"/>
                <w:color w:val="auto"/>
              </w:rPr>
            </w:pPr>
            <w:r>
              <w:rPr>
                <w:rFonts w:ascii="Arial" w:cs="Arial" w:eastAsia="Arial" w:hAnsi="Arial"/>
                <w:sz w:val="16"/>
                <w:szCs w:val="16"/>
                <w:b w:val="1"/>
                <w:bCs w:val="1"/>
                <w:color w:val="auto"/>
              </w:rPr>
              <w:t>Assessment of Vice Chairman and CEO performance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and Nominating</w:t>
            </w:r>
          </w:p>
        </w:tc>
        <w:tc>
          <w:tcPr>
            <w:tcW w:w="9000" w:type="dxa"/>
            <w:vAlign w:val="bottom"/>
          </w:tcPr>
          <w:p>
            <w:pPr>
              <w:ind w:left="80"/>
              <w:spacing w:after="0"/>
              <w:rPr>
                <w:sz w:val="20"/>
                <w:szCs w:val="20"/>
                <w:color w:val="auto"/>
              </w:rPr>
            </w:pPr>
            <w:r>
              <w:rPr>
                <w:rFonts w:ascii="Arial" w:cs="Arial" w:eastAsia="Arial" w:hAnsi="Arial"/>
                <w:sz w:val="16"/>
                <w:szCs w:val="16"/>
                <w:color w:val="auto"/>
                <w:w w:val="90"/>
              </w:rPr>
              <w:t>For Mr. Kapoor, our board of directors reviews and provides feedback on a self-evaluation prepared by Mr. Kapoor. Once all directors have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and Governance</w:t>
            </w:r>
          </w:p>
        </w:tc>
        <w:tc>
          <w:tcPr>
            <w:tcW w:w="9000" w:type="dxa"/>
            <w:vAlign w:val="bottom"/>
          </w:tcPr>
          <w:p>
            <w:pPr>
              <w:ind w:left="80"/>
              <w:spacing w:after="0"/>
              <w:rPr>
                <w:sz w:val="20"/>
                <w:szCs w:val="20"/>
                <w:color w:val="auto"/>
              </w:rPr>
            </w:pPr>
            <w:r>
              <w:rPr>
                <w:rFonts w:ascii="Arial" w:cs="Arial" w:eastAsia="Arial" w:hAnsi="Arial"/>
                <w:sz w:val="16"/>
                <w:szCs w:val="16"/>
                <w:color w:val="auto"/>
                <w:w w:val="92"/>
              </w:rPr>
              <w:t>given feedback on Mr. Kapoor’s performance, our Chairman and Chair of the Compensation and Talent Management Committee lead a</w:t>
            </w:r>
          </w:p>
        </w:tc>
        <w:tc>
          <w:tcPr>
            <w:tcW w:w="0" w:type="dxa"/>
            <w:vAlign w:val="bottom"/>
          </w:tcPr>
          <w:p>
            <w:pPr>
              <w:spacing w:after="0"/>
              <w:rPr>
                <w:sz w:val="1"/>
                <w:szCs w:val="1"/>
                <w:color w:val="auto"/>
              </w:rPr>
            </w:pPr>
          </w:p>
        </w:tc>
      </w:tr>
      <w:tr>
        <w:trPr>
          <w:trHeight w:val="20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Committees, and</w:t>
            </w:r>
          </w:p>
        </w:tc>
        <w:tc>
          <w:tcPr>
            <w:tcW w:w="9000" w:type="dxa"/>
            <w:vAlign w:val="bottom"/>
          </w:tcPr>
          <w:p>
            <w:pPr>
              <w:ind w:left="80"/>
              <w:spacing w:after="0"/>
              <w:rPr>
                <w:sz w:val="20"/>
                <w:szCs w:val="20"/>
                <w:color w:val="auto"/>
              </w:rPr>
            </w:pPr>
            <w:r>
              <w:rPr>
                <w:rFonts w:ascii="Arial" w:cs="Arial" w:eastAsia="Arial" w:hAnsi="Arial"/>
                <w:sz w:val="16"/>
                <w:szCs w:val="16"/>
                <w:color w:val="auto"/>
                <w:w w:val="88"/>
              </w:rPr>
              <w:t>comprehensive discussion of the full board of directors on Mr. Kapoor’s performance, leadership accomplishments and overall competence to</w:t>
            </w:r>
          </w:p>
        </w:tc>
        <w:tc>
          <w:tcPr>
            <w:tcW w:w="0" w:type="dxa"/>
            <w:vAlign w:val="bottom"/>
          </w:tcPr>
          <w:p>
            <w:pPr>
              <w:spacing w:after="0"/>
              <w:rPr>
                <w:sz w:val="1"/>
                <w:szCs w:val="1"/>
                <w:color w:val="auto"/>
              </w:rPr>
            </w:pPr>
          </w:p>
        </w:tc>
      </w:tr>
      <w:tr>
        <w:trPr>
          <w:trHeight w:val="242"/>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Vice Chairman</w:t>
            </w:r>
          </w:p>
        </w:tc>
        <w:tc>
          <w:tcPr>
            <w:tcW w:w="9000" w:type="dxa"/>
            <w:vAlign w:val="bottom"/>
          </w:tcPr>
          <w:p>
            <w:pPr>
              <w:ind w:left="80"/>
              <w:spacing w:after="0"/>
              <w:rPr>
                <w:sz w:val="20"/>
                <w:szCs w:val="20"/>
                <w:color w:val="auto"/>
              </w:rPr>
            </w:pPr>
            <w:r>
              <w:rPr>
                <w:rFonts w:ascii="Arial" w:cs="Arial" w:eastAsia="Arial" w:hAnsi="Arial"/>
                <w:sz w:val="16"/>
                <w:szCs w:val="16"/>
                <w:color w:val="auto"/>
              </w:rPr>
              <w:t>evaluate the achievement of established objectives.</w:t>
            </w:r>
          </w:p>
        </w:tc>
        <w:tc>
          <w:tcPr>
            <w:tcW w:w="0" w:type="dxa"/>
            <w:vAlign w:val="bottom"/>
          </w:tcPr>
          <w:p>
            <w:pPr>
              <w:spacing w:after="0"/>
              <w:rPr>
                <w:sz w:val="1"/>
                <w:szCs w:val="1"/>
                <w:color w:val="auto"/>
              </w:rPr>
            </w:pPr>
          </w:p>
        </w:tc>
      </w:tr>
      <w:tr>
        <w:trPr>
          <w:trHeight w:val="227"/>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and CEO</w:t>
            </w:r>
          </w:p>
        </w:tc>
        <w:tc>
          <w:tcPr>
            <w:tcW w:w="90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Assessment of performance for all other NEOs and executive officers</w:t>
            </w:r>
          </w:p>
        </w:tc>
        <w:tc>
          <w:tcPr>
            <w:tcW w:w="0" w:type="dxa"/>
            <w:vAlign w:val="bottom"/>
          </w:tcPr>
          <w:p>
            <w:pPr>
              <w:spacing w:after="0"/>
              <w:rPr>
                <w:sz w:val="1"/>
                <w:szCs w:val="1"/>
                <w:color w:val="auto"/>
              </w:rPr>
            </w:pPr>
          </w:p>
        </w:tc>
      </w:tr>
      <w:tr>
        <w:trPr>
          <w:trHeight w:val="146"/>
        </w:trPr>
        <w:tc>
          <w:tcPr>
            <w:tcW w:w="1620" w:type="dxa"/>
            <w:vAlign w:val="bottom"/>
            <w:tcBorders>
              <w:right w:val="single" w:sz="8" w:color="auto"/>
            </w:tcBorders>
          </w:tcPr>
          <w:p>
            <w:pPr>
              <w:spacing w:after="0"/>
              <w:rPr>
                <w:sz w:val="12"/>
                <w:szCs w:val="12"/>
                <w:color w:val="auto"/>
              </w:rPr>
            </w:pPr>
          </w:p>
        </w:tc>
        <w:tc>
          <w:tcPr>
            <w:tcW w:w="9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89"/>
              </w:rPr>
              <w:t>For all other NEOs and executive officers, Mr. Kapoor makes a performance assessment and compensation recommendation to our board of</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87"/>
              </w:rPr>
              <w:t>directors. He bases the performance assessments on our named executive officers’ self-evaluations and his performance assessments of each</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spacing w:after="0"/>
              <w:rPr>
                <w:sz w:val="17"/>
                <w:szCs w:val="17"/>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rPr>
              <w:t>of them.</w:t>
            </w:r>
          </w:p>
        </w:tc>
        <w:tc>
          <w:tcPr>
            <w:tcW w:w="0" w:type="dxa"/>
            <w:vAlign w:val="bottom"/>
          </w:tcPr>
          <w:p>
            <w:pPr>
              <w:spacing w:after="0"/>
              <w:rPr>
                <w:sz w:val="1"/>
                <w:szCs w:val="1"/>
                <w:color w:val="auto"/>
              </w:rPr>
            </w:pPr>
          </w:p>
        </w:tc>
      </w:tr>
      <w:tr>
        <w:trPr>
          <w:trHeight w:val="425"/>
        </w:trPr>
        <w:tc>
          <w:tcPr>
            <w:tcW w:w="1620" w:type="dxa"/>
            <w:vAlign w:val="bottom"/>
            <w:tcBorders>
              <w:right w:val="single" w:sz="8" w:color="auto"/>
            </w:tcBorders>
          </w:tcPr>
          <w:p>
            <w:pPr>
              <w:spacing w:after="0"/>
              <w:rPr>
                <w:sz w:val="24"/>
                <w:szCs w:val="24"/>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90"/>
              </w:rPr>
              <w:t>Our board of directors reviews the performance assessments with Mr. Kapoor, and evaluates the achievement of established objectives by</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89"/>
              </w:rPr>
              <w:t>each executive officer and his or her business line, if applicable, and his or her contribution to our performance, leadership accomplishments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w w:val="91"/>
              </w:rPr>
              <w:t>and overall competence. The board of directors may exercise their judgment based on the executive officer’s interactions with the board of</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spacing w:after="0"/>
              <w:rPr>
                <w:sz w:val="17"/>
                <w:szCs w:val="17"/>
                <w:color w:val="auto"/>
              </w:rPr>
            </w:pPr>
          </w:p>
        </w:tc>
        <w:tc>
          <w:tcPr>
            <w:tcW w:w="9000" w:type="dxa"/>
            <w:vAlign w:val="bottom"/>
          </w:tcPr>
          <w:p>
            <w:pPr>
              <w:ind w:left="8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305"/>
        </w:trPr>
        <w:tc>
          <w:tcPr>
            <w:tcW w:w="162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Other matters</w:t>
            </w:r>
          </w:p>
        </w:tc>
        <w:tc>
          <w:tcPr>
            <w:tcW w:w="9000" w:type="dxa"/>
            <w:vAlign w:val="bottom"/>
          </w:tcPr>
          <w:p>
            <w:pPr>
              <w:ind w:left="80"/>
              <w:spacing w:after="0"/>
              <w:rPr>
                <w:sz w:val="20"/>
                <w:szCs w:val="20"/>
                <w:color w:val="auto"/>
              </w:rPr>
            </w:pPr>
            <w:r>
              <w:rPr>
                <w:rFonts w:ascii="Arial" w:cs="Arial" w:eastAsia="Arial" w:hAnsi="Arial"/>
                <w:sz w:val="16"/>
                <w:szCs w:val="16"/>
                <w:color w:val="auto"/>
                <w:w w:val="89"/>
              </w:rPr>
              <w:t>Our Compensation and Talent Management Committee periodically reviews related matters such as succession planning and management,</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relevant to</w:t>
            </w:r>
          </w:p>
        </w:tc>
        <w:tc>
          <w:tcPr>
            <w:tcW w:w="9000" w:type="dxa"/>
            <w:vAlign w:val="bottom"/>
          </w:tcPr>
          <w:p>
            <w:pPr>
              <w:ind w:left="80"/>
              <w:spacing w:after="0"/>
              <w:rPr>
                <w:sz w:val="20"/>
                <w:szCs w:val="20"/>
                <w:color w:val="auto"/>
              </w:rPr>
            </w:pPr>
            <w:r>
              <w:rPr>
                <w:rFonts w:ascii="Arial" w:cs="Arial" w:eastAsia="Arial" w:hAnsi="Arial"/>
                <w:sz w:val="16"/>
                <w:szCs w:val="16"/>
                <w:color w:val="auto"/>
                <w:w w:val="89"/>
              </w:rPr>
              <w:t>evaluation of management performance, changes in the scope of managerial responsibilities, and consideration of the business environment,</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compensation</w:t>
            </w:r>
          </w:p>
        </w:tc>
        <w:tc>
          <w:tcPr>
            <w:tcW w:w="9000" w:type="dxa"/>
            <w:vAlign w:val="bottom"/>
          </w:tcPr>
          <w:p>
            <w:pPr>
              <w:ind w:left="80"/>
              <w:spacing w:after="0"/>
              <w:rPr>
                <w:sz w:val="20"/>
                <w:szCs w:val="20"/>
                <w:color w:val="auto"/>
              </w:rPr>
            </w:pPr>
            <w:r>
              <w:rPr>
                <w:rFonts w:ascii="Arial" w:cs="Arial" w:eastAsia="Arial" w:hAnsi="Arial"/>
                <w:sz w:val="16"/>
                <w:szCs w:val="16"/>
                <w:color w:val="auto"/>
                <w:w w:val="87"/>
              </w:rPr>
              <w:t>and considers such matters in making compensation decisions. The Compensation and Talent Management Committee also takes into account</w:t>
            </w:r>
          </w:p>
        </w:tc>
        <w:tc>
          <w:tcPr>
            <w:tcW w:w="0" w:type="dxa"/>
            <w:vAlign w:val="bottom"/>
          </w:tcPr>
          <w:p>
            <w:pPr>
              <w:spacing w:after="0"/>
              <w:rPr>
                <w:sz w:val="1"/>
                <w:szCs w:val="1"/>
                <w:color w:val="auto"/>
              </w:rPr>
            </w:pPr>
          </w:p>
        </w:tc>
      </w:tr>
      <w:tr>
        <w:trPr>
          <w:trHeight w:val="239"/>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decisions –</w:t>
            </w:r>
          </w:p>
        </w:tc>
        <w:tc>
          <w:tcPr>
            <w:tcW w:w="9000" w:type="dxa"/>
            <w:vAlign w:val="bottom"/>
          </w:tcPr>
          <w:p>
            <w:pPr>
              <w:ind w:left="80"/>
              <w:spacing w:after="0"/>
              <w:rPr>
                <w:sz w:val="20"/>
                <w:szCs w:val="20"/>
                <w:color w:val="auto"/>
              </w:rPr>
            </w:pPr>
            <w:r>
              <w:rPr>
                <w:rFonts w:ascii="Arial" w:cs="Arial" w:eastAsia="Arial" w:hAnsi="Arial"/>
                <w:sz w:val="16"/>
                <w:szCs w:val="16"/>
                <w:color w:val="auto"/>
              </w:rPr>
              <w:t>an executive officer’s job responsibilities, performance, qualifications and skills in determining individual compensation levels.</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w w:val="94"/>
              </w:rPr>
              <w:t>Compensation and</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Talent</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Management</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2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Committee</w:t>
            </w:r>
          </w:p>
        </w:tc>
        <w:tc>
          <w:tcPr>
            <w:tcW w:w="9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162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120" w:type="dxa"/>
            <w:vAlign w:val="bottom"/>
            <w:gridSpan w:val="3"/>
          </w:tcPr>
          <w:p>
            <w:pPr>
              <w:jc w:val="right"/>
              <w:spacing w:after="0"/>
              <w:rPr>
                <w:sz w:val="20"/>
                <w:szCs w:val="20"/>
                <w:color w:val="auto"/>
              </w:rPr>
            </w:pPr>
            <w:r>
              <w:rPr>
                <w:rFonts w:ascii="Arial" w:cs="Arial" w:eastAsia="Arial" w:hAnsi="Arial"/>
                <w:sz w:val="14"/>
                <w:szCs w:val="14"/>
                <w:b w:val="1"/>
                <w:bCs w:val="1"/>
                <w:color w:val="D8D8D8"/>
              </w:rPr>
              <w:t>Executive compensation</w:t>
            </w:r>
          </w:p>
        </w:tc>
        <w:tc>
          <w:tcPr>
            <w:tcW w:w="0" w:type="dxa"/>
            <w:vAlign w:val="bottom"/>
          </w:tcPr>
          <w:p>
            <w:pPr>
              <w:spacing w:after="0"/>
              <w:rPr>
                <w:sz w:val="1"/>
                <w:szCs w:val="1"/>
                <w:color w:val="auto"/>
              </w:rPr>
            </w:pPr>
          </w:p>
        </w:tc>
      </w:tr>
      <w:tr>
        <w:trPr>
          <w:trHeight w:val="337"/>
        </w:trPr>
        <w:tc>
          <w:tcPr>
            <w:tcW w:w="20" w:type="dxa"/>
            <w:vAlign w:val="bottom"/>
            <w:vMerge w:val="restart"/>
          </w:tcPr>
          <w:p>
            <w:pPr>
              <w:spacing w:after="0"/>
              <w:rPr>
                <w:sz w:val="24"/>
                <w:szCs w:val="24"/>
                <w:color w:val="auto"/>
              </w:rPr>
            </w:pPr>
          </w:p>
        </w:tc>
        <w:tc>
          <w:tcPr>
            <w:tcW w:w="1560" w:type="dxa"/>
            <w:vAlign w:val="bottom"/>
          </w:tcPr>
          <w:p>
            <w:pPr>
              <w:spacing w:after="0"/>
              <w:rPr>
                <w:sz w:val="24"/>
                <w:szCs w:val="24"/>
                <w:color w:val="auto"/>
              </w:rPr>
            </w:pPr>
          </w:p>
        </w:tc>
        <w:tc>
          <w:tcPr>
            <w:tcW w:w="9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560" w:type="dxa"/>
            <w:vAlign w:val="bottom"/>
            <w:tcBorders>
              <w:top w:val="single" w:sz="8" w:color="auto"/>
              <w:right w:val="single" w:sz="8" w:color="auto"/>
            </w:tcBorders>
          </w:tcPr>
          <w:p>
            <w:pPr>
              <w:spacing w:after="0" w:line="178" w:lineRule="exact"/>
              <w:rPr>
                <w:sz w:val="20"/>
                <w:szCs w:val="20"/>
                <w:color w:val="auto"/>
              </w:rPr>
            </w:pPr>
            <w:r>
              <w:rPr>
                <w:rFonts w:ascii="Arial" w:cs="Arial" w:eastAsia="Arial" w:hAnsi="Arial"/>
                <w:sz w:val="17"/>
                <w:szCs w:val="17"/>
                <w:b w:val="1"/>
                <w:bCs w:val="1"/>
                <w:color w:val="auto"/>
              </w:rPr>
              <w:t>Independent</w:t>
            </w:r>
          </w:p>
        </w:tc>
        <w:tc>
          <w:tcPr>
            <w:tcW w:w="9060" w:type="dxa"/>
            <w:vAlign w:val="bottom"/>
            <w:tcBorders>
              <w:top w:val="single" w:sz="8" w:color="auto"/>
            </w:tcBorders>
            <w:gridSpan w:val="5"/>
          </w:tcPr>
          <w:p>
            <w:pPr>
              <w:ind w:left="180"/>
              <w:spacing w:after="0" w:line="178" w:lineRule="exact"/>
              <w:rPr>
                <w:sz w:val="20"/>
                <w:szCs w:val="20"/>
                <w:color w:val="auto"/>
              </w:rPr>
            </w:pPr>
            <w:r>
              <w:rPr>
                <w:rFonts w:ascii="Arial" w:cs="Arial" w:eastAsia="Arial" w:hAnsi="Arial"/>
                <w:sz w:val="16"/>
                <w:szCs w:val="16"/>
                <w:color w:val="auto"/>
                <w:w w:val="88"/>
              </w:rPr>
              <w:t>For 2022, the Compensation and Talent Management Committee retained the services of Farient, a qualified and independent compensation</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compensation</w:t>
            </w:r>
          </w:p>
        </w:tc>
        <w:tc>
          <w:tcPr>
            <w:tcW w:w="9060" w:type="dxa"/>
            <w:vAlign w:val="bottom"/>
            <w:gridSpan w:val="5"/>
          </w:tcPr>
          <w:p>
            <w:pPr>
              <w:ind w:left="180"/>
              <w:spacing w:after="0"/>
              <w:rPr>
                <w:sz w:val="20"/>
                <w:szCs w:val="20"/>
                <w:color w:val="auto"/>
              </w:rPr>
            </w:pPr>
            <w:r>
              <w:rPr>
                <w:rFonts w:ascii="Arial" w:cs="Arial" w:eastAsia="Arial" w:hAnsi="Arial"/>
                <w:sz w:val="16"/>
                <w:szCs w:val="16"/>
                <w:color w:val="auto"/>
                <w:w w:val="88"/>
              </w:rPr>
              <w:t>consultant, to aid the Compensation and Talent Management Committee in performing its duties. The Compensation and Talent Management</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consultant</w:t>
            </w:r>
          </w:p>
        </w:tc>
        <w:tc>
          <w:tcPr>
            <w:tcW w:w="7880" w:type="dxa"/>
            <w:vAlign w:val="bottom"/>
            <w:gridSpan w:val="3"/>
          </w:tcPr>
          <w:p>
            <w:pPr>
              <w:ind w:left="180"/>
              <w:spacing w:after="0"/>
              <w:rPr>
                <w:sz w:val="20"/>
                <w:szCs w:val="20"/>
                <w:color w:val="auto"/>
              </w:rPr>
            </w:pPr>
            <w:r>
              <w:rPr>
                <w:rFonts w:ascii="Arial" w:cs="Arial" w:eastAsia="Arial" w:hAnsi="Arial"/>
                <w:sz w:val="16"/>
                <w:szCs w:val="16"/>
                <w:color w:val="auto"/>
              </w:rPr>
              <w:t>Committee’s compensation consultant assists in:</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2"/>
                <w:szCs w:val="12"/>
                <w:color w:val="auto"/>
                <w:w w:val="73"/>
              </w:rPr>
              <w:t>• </w:t>
            </w:r>
          </w:p>
        </w:tc>
        <w:tc>
          <w:tcPr>
            <w:tcW w:w="7240" w:type="dxa"/>
            <w:vAlign w:val="bottom"/>
            <w:gridSpan w:val="2"/>
          </w:tcPr>
          <w:p>
            <w:pPr>
              <w:ind w:left="60"/>
              <w:spacing w:after="0"/>
              <w:rPr>
                <w:sz w:val="20"/>
                <w:szCs w:val="20"/>
                <w:color w:val="auto"/>
              </w:rPr>
            </w:pPr>
            <w:r>
              <w:rPr>
                <w:rFonts w:ascii="Arial" w:cs="Arial" w:eastAsia="Arial" w:hAnsi="Arial"/>
                <w:sz w:val="16"/>
                <w:szCs w:val="16"/>
                <w:color w:val="auto"/>
              </w:rPr>
              <w:t>   reviewing our executive pay philosophy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2"/>
                <w:szCs w:val="12"/>
                <w:color w:val="auto"/>
                <w:w w:val="73"/>
              </w:rPr>
              <w:t>• </w:t>
            </w:r>
          </w:p>
        </w:tc>
        <w:tc>
          <w:tcPr>
            <w:tcW w:w="7240" w:type="dxa"/>
            <w:vAlign w:val="bottom"/>
            <w:gridSpan w:val="2"/>
          </w:tcPr>
          <w:p>
            <w:pPr>
              <w:ind w:left="60"/>
              <w:spacing w:after="0"/>
              <w:rPr>
                <w:sz w:val="20"/>
                <w:szCs w:val="20"/>
                <w:color w:val="auto"/>
              </w:rPr>
            </w:pPr>
            <w:r>
              <w:rPr>
                <w:rFonts w:ascii="Arial" w:cs="Arial" w:eastAsia="Arial" w:hAnsi="Arial"/>
                <w:sz w:val="16"/>
                <w:szCs w:val="16"/>
                <w:color w:val="auto"/>
                <w:w w:val="99"/>
              </w:rPr>
              <w:t>   collecting and evaluating external market data regarding executive compensation and performance,</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2"/>
                <w:szCs w:val="12"/>
                <w:color w:val="auto"/>
                <w:w w:val="73"/>
              </w:rPr>
              <w:t>• </w:t>
            </w:r>
          </w:p>
        </w:tc>
        <w:tc>
          <w:tcPr>
            <w:tcW w:w="2300" w:type="dxa"/>
            <w:vAlign w:val="bottom"/>
          </w:tcPr>
          <w:p>
            <w:pPr>
              <w:ind w:left="60"/>
              <w:spacing w:after="0"/>
              <w:rPr>
                <w:sz w:val="20"/>
                <w:szCs w:val="20"/>
                <w:color w:val="auto"/>
              </w:rPr>
            </w:pPr>
            <w:r>
              <w:rPr>
                <w:rFonts w:ascii="Arial" w:cs="Arial" w:eastAsia="Arial" w:hAnsi="Arial"/>
                <w:sz w:val="16"/>
                <w:szCs w:val="16"/>
                <w:color w:val="auto"/>
                <w:w w:val="89"/>
              </w:rPr>
              <w:t>   selecting peer group companies,</w:t>
            </w:r>
          </w:p>
        </w:tc>
        <w:tc>
          <w:tcPr>
            <w:tcW w:w="4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2"/>
                <w:szCs w:val="12"/>
                <w:color w:val="auto"/>
                <w:w w:val="73"/>
              </w:rPr>
              <w:t>• </w:t>
            </w:r>
          </w:p>
        </w:tc>
        <w:tc>
          <w:tcPr>
            <w:tcW w:w="2300" w:type="dxa"/>
            <w:vAlign w:val="bottom"/>
          </w:tcPr>
          <w:p>
            <w:pPr>
              <w:ind w:left="60"/>
              <w:spacing w:after="0"/>
              <w:rPr>
                <w:sz w:val="20"/>
                <w:szCs w:val="20"/>
                <w:color w:val="auto"/>
              </w:rPr>
            </w:pPr>
            <w:r>
              <w:rPr>
                <w:rFonts w:ascii="Arial" w:cs="Arial" w:eastAsia="Arial" w:hAnsi="Arial"/>
                <w:sz w:val="16"/>
                <w:szCs w:val="16"/>
                <w:color w:val="auto"/>
                <w:w w:val="93"/>
              </w:rPr>
              <w:t>   reviewing the Proxy Statement,</w:t>
            </w:r>
          </w:p>
        </w:tc>
        <w:tc>
          <w:tcPr>
            <w:tcW w:w="4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2"/>
                <w:szCs w:val="12"/>
                <w:color w:val="auto"/>
                <w:w w:val="73"/>
              </w:rPr>
              <w:t>• </w:t>
            </w:r>
          </w:p>
        </w:tc>
        <w:tc>
          <w:tcPr>
            <w:tcW w:w="8420" w:type="dxa"/>
            <w:vAlign w:val="bottom"/>
            <w:gridSpan w:val="4"/>
          </w:tcPr>
          <w:p>
            <w:pPr>
              <w:ind w:left="60"/>
              <w:spacing w:after="0"/>
              <w:rPr>
                <w:sz w:val="20"/>
                <w:szCs w:val="20"/>
                <w:color w:val="auto"/>
              </w:rPr>
            </w:pPr>
            <w:r>
              <w:rPr>
                <w:rFonts w:ascii="Arial" w:cs="Arial" w:eastAsia="Arial" w:hAnsi="Arial"/>
                <w:sz w:val="16"/>
                <w:szCs w:val="16"/>
                <w:color w:val="auto"/>
                <w:w w:val="89"/>
              </w:rPr>
              <w:t>   advising the Compensation and Talent Management Committee on developing trends and best practices in executive and director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7240" w:type="dxa"/>
            <w:vAlign w:val="bottom"/>
            <w:gridSpan w:val="2"/>
          </w:tcPr>
          <w:p>
            <w:pPr>
              <w:ind w:left="180"/>
              <w:spacing w:after="0"/>
              <w:rPr>
                <w:sz w:val="20"/>
                <w:szCs w:val="20"/>
                <w:color w:val="auto"/>
              </w:rPr>
            </w:pPr>
            <w:r>
              <w:rPr>
                <w:rFonts w:ascii="Arial" w:cs="Arial" w:eastAsia="Arial" w:hAnsi="Arial"/>
                <w:sz w:val="16"/>
                <w:szCs w:val="16"/>
                <w:color w:val="auto"/>
              </w:rPr>
              <w:t>compensation and equity and compensation governance,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2"/>
                <w:szCs w:val="12"/>
                <w:color w:val="auto"/>
                <w:w w:val="73"/>
              </w:rPr>
              <w:t>• </w:t>
            </w:r>
          </w:p>
        </w:tc>
        <w:tc>
          <w:tcPr>
            <w:tcW w:w="7820" w:type="dxa"/>
            <w:vAlign w:val="bottom"/>
            <w:gridSpan w:val="3"/>
          </w:tcPr>
          <w:p>
            <w:pPr>
              <w:ind w:left="60"/>
              <w:spacing w:after="0"/>
              <w:rPr>
                <w:sz w:val="20"/>
                <w:szCs w:val="20"/>
                <w:color w:val="auto"/>
              </w:rPr>
            </w:pPr>
            <w:r>
              <w:rPr>
                <w:rFonts w:ascii="Arial" w:cs="Arial" w:eastAsia="Arial" w:hAnsi="Arial"/>
                <w:sz w:val="16"/>
                <w:szCs w:val="16"/>
                <w:color w:val="auto"/>
                <w:w w:val="91"/>
              </w:rPr>
              <w:t>   advising the Compensation and Talent Management Committee on incentive plan design that aligns with our strategy.</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9060" w:type="dxa"/>
            <w:vAlign w:val="bottom"/>
            <w:gridSpan w:val="5"/>
          </w:tcPr>
          <w:p>
            <w:pPr>
              <w:ind w:left="180"/>
              <w:spacing w:after="0"/>
              <w:rPr>
                <w:sz w:val="20"/>
                <w:szCs w:val="20"/>
                <w:color w:val="auto"/>
              </w:rPr>
            </w:pPr>
            <w:r>
              <w:rPr>
                <w:rFonts w:ascii="Arial" w:cs="Arial" w:eastAsia="Arial" w:hAnsi="Arial"/>
                <w:sz w:val="16"/>
                <w:szCs w:val="16"/>
                <w:color w:val="auto"/>
                <w:w w:val="89"/>
              </w:rPr>
              <w:t>In addition, Farient advises our Nominating and Corporate Governance Committee regarding director compensation. Other than performing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9060" w:type="dxa"/>
            <w:vAlign w:val="bottom"/>
            <w:gridSpan w:val="5"/>
          </w:tcPr>
          <w:p>
            <w:pPr>
              <w:ind w:left="180"/>
              <w:spacing w:after="0"/>
              <w:rPr>
                <w:sz w:val="20"/>
                <w:szCs w:val="20"/>
                <w:color w:val="auto"/>
              </w:rPr>
            </w:pPr>
            <w:r>
              <w:rPr>
                <w:rFonts w:ascii="Arial" w:cs="Arial" w:eastAsia="Arial" w:hAnsi="Arial"/>
                <w:sz w:val="16"/>
                <w:szCs w:val="16"/>
                <w:color w:val="auto"/>
                <w:w w:val="90"/>
              </w:rPr>
              <w:t>these consulting services, Farient does not provide other services to us or our executive officers. We have affirmatively determined that no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460" w:type="dxa"/>
            <w:vAlign w:val="bottom"/>
            <w:gridSpan w:val="4"/>
          </w:tcPr>
          <w:p>
            <w:pPr>
              <w:ind w:left="180"/>
              <w:spacing w:after="0"/>
              <w:rPr>
                <w:sz w:val="20"/>
                <w:szCs w:val="20"/>
                <w:color w:val="auto"/>
              </w:rPr>
            </w:pPr>
            <w:r>
              <w:rPr>
                <w:rFonts w:ascii="Arial" w:cs="Arial" w:eastAsia="Arial" w:hAnsi="Arial"/>
                <w:sz w:val="16"/>
                <w:szCs w:val="16"/>
                <w:color w:val="auto"/>
                <w:w w:val="90"/>
              </w:rPr>
              <w:t>conflict of interest has arisen in connection with the work of Farient as compensation consultant for the Compensation and Talent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Management Committee.</w:t>
            </w:r>
          </w:p>
        </w:tc>
        <w:tc>
          <w:tcPr>
            <w:tcW w:w="4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90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560" w:type="dxa"/>
            <w:vAlign w:val="bottom"/>
            <w:tcBorders>
              <w:top w:val="single" w:sz="8" w:color="auto"/>
              <w:right w:val="single" w:sz="8" w:color="auto"/>
            </w:tcBorders>
          </w:tcPr>
          <w:p>
            <w:pPr>
              <w:spacing w:after="0" w:line="178" w:lineRule="exact"/>
              <w:rPr>
                <w:sz w:val="20"/>
                <w:szCs w:val="20"/>
                <w:color w:val="auto"/>
              </w:rPr>
            </w:pPr>
            <w:r>
              <w:rPr>
                <w:rFonts w:ascii="Arial" w:cs="Arial" w:eastAsia="Arial" w:hAnsi="Arial"/>
                <w:sz w:val="17"/>
                <w:szCs w:val="17"/>
                <w:b w:val="1"/>
                <w:bCs w:val="1"/>
                <w:color w:val="auto"/>
              </w:rPr>
              <w:t>Peer market data</w:t>
            </w:r>
          </w:p>
        </w:tc>
        <w:tc>
          <w:tcPr>
            <w:tcW w:w="9060" w:type="dxa"/>
            <w:vAlign w:val="bottom"/>
            <w:tcBorders>
              <w:top w:val="single" w:sz="8" w:color="auto"/>
            </w:tcBorders>
            <w:gridSpan w:val="5"/>
          </w:tcPr>
          <w:p>
            <w:pPr>
              <w:ind w:left="180"/>
              <w:spacing w:after="0" w:line="178" w:lineRule="exact"/>
              <w:rPr>
                <w:sz w:val="20"/>
                <w:szCs w:val="20"/>
                <w:color w:val="auto"/>
              </w:rPr>
            </w:pPr>
            <w:r>
              <w:rPr>
                <w:rFonts w:ascii="Arial" w:cs="Arial" w:eastAsia="Arial" w:hAnsi="Arial"/>
                <w:sz w:val="16"/>
                <w:szCs w:val="16"/>
                <w:color w:val="auto"/>
                <w:w w:val="93"/>
              </w:rPr>
              <w:t>We review peer compensation data on an annual basis in order to set compensation for each following year. At the time compensation</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b w:val="1"/>
                <w:bCs w:val="1"/>
                <w:color w:val="auto"/>
              </w:rPr>
              <w:t>Compensation and</w:t>
            </w:r>
          </w:p>
        </w:tc>
        <w:tc>
          <w:tcPr>
            <w:tcW w:w="9060" w:type="dxa"/>
            <w:vAlign w:val="bottom"/>
            <w:gridSpan w:val="5"/>
          </w:tcPr>
          <w:p>
            <w:pPr>
              <w:ind w:left="180"/>
              <w:spacing w:after="0"/>
              <w:rPr>
                <w:sz w:val="20"/>
                <w:szCs w:val="20"/>
                <w:color w:val="auto"/>
              </w:rPr>
            </w:pPr>
            <w:r>
              <w:rPr>
                <w:rFonts w:ascii="Arial" w:cs="Arial" w:eastAsia="Arial" w:hAnsi="Arial"/>
                <w:sz w:val="16"/>
                <w:szCs w:val="16"/>
                <w:color w:val="auto"/>
                <w:w w:val="92"/>
              </w:rPr>
              <w:t>decisions were made for our senior executive officers in 2022, our Compensation and Talent Management Committee reviewed publicly</w:t>
            </w:r>
          </w:p>
        </w:tc>
        <w:tc>
          <w:tcPr>
            <w:tcW w:w="0" w:type="dxa"/>
            <w:vAlign w:val="bottom"/>
          </w:tcPr>
          <w:p>
            <w:pPr>
              <w:spacing w:after="0"/>
              <w:rPr>
                <w:sz w:val="1"/>
                <w:szCs w:val="1"/>
                <w:color w:val="auto"/>
              </w:rPr>
            </w:pPr>
          </w:p>
        </w:tc>
      </w:tr>
      <w:tr>
        <w:trPr>
          <w:trHeight w:val="153"/>
        </w:trPr>
        <w:tc>
          <w:tcPr>
            <w:tcW w:w="1580" w:type="dxa"/>
            <w:vAlign w:val="bottom"/>
            <w:tcBorders>
              <w:right w:val="single" w:sz="8" w:color="auto"/>
            </w:tcBorders>
            <w:gridSpan w:val="2"/>
            <w:vMerge w:val="continue"/>
          </w:tcPr>
          <w:p>
            <w:pPr>
              <w:spacing w:after="0"/>
              <w:rPr>
                <w:sz w:val="13"/>
                <w:szCs w:val="13"/>
                <w:color w:val="auto"/>
              </w:rPr>
            </w:pPr>
          </w:p>
        </w:tc>
        <w:tc>
          <w:tcPr>
            <w:tcW w:w="9060" w:type="dxa"/>
            <w:vAlign w:val="bottom"/>
            <w:gridSpan w:val="5"/>
          </w:tcPr>
          <w:p>
            <w:pPr>
              <w:ind w:left="180"/>
              <w:spacing w:after="0" w:line="153" w:lineRule="exact"/>
              <w:rPr>
                <w:sz w:val="20"/>
                <w:szCs w:val="20"/>
                <w:color w:val="auto"/>
              </w:rPr>
            </w:pPr>
            <w:r>
              <w:rPr>
                <w:rFonts w:ascii="Arial" w:cs="Arial" w:eastAsia="Arial" w:hAnsi="Arial"/>
                <w:sz w:val="16"/>
                <w:szCs w:val="16"/>
                <w:color w:val="auto"/>
                <w:w w:val="88"/>
              </w:rPr>
              <w:t>available compensation data. In partnership with our independent compensation consultant, we have established a list of criteria to assess the</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w w:val="97"/>
              </w:rPr>
              <w:t>Talent Management</w:t>
            </w:r>
          </w:p>
        </w:tc>
        <w:tc>
          <w:tcPr>
            <w:tcW w:w="8460" w:type="dxa"/>
            <w:vAlign w:val="bottom"/>
            <w:gridSpan w:val="4"/>
          </w:tcPr>
          <w:p>
            <w:pPr>
              <w:ind w:left="180"/>
              <w:spacing w:after="0"/>
              <w:rPr>
                <w:sz w:val="20"/>
                <w:szCs w:val="20"/>
                <w:color w:val="auto"/>
              </w:rPr>
            </w:pPr>
            <w:r>
              <w:rPr>
                <w:rFonts w:ascii="Arial" w:cs="Arial" w:eastAsia="Arial" w:hAnsi="Arial"/>
                <w:sz w:val="16"/>
                <w:szCs w:val="16"/>
                <w:color w:val="auto"/>
                <w:w w:val="89"/>
              </w:rPr>
              <w:t>relevance of different companies to be included in our compensation peer group. The criteria by which we select our peers includes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Committee and</w:t>
            </w:r>
          </w:p>
        </w:tc>
        <w:tc>
          <w:tcPr>
            <w:tcW w:w="9060" w:type="dxa"/>
            <w:vAlign w:val="bottom"/>
            <w:gridSpan w:val="5"/>
          </w:tcPr>
          <w:p>
            <w:pPr>
              <w:ind w:left="180"/>
              <w:spacing w:after="0"/>
              <w:rPr>
                <w:sz w:val="20"/>
                <w:szCs w:val="20"/>
                <w:color w:val="auto"/>
              </w:rPr>
            </w:pPr>
            <w:r>
              <w:rPr>
                <w:rFonts w:ascii="Arial" w:cs="Arial" w:eastAsia="Arial" w:hAnsi="Arial"/>
                <w:sz w:val="16"/>
                <w:szCs w:val="16"/>
                <w:color w:val="auto"/>
                <w:w w:val="90"/>
              </w:rPr>
              <w:t>companies that are in similar industries as us, have similar business models as us (operating in similar markets, requiring similar executive</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independent</w:t>
            </w:r>
          </w:p>
        </w:tc>
        <w:tc>
          <w:tcPr>
            <w:tcW w:w="9060" w:type="dxa"/>
            <w:vAlign w:val="bottom"/>
            <w:gridSpan w:val="5"/>
          </w:tcPr>
          <w:p>
            <w:pPr>
              <w:ind w:left="180"/>
              <w:spacing w:after="0"/>
              <w:rPr>
                <w:sz w:val="20"/>
                <w:szCs w:val="20"/>
                <w:color w:val="auto"/>
              </w:rPr>
            </w:pPr>
            <w:r>
              <w:rPr>
                <w:rFonts w:ascii="Arial" w:cs="Arial" w:eastAsia="Arial" w:hAnsi="Arial"/>
                <w:sz w:val="16"/>
                <w:szCs w:val="16"/>
                <w:color w:val="auto"/>
                <w:w w:val="91"/>
              </w:rPr>
              <w:t>talent skills and subject to similar market forces), and are within a revenue range of around half our revenues to four times our revenues.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compensation</w:t>
            </w: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58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consultants</w:t>
            </w:r>
          </w:p>
        </w:tc>
        <w:tc>
          <w:tcPr>
            <w:tcW w:w="8460" w:type="dxa"/>
            <w:vAlign w:val="bottom"/>
            <w:gridSpan w:val="4"/>
          </w:tcPr>
          <w:p>
            <w:pPr>
              <w:ind w:left="180"/>
              <w:spacing w:after="0"/>
              <w:rPr>
                <w:sz w:val="20"/>
                <w:szCs w:val="20"/>
                <w:color w:val="auto"/>
              </w:rPr>
            </w:pPr>
            <w:r>
              <w:rPr>
                <w:rFonts w:ascii="Arial" w:cs="Arial" w:eastAsia="Arial" w:hAnsi="Arial"/>
                <w:sz w:val="16"/>
                <w:szCs w:val="16"/>
                <w:color w:val="auto"/>
                <w:w w:val="90"/>
              </w:rPr>
              <w:t>The following chart shows the companies that make up our peer group as well as the respective industries and revenues of each:</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7"/>
                <w:szCs w:val="17"/>
                <w:b w:val="1"/>
                <w:bCs w:val="1"/>
                <w:color w:val="FB4E0B"/>
              </w:rPr>
              <w:t>Revenue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Arial" w:cs="Arial" w:eastAsia="Arial" w:hAnsi="Arial"/>
                <w:sz w:val="17"/>
                <w:szCs w:val="17"/>
                <w:b w:val="1"/>
                <w:bCs w:val="1"/>
                <w:color w:val="FB4E0B"/>
              </w:rPr>
              <w:t>Company</w:t>
            </w:r>
          </w:p>
        </w:tc>
        <w:tc>
          <w:tcPr>
            <w:tcW w:w="4940" w:type="dxa"/>
            <w:vAlign w:val="bottom"/>
          </w:tcPr>
          <w:p>
            <w:pPr>
              <w:ind w:left="120"/>
              <w:spacing w:after="0"/>
              <w:rPr>
                <w:sz w:val="20"/>
                <w:szCs w:val="20"/>
                <w:color w:val="auto"/>
              </w:rPr>
            </w:pPr>
            <w:r>
              <w:rPr>
                <w:rFonts w:ascii="Arial" w:cs="Arial" w:eastAsia="Arial" w:hAnsi="Arial"/>
                <w:sz w:val="17"/>
                <w:szCs w:val="17"/>
                <w:b w:val="1"/>
                <w:bCs w:val="1"/>
                <w:color w:val="FB4E0B"/>
              </w:rPr>
              <w:t>Industry</w:t>
            </w:r>
          </w:p>
        </w:tc>
        <w:tc>
          <w:tcPr>
            <w:tcW w:w="1180" w:type="dxa"/>
            <w:vAlign w:val="bottom"/>
            <w:gridSpan w:val="2"/>
          </w:tcPr>
          <w:p>
            <w:pPr>
              <w:jc w:val="right"/>
              <w:spacing w:after="0"/>
              <w:rPr>
                <w:sz w:val="20"/>
                <w:szCs w:val="20"/>
                <w:color w:val="auto"/>
              </w:rPr>
            </w:pPr>
            <w:r>
              <w:rPr>
                <w:rFonts w:ascii="Arial" w:cs="Arial" w:eastAsia="Arial" w:hAnsi="Arial"/>
                <w:sz w:val="17"/>
                <w:szCs w:val="17"/>
                <w:b w:val="1"/>
                <w:bCs w:val="1"/>
                <w:color w:val="FB4E0B"/>
              </w:rPr>
              <w:t>($MM, USD)</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2940" w:type="dxa"/>
            <w:vAlign w:val="bottom"/>
            <w:tcBorders>
              <w:bottom w:val="single" w:sz="8" w:color="FB4E0B"/>
            </w:tcBorders>
            <w:gridSpan w:val="2"/>
          </w:tcPr>
          <w:p>
            <w:pPr>
              <w:spacing w:after="0"/>
              <w:rPr>
                <w:sz w:val="6"/>
                <w:szCs w:val="6"/>
                <w:color w:val="auto"/>
              </w:rPr>
            </w:pPr>
          </w:p>
        </w:tc>
        <w:tc>
          <w:tcPr>
            <w:tcW w:w="4940" w:type="dxa"/>
            <w:vAlign w:val="bottom"/>
            <w:tcBorders>
              <w:bottom w:val="single" w:sz="8" w:color="FB4E0B"/>
            </w:tcBorders>
          </w:tcPr>
          <w:p>
            <w:pPr>
              <w:spacing w:after="0"/>
              <w:rPr>
                <w:sz w:val="6"/>
                <w:szCs w:val="6"/>
                <w:color w:val="auto"/>
              </w:rPr>
            </w:pPr>
          </w:p>
        </w:tc>
        <w:tc>
          <w:tcPr>
            <w:tcW w:w="1180" w:type="dxa"/>
            <w:vAlign w:val="bottom"/>
            <w:tcBorders>
              <w:bottom w:val="single" w:sz="8" w:color="FB4E0B"/>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EPAM Systems, Inc.</w:t>
            </w:r>
          </w:p>
        </w:tc>
        <w:tc>
          <w:tcPr>
            <w:tcW w:w="4940" w:type="dxa"/>
            <w:vAlign w:val="bottom"/>
          </w:tcPr>
          <w:p>
            <w:pPr>
              <w:ind w:left="120"/>
              <w:spacing w:after="0"/>
              <w:rPr>
                <w:sz w:val="20"/>
                <w:szCs w:val="20"/>
                <w:color w:val="auto"/>
              </w:rPr>
            </w:pPr>
            <w:r>
              <w:rPr>
                <w:rFonts w:ascii="Arial" w:cs="Arial" w:eastAsia="Arial" w:hAnsi="Arial"/>
                <w:sz w:val="16"/>
                <w:szCs w:val="16"/>
                <w:color w:val="auto"/>
              </w:rPr>
              <w:t>IT Consulting and Other Services</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$4,825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Genpact Limited</w:t>
            </w:r>
          </w:p>
        </w:tc>
        <w:tc>
          <w:tcPr>
            <w:tcW w:w="4940" w:type="dxa"/>
            <w:vAlign w:val="bottom"/>
          </w:tcPr>
          <w:p>
            <w:pPr>
              <w:ind w:left="120"/>
              <w:spacing w:after="0"/>
              <w:rPr>
                <w:sz w:val="20"/>
                <w:szCs w:val="20"/>
                <w:color w:val="auto"/>
              </w:rPr>
            </w:pPr>
            <w:r>
              <w:rPr>
                <w:rFonts w:ascii="Arial" w:cs="Arial" w:eastAsia="Arial" w:hAnsi="Arial"/>
                <w:sz w:val="16"/>
                <w:szCs w:val="16"/>
                <w:color w:val="auto"/>
              </w:rPr>
              <w:t>Data Processing and Outsourced Services</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$4,371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Splunk Inc.</w:t>
            </w:r>
          </w:p>
        </w:tc>
        <w:tc>
          <w:tcPr>
            <w:tcW w:w="494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$3,654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Verisk Analytics, Inc.</w:t>
            </w:r>
          </w:p>
        </w:tc>
        <w:tc>
          <w:tcPr>
            <w:tcW w:w="4940" w:type="dxa"/>
            <w:vAlign w:val="bottom"/>
          </w:tcPr>
          <w:p>
            <w:pPr>
              <w:ind w:left="120"/>
              <w:spacing w:after="0"/>
              <w:rPr>
                <w:sz w:val="20"/>
                <w:szCs w:val="20"/>
                <w:color w:val="auto"/>
              </w:rPr>
            </w:pPr>
            <w:r>
              <w:rPr>
                <w:rFonts w:ascii="Arial" w:cs="Arial" w:eastAsia="Arial" w:hAnsi="Arial"/>
                <w:sz w:val="16"/>
                <w:szCs w:val="16"/>
                <w:color w:val="auto"/>
              </w:rPr>
              <w:t>Research and Consulting Services</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TTEC Holdings, Inc.</w:t>
            </w:r>
          </w:p>
        </w:tc>
        <w:tc>
          <w:tcPr>
            <w:tcW w:w="4940" w:type="dxa"/>
            <w:vAlign w:val="bottom"/>
          </w:tcPr>
          <w:p>
            <w:pPr>
              <w:ind w:left="120"/>
              <w:spacing w:after="0"/>
              <w:rPr>
                <w:sz w:val="20"/>
                <w:szCs w:val="20"/>
                <w:color w:val="auto"/>
              </w:rPr>
            </w:pPr>
            <w:r>
              <w:rPr>
                <w:rFonts w:ascii="Arial" w:cs="Arial" w:eastAsia="Arial" w:hAnsi="Arial"/>
                <w:sz w:val="16"/>
                <w:szCs w:val="16"/>
                <w:color w:val="auto"/>
              </w:rPr>
              <w:t>Data Processing and Outsourced Services</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Teradata Corporation</w:t>
            </w:r>
          </w:p>
        </w:tc>
        <w:tc>
          <w:tcPr>
            <w:tcW w:w="4940" w:type="dxa"/>
            <w:vAlign w:val="bottom"/>
          </w:tcPr>
          <w:p>
            <w:pPr>
              <w:ind w:left="120"/>
              <w:spacing w:after="0"/>
              <w:rPr>
                <w:sz w:val="20"/>
                <w:szCs w:val="20"/>
                <w:color w:val="auto"/>
              </w:rPr>
            </w:pPr>
            <w:r>
              <w:rPr>
                <w:rFonts w:ascii="Arial" w:cs="Arial" w:eastAsia="Arial" w:hAnsi="Arial"/>
                <w:sz w:val="16"/>
                <w:szCs w:val="16"/>
                <w:color w:val="auto"/>
              </w:rPr>
              <w:t>Systems Software</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940" w:type="dxa"/>
            <w:vAlign w:val="bottom"/>
            <w:tcBorders>
              <w:bottom w:val="single" w:sz="8" w:color="D8D8D8"/>
            </w:tcBorders>
            <w:gridSpan w:val="2"/>
            <w:shd w:val="clear" w:color="auto" w:fill="D8D8D8"/>
          </w:tcPr>
          <w:p>
            <w:pPr>
              <w:ind w:left="180"/>
              <w:spacing w:after="0"/>
              <w:rPr>
                <w:sz w:val="20"/>
                <w:szCs w:val="20"/>
                <w:color w:val="auto"/>
              </w:rPr>
            </w:pPr>
            <w:r>
              <w:rPr>
                <w:rFonts w:ascii="Arial" w:cs="Arial" w:eastAsia="Arial" w:hAnsi="Arial"/>
                <w:sz w:val="16"/>
                <w:szCs w:val="16"/>
                <w:b w:val="1"/>
                <w:bCs w:val="1"/>
                <w:color w:val="auto"/>
              </w:rPr>
              <w:t>ExlService Holdings, Inc.</w:t>
            </w:r>
          </w:p>
        </w:tc>
        <w:tc>
          <w:tcPr>
            <w:tcW w:w="494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b w:val="1"/>
                <w:bCs w:val="1"/>
                <w:color w:val="auto"/>
              </w:rPr>
              <w:t>Data Processing and Outsourced Services</w:t>
            </w:r>
          </w:p>
        </w:tc>
        <w:tc>
          <w:tcPr>
            <w:tcW w:w="1180" w:type="dxa"/>
            <w:vAlign w:val="bottom"/>
            <w:tcBorders>
              <w:bottom w:val="single" w:sz="8" w:color="D8D8D8"/>
              <w:right w:val="single" w:sz="8" w:color="auto"/>
            </w:tcBorders>
            <w:gridSpan w:val="2"/>
            <w:shd w:val="clear" w:color="auto" w:fill="D8D8D8"/>
          </w:tcPr>
          <w:p>
            <w:pPr>
              <w:jc w:val="right"/>
              <w:ind w:right="219"/>
              <w:spacing w:after="0"/>
              <w:rPr>
                <w:sz w:val="20"/>
                <w:szCs w:val="20"/>
                <w:color w:val="auto"/>
              </w:rPr>
            </w:pPr>
            <w:r>
              <w:rPr>
                <w:rFonts w:ascii="Arial" w:cs="Arial" w:eastAsia="Arial" w:hAnsi="Arial"/>
                <w:sz w:val="16"/>
                <w:szCs w:val="16"/>
                <w:b w:val="1"/>
                <w:bCs w:val="1"/>
                <w:color w:val="auto"/>
              </w:rPr>
              <w:t>$1,412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Fair Isaac Corporation</w:t>
            </w:r>
          </w:p>
        </w:tc>
        <w:tc>
          <w:tcPr>
            <w:tcW w:w="49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Application Software</w:t>
            </w:r>
          </w:p>
        </w:tc>
        <w:tc>
          <w:tcPr>
            <w:tcW w:w="118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WNS (Holdings) Limited</w:t>
            </w:r>
          </w:p>
        </w:tc>
        <w:tc>
          <w:tcPr>
            <w:tcW w:w="4940" w:type="dxa"/>
            <w:vAlign w:val="bottom"/>
          </w:tcPr>
          <w:p>
            <w:pPr>
              <w:ind w:left="120"/>
              <w:spacing w:after="0"/>
              <w:rPr>
                <w:sz w:val="20"/>
                <w:szCs w:val="20"/>
                <w:color w:val="auto"/>
              </w:rPr>
            </w:pPr>
            <w:r>
              <w:rPr>
                <w:rFonts w:ascii="Arial" w:cs="Arial" w:eastAsia="Arial" w:hAnsi="Arial"/>
                <w:sz w:val="16"/>
                <w:szCs w:val="16"/>
                <w:color w:val="auto"/>
              </w:rPr>
              <w:t>Data Processing and Outsourced Services</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CSG Systems International, Inc.</w:t>
            </w:r>
          </w:p>
        </w:tc>
        <w:tc>
          <w:tcPr>
            <w:tcW w:w="4940" w:type="dxa"/>
            <w:vAlign w:val="bottom"/>
          </w:tcPr>
          <w:p>
            <w:pPr>
              <w:ind w:left="120"/>
              <w:spacing w:after="0"/>
              <w:rPr>
                <w:sz w:val="20"/>
                <w:szCs w:val="20"/>
                <w:color w:val="auto"/>
              </w:rPr>
            </w:pPr>
            <w:r>
              <w:rPr>
                <w:rFonts w:ascii="Arial" w:cs="Arial" w:eastAsia="Arial" w:hAnsi="Arial"/>
                <w:sz w:val="16"/>
                <w:szCs w:val="16"/>
                <w:color w:val="auto"/>
              </w:rPr>
              <w:t>Data Processing and Outsourced Services</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MultiPlan Corporation</w:t>
            </w:r>
          </w:p>
        </w:tc>
        <w:tc>
          <w:tcPr>
            <w:tcW w:w="4940" w:type="dxa"/>
            <w:vAlign w:val="bottom"/>
          </w:tcPr>
          <w:p>
            <w:pPr>
              <w:ind w:left="120"/>
              <w:spacing w:after="0"/>
              <w:rPr>
                <w:sz w:val="20"/>
                <w:szCs w:val="20"/>
                <w:color w:val="auto"/>
              </w:rPr>
            </w:pPr>
            <w:r>
              <w:rPr>
                <w:rFonts w:ascii="Arial" w:cs="Arial" w:eastAsia="Arial" w:hAnsi="Arial"/>
                <w:sz w:val="16"/>
                <w:szCs w:val="16"/>
                <w:color w:val="auto"/>
              </w:rPr>
              <w:t>Health Care Technology</w:t>
            </w:r>
          </w:p>
        </w:tc>
        <w:tc>
          <w:tcPr>
            <w:tcW w:w="1180" w:type="dxa"/>
            <w:vAlign w:val="bottom"/>
            <w:gridSpan w:val="2"/>
          </w:tcPr>
          <w:p>
            <w:pPr>
              <w:jc w:val="right"/>
              <w:ind w:right="219"/>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Perficient, Inc.</w:t>
            </w:r>
          </w:p>
        </w:tc>
        <w:tc>
          <w:tcPr>
            <w:tcW w:w="4940" w:type="dxa"/>
            <w:vAlign w:val="bottom"/>
          </w:tcPr>
          <w:p>
            <w:pPr>
              <w:ind w:left="120"/>
              <w:spacing w:after="0"/>
              <w:rPr>
                <w:sz w:val="20"/>
                <w:szCs w:val="20"/>
                <w:color w:val="auto"/>
              </w:rPr>
            </w:pPr>
            <w:r>
              <w:rPr>
                <w:rFonts w:ascii="Arial" w:cs="Arial" w:eastAsia="Arial" w:hAnsi="Arial"/>
                <w:sz w:val="16"/>
                <w:szCs w:val="16"/>
                <w:color w:val="auto"/>
              </w:rPr>
              <w:t>IT Consulting and Other Services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Arial" w:cs="Arial" w:eastAsia="Arial" w:hAnsi="Arial"/>
                <w:sz w:val="16"/>
                <w:szCs w:val="16"/>
                <w:color w:val="auto"/>
              </w:rPr>
              <w:t>Guidewire Software, Inc.</w:t>
            </w:r>
          </w:p>
        </w:tc>
        <w:tc>
          <w:tcPr>
            <w:tcW w:w="494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Borders>
              <w:top w:val="single" w:sz="8" w:color="FB4E0B"/>
            </w:tcBorders>
          </w:tcPr>
          <w:p>
            <w:pPr>
              <w:spacing w:after="0"/>
              <w:rPr>
                <w:sz w:val="24"/>
                <w:szCs w:val="24"/>
                <w:color w:val="auto"/>
              </w:rPr>
            </w:pPr>
          </w:p>
        </w:tc>
        <w:tc>
          <w:tcPr>
            <w:tcW w:w="2300" w:type="dxa"/>
            <w:vAlign w:val="bottom"/>
            <w:tcBorders>
              <w:top w:val="single" w:sz="8" w:color="FB4E0B"/>
            </w:tcBorders>
          </w:tcPr>
          <w:p>
            <w:pPr>
              <w:spacing w:after="0"/>
              <w:rPr>
                <w:sz w:val="24"/>
                <w:szCs w:val="24"/>
                <w:color w:val="auto"/>
              </w:rPr>
            </w:pPr>
          </w:p>
        </w:tc>
        <w:tc>
          <w:tcPr>
            <w:tcW w:w="4940" w:type="dxa"/>
            <w:vAlign w:val="bottom"/>
            <w:tcBorders>
              <w:top w:val="single" w:sz="8" w:color="FB4E0B"/>
            </w:tcBorders>
          </w:tcPr>
          <w:p>
            <w:pPr>
              <w:ind w:left="3320"/>
              <w:spacing w:after="0"/>
              <w:rPr>
                <w:sz w:val="20"/>
                <w:szCs w:val="20"/>
                <w:color w:val="auto"/>
              </w:rPr>
            </w:pPr>
            <w:r>
              <w:rPr>
                <w:rFonts w:ascii="Arial" w:cs="Arial" w:eastAsia="Arial" w:hAnsi="Arial"/>
                <w:sz w:val="13"/>
                <w:szCs w:val="13"/>
                <w:color w:val="auto"/>
              </w:rPr>
              <w:t>EXL 2023 Proxy Statement</w:t>
            </w:r>
          </w:p>
        </w:tc>
        <w:tc>
          <w:tcPr>
            <w:tcW w:w="580" w:type="dxa"/>
            <w:vAlign w:val="bottom"/>
            <w:tcBorders>
              <w:top w:val="single" w:sz="8" w:color="FB4E0B"/>
            </w:tcBorders>
          </w:tcPr>
          <w:p>
            <w:pPr>
              <w:jc w:val="right"/>
              <w:ind w:right="17"/>
              <w:spacing w:after="0"/>
              <w:rPr>
                <w:sz w:val="20"/>
                <w:szCs w:val="20"/>
                <w:color w:val="auto"/>
              </w:rPr>
            </w:pPr>
            <w:r>
              <w:rPr>
                <w:rFonts w:ascii="Arial" w:cs="Arial" w:eastAsia="Arial" w:hAnsi="Arial"/>
                <w:sz w:val="28"/>
                <w:szCs w:val="28"/>
                <w:b w:val="1"/>
                <w:bCs w:val="1"/>
                <w:color w:val="FB4E0B"/>
              </w:rPr>
              <w:t>/</w:t>
            </w:r>
          </w:p>
        </w:tc>
        <w:tc>
          <w:tcPr>
            <w:tcW w:w="600" w:type="dxa"/>
            <w:vAlign w:val="bottom"/>
            <w:tcBorders>
              <w:top w:val="single" w:sz="8" w:color="FB4E0B"/>
            </w:tcBorders>
          </w:tcPr>
          <w:p>
            <w:pPr>
              <w:jc w:val="right"/>
              <w:ind w:right="139"/>
              <w:spacing w:after="0"/>
              <w:rPr>
                <w:sz w:val="20"/>
                <w:szCs w:val="20"/>
                <w:color w:val="auto"/>
              </w:rPr>
            </w:pPr>
            <w:r>
              <w:rPr>
                <w:rFonts w:ascii="Arial" w:cs="Arial" w:eastAsia="Arial" w:hAnsi="Arial"/>
                <w:sz w:val="17"/>
                <w:szCs w:val="17"/>
                <w:b w:val="1"/>
                <w:bCs w:val="1"/>
                <w:color w:val="auto"/>
              </w:rPr>
              <w:t>73</w:t>
            </w:r>
          </w:p>
        </w:tc>
        <w:tc>
          <w:tcPr>
            <w:tcW w:w="0" w:type="dxa"/>
            <w:vAlign w:val="bottom"/>
          </w:tcPr>
          <w:p>
            <w:pPr>
              <w:spacing w:after="0"/>
              <w:rPr>
                <w:sz w:val="1"/>
                <w:szCs w:val="1"/>
                <w:color w:val="auto"/>
              </w:rPr>
            </w:pPr>
          </w:p>
        </w:tc>
      </w:tr>
    </w:tbl>
    <w:p>
      <w:pPr>
        <w:sectPr>
          <w:pgSz w:w="11900" w:h="16838" w:orient="portrait"/>
          <w:cols w:equalWidth="0" w:num="1">
            <w:col w:w="10940"/>
          </w:cols>
          <w:pgMar w:left="320" w:top="473" w:right="6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6"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We use a separate peer group for measuring performance under our PRSUs, as described under “Compensation—Fiscal year 2022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-95250</wp:posOffset>
            </wp:positionV>
            <wp:extent cx="8255" cy="20072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2007235"/>
                    </a:xfrm>
                    <a:prstGeom prst="rect">
                      <a:avLst/>
                    </a:prstGeom>
                    <a:noFill/>
                  </pic:spPr>
                </pic:pic>
              </a:graphicData>
            </a:graphic>
          </wp:anchor>
        </w:drawing>
      </w:r>
    </w:p>
    <w:p>
      <w:pPr>
        <w:spacing w:after="0" w:line="248" w:lineRule="exact"/>
        <w:rPr>
          <w:sz w:val="20"/>
          <w:szCs w:val="20"/>
          <w:color w:val="auto"/>
        </w:rPr>
      </w:pPr>
    </w:p>
    <w:p>
      <w:pPr>
        <w:ind w:left="2000" w:right="60"/>
        <w:spacing w:after="0" w:line="309" w:lineRule="auto"/>
        <w:rPr>
          <w:sz w:val="20"/>
          <w:szCs w:val="20"/>
          <w:color w:val="auto"/>
        </w:rPr>
      </w:pPr>
      <w:r>
        <w:rPr>
          <w:rFonts w:ascii="Arial" w:cs="Arial" w:eastAsia="Arial" w:hAnsi="Arial"/>
          <w:sz w:val="14"/>
          <w:szCs w:val="14"/>
          <w:color w:val="auto"/>
        </w:rPr>
        <w:t>Management also used compensation survey data from Aon Consulting, comprising companies within our global industry with whom we compete for talent. While the Compensation and Talent Management Committee reviewed and considered the data provided by these surveys, it did not consider or review the compensation paid to executives at the component companies included within such surveys and did not use this information or any other data as a definitive benchmark to set executive compensation for fiscal year 2022.</w:t>
      </w:r>
    </w:p>
    <w:p>
      <w:pPr>
        <w:spacing w:after="0" w:line="186" w:lineRule="exact"/>
        <w:rPr>
          <w:sz w:val="20"/>
          <w:szCs w:val="20"/>
          <w:color w:val="auto"/>
        </w:rPr>
      </w:pPr>
    </w:p>
    <w:p>
      <w:pPr>
        <w:ind w:left="2000" w:right="200"/>
        <w:spacing w:after="0" w:line="319" w:lineRule="auto"/>
        <w:rPr>
          <w:sz w:val="20"/>
          <w:szCs w:val="20"/>
          <w:color w:val="auto"/>
        </w:rPr>
      </w:pPr>
      <w:r>
        <w:rPr>
          <w:rFonts w:ascii="Arial" w:cs="Arial" w:eastAsia="Arial" w:hAnsi="Arial"/>
          <w:sz w:val="14"/>
          <w:szCs w:val="14"/>
          <w:color w:val="auto"/>
        </w:rPr>
        <w:t>Our Compensation and Talent Management Committee reviews compensation information provided by Farient and other third-party data in order to evaluate each executive’s base pay, annual incentives and equity incentives when changes in compensation are considered. Compensation decisions are designed to promote our fundamental business objectives and strategy.</w:t>
      </w:r>
    </w:p>
    <w:p>
      <w:pPr>
        <w:spacing w:after="0" w:line="178" w:lineRule="exact"/>
        <w:rPr>
          <w:sz w:val="20"/>
          <w:szCs w:val="20"/>
          <w:color w:val="auto"/>
        </w:rPr>
      </w:pPr>
    </w:p>
    <w:p>
      <w:pPr>
        <w:ind w:left="2000" w:right="100"/>
        <w:spacing w:after="0" w:line="264" w:lineRule="auto"/>
        <w:rPr>
          <w:sz w:val="20"/>
          <w:szCs w:val="20"/>
          <w:color w:val="auto"/>
        </w:rPr>
      </w:pPr>
      <w:r>
        <w:rPr>
          <w:rFonts w:ascii="Arial" w:cs="Arial" w:eastAsia="Arial" w:hAnsi="Arial"/>
          <w:sz w:val="16"/>
          <w:szCs w:val="16"/>
          <w:color w:val="auto"/>
        </w:rPr>
        <w:t>Our Compensation and Talent Management Committee uses the compensation data to obtain a general understanding of current market practices, so it can design our executive compensation program to be competitive. Market data is not used exclusively, but rather as a point of reference to draw comparisons and distinctions.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190500</wp:posOffset>
            </wp:positionV>
            <wp:extent cx="6740525" cy="16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Components of executive compensation for 2022</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2022, the compensation of executive officers consisted of the following five primary components:</w:t>
      </w: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520" w:type="dxa"/>
            <w:vAlign w:val="bottom"/>
            <w:gridSpan w:val="3"/>
          </w:tcPr>
          <w:p>
            <w:pPr>
              <w:ind w:left="80"/>
              <w:spacing w:after="0"/>
              <w:rPr>
                <w:sz w:val="20"/>
                <w:szCs w:val="20"/>
                <w:color w:val="auto"/>
              </w:rPr>
            </w:pPr>
            <w:r>
              <w:rPr>
                <w:rFonts w:ascii="Arial" w:cs="Arial" w:eastAsia="Arial" w:hAnsi="Arial"/>
                <w:sz w:val="17"/>
                <w:szCs w:val="17"/>
                <w:b w:val="1"/>
                <w:bCs w:val="1"/>
                <w:color w:val="FB4E0B"/>
              </w:rPr>
              <w:t>Compensation component</w:t>
            </w:r>
          </w:p>
        </w:tc>
        <w:tc>
          <w:tcPr>
            <w:tcW w:w="3620" w:type="dxa"/>
            <w:vAlign w:val="bottom"/>
          </w:tcPr>
          <w:p>
            <w:pPr>
              <w:ind w:left="200"/>
              <w:spacing w:after="0"/>
              <w:rPr>
                <w:sz w:val="20"/>
                <w:szCs w:val="20"/>
                <w:color w:val="auto"/>
              </w:rPr>
            </w:pPr>
            <w:r>
              <w:rPr>
                <w:rFonts w:ascii="Arial" w:cs="Arial" w:eastAsia="Arial" w:hAnsi="Arial"/>
                <w:sz w:val="17"/>
                <w:szCs w:val="17"/>
                <w:b w:val="1"/>
                <w:bCs w:val="1"/>
                <w:color w:val="FB4E0B"/>
              </w:rPr>
              <w:t>Description</w:t>
            </w:r>
          </w:p>
        </w:tc>
        <w:tc>
          <w:tcPr>
            <w:tcW w:w="3480" w:type="dxa"/>
            <w:vAlign w:val="bottom"/>
          </w:tcPr>
          <w:p>
            <w:pPr>
              <w:ind w:left="180"/>
              <w:spacing w:after="0"/>
              <w:rPr>
                <w:sz w:val="20"/>
                <w:szCs w:val="20"/>
                <w:color w:val="auto"/>
              </w:rPr>
            </w:pPr>
            <w:r>
              <w:rPr>
                <w:rFonts w:ascii="Arial" w:cs="Arial" w:eastAsia="Arial" w:hAnsi="Arial"/>
                <w:sz w:val="17"/>
                <w:szCs w:val="17"/>
                <w:b w:val="1"/>
                <w:bCs w:val="1"/>
                <w:color w:val="FB4E0B"/>
              </w:rPr>
              <w:t>Objectives</w:t>
            </w:r>
          </w:p>
        </w:tc>
        <w:tc>
          <w:tcPr>
            <w:tcW w:w="0" w:type="dxa"/>
            <w:vAlign w:val="bottom"/>
          </w:tcPr>
          <w:p>
            <w:pPr>
              <w:spacing w:after="0"/>
              <w:rPr>
                <w:sz w:val="1"/>
                <w:szCs w:val="1"/>
                <w:color w:val="auto"/>
              </w:rPr>
            </w:pPr>
          </w:p>
        </w:tc>
      </w:tr>
      <w:tr>
        <w:trPr>
          <w:trHeight w:val="32"/>
        </w:trPr>
        <w:tc>
          <w:tcPr>
            <w:tcW w:w="940" w:type="dxa"/>
            <w:vAlign w:val="bottom"/>
            <w:tcBorders>
              <w:bottom w:val="single" w:sz="8" w:color="FB4E0B"/>
            </w:tcBorders>
            <w:gridSpan w:val="2"/>
          </w:tcPr>
          <w:p>
            <w:pPr>
              <w:spacing w:after="0"/>
              <w:rPr>
                <w:sz w:val="2"/>
                <w:szCs w:val="2"/>
                <w:color w:val="auto"/>
              </w:rPr>
            </w:pPr>
          </w:p>
        </w:tc>
        <w:tc>
          <w:tcPr>
            <w:tcW w:w="2580" w:type="dxa"/>
            <w:vAlign w:val="bottom"/>
            <w:tcBorders>
              <w:bottom w:val="single" w:sz="8" w:color="FB4E0B"/>
            </w:tcBorders>
          </w:tcPr>
          <w:p>
            <w:pPr>
              <w:spacing w:after="0"/>
              <w:rPr>
                <w:sz w:val="2"/>
                <w:szCs w:val="2"/>
                <w:color w:val="auto"/>
              </w:rPr>
            </w:pPr>
          </w:p>
        </w:tc>
        <w:tc>
          <w:tcPr>
            <w:tcW w:w="3620" w:type="dxa"/>
            <w:vAlign w:val="bottom"/>
            <w:tcBorders>
              <w:bottom w:val="single" w:sz="8" w:color="FB4E0B"/>
            </w:tcBorders>
          </w:tcPr>
          <w:p>
            <w:pPr>
              <w:spacing w:after="0"/>
              <w:rPr>
                <w:sz w:val="2"/>
                <w:szCs w:val="2"/>
                <w:color w:val="auto"/>
              </w:rPr>
            </w:pPr>
          </w:p>
        </w:tc>
        <w:tc>
          <w:tcPr>
            <w:tcW w:w="348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0" w:type="dxa"/>
            <w:vAlign w:val="bottom"/>
            <w:gridSpan w:val="2"/>
          </w:tcPr>
          <w:p>
            <w:pPr>
              <w:ind w:left="80"/>
              <w:spacing w:after="0"/>
              <w:rPr>
                <w:sz w:val="20"/>
                <w:szCs w:val="20"/>
                <w:color w:val="auto"/>
              </w:rPr>
            </w:pPr>
            <w:r>
              <w:rPr>
                <w:rFonts w:ascii="Arial" w:cs="Arial" w:eastAsia="Arial" w:hAnsi="Arial"/>
                <w:sz w:val="17"/>
                <w:szCs w:val="17"/>
                <w:b w:val="1"/>
                <w:bCs w:val="1"/>
                <w:color w:val="auto"/>
                <w:w w:val="88"/>
              </w:rPr>
              <w:t>Base salary</w:t>
            </w:r>
          </w:p>
        </w:tc>
        <w:tc>
          <w:tcPr>
            <w:tcW w:w="258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1"/>
              </w:rPr>
              <w:t>Fixed compensation that is reviewed annually and is</w:t>
            </w:r>
          </w:p>
        </w:tc>
        <w:tc>
          <w:tcPr>
            <w:tcW w:w="3480" w:type="dxa"/>
            <w:vAlign w:val="bottom"/>
          </w:tcPr>
          <w:p>
            <w:pPr>
              <w:ind w:left="180"/>
              <w:spacing w:after="0"/>
              <w:rPr>
                <w:sz w:val="20"/>
                <w:szCs w:val="20"/>
                <w:color w:val="auto"/>
              </w:rPr>
            </w:pPr>
            <w:r>
              <w:rPr>
                <w:rFonts w:ascii="Arial" w:cs="Arial" w:eastAsia="Arial" w:hAnsi="Arial"/>
                <w:sz w:val="16"/>
                <w:szCs w:val="16"/>
                <w:color w:val="auto"/>
              </w:rPr>
              <w:t>Provide a base level of compensation that</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2"/>
              </w:rPr>
              <w:t>based on performance, experience, responsibilities,</w:t>
            </w:r>
          </w:p>
        </w:tc>
        <w:tc>
          <w:tcPr>
            <w:tcW w:w="3480" w:type="dxa"/>
            <w:vAlign w:val="bottom"/>
          </w:tcPr>
          <w:p>
            <w:pPr>
              <w:ind w:left="180"/>
              <w:spacing w:after="0"/>
              <w:rPr>
                <w:sz w:val="20"/>
                <w:szCs w:val="20"/>
                <w:color w:val="auto"/>
              </w:rPr>
            </w:pPr>
            <w:r>
              <w:rPr>
                <w:rFonts w:ascii="Arial" w:cs="Arial" w:eastAsia="Arial" w:hAnsi="Arial"/>
                <w:sz w:val="16"/>
                <w:szCs w:val="16"/>
                <w:color w:val="auto"/>
              </w:rPr>
              <w:t>corresponds to the job function performed.</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skill set and market value.</w:t>
            </w: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w w:val="95"/>
              </w:rPr>
              <w:t>Attract, retain, reward and motivate qualified and</w:t>
            </w:r>
          </w:p>
        </w:tc>
        <w:tc>
          <w:tcPr>
            <w:tcW w:w="0" w:type="dxa"/>
            <w:vAlign w:val="bottom"/>
          </w:tcPr>
          <w:p>
            <w:pPr>
              <w:spacing w:after="0"/>
              <w:rPr>
                <w:sz w:val="1"/>
                <w:szCs w:val="1"/>
                <w:color w:val="auto"/>
              </w:rPr>
            </w:pPr>
          </w:p>
        </w:tc>
      </w:tr>
      <w:tr>
        <w:trPr>
          <w:trHeight w:val="113"/>
        </w:trPr>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spacing w:after="0"/>
              <w:rPr>
                <w:sz w:val="17"/>
                <w:szCs w:val="17"/>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experienced executives.</w:t>
            </w:r>
          </w:p>
        </w:tc>
        <w:tc>
          <w:tcPr>
            <w:tcW w:w="0" w:type="dxa"/>
            <w:vAlign w:val="bottom"/>
          </w:tcPr>
          <w:p>
            <w:pPr>
              <w:spacing w:after="0"/>
              <w:rPr>
                <w:sz w:val="1"/>
                <w:szCs w:val="1"/>
                <w:color w:val="auto"/>
              </w:rPr>
            </w:pPr>
          </w:p>
        </w:tc>
      </w:tr>
      <w:tr>
        <w:trPr>
          <w:trHeight w:val="214"/>
        </w:trPr>
        <w:tc>
          <w:tcPr>
            <w:tcW w:w="3520" w:type="dxa"/>
            <w:vAlign w:val="bottom"/>
            <w:tcBorders>
              <w:bottom w:val="single" w:sz="8" w:color="auto"/>
              <w:right w:val="single" w:sz="8" w:color="auto"/>
            </w:tcBorders>
            <w:gridSpan w:val="3"/>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tcBorders>
              <w:right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Annual incentives</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89"/>
              </w:rPr>
              <w:t>“At-risk” compensation earned based on performance</w:t>
            </w:r>
          </w:p>
        </w:tc>
        <w:tc>
          <w:tcPr>
            <w:tcW w:w="3480" w:type="dxa"/>
            <w:vAlign w:val="bottom"/>
          </w:tcPr>
          <w:p>
            <w:pPr>
              <w:ind w:left="180"/>
              <w:spacing w:after="0"/>
              <w:rPr>
                <w:sz w:val="20"/>
                <w:szCs w:val="20"/>
                <w:color w:val="auto"/>
              </w:rPr>
            </w:pPr>
            <w:r>
              <w:rPr>
                <w:rFonts w:ascii="Arial" w:cs="Arial" w:eastAsia="Arial" w:hAnsi="Arial"/>
                <w:sz w:val="16"/>
                <w:szCs w:val="16"/>
                <w:color w:val="auto"/>
                <w:w w:val="91"/>
              </w:rPr>
              <w:t>Incentivize executives to achieve annual goals that</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9"/>
              </w:rPr>
              <w:t>measured against pre-established annual goals.</w:t>
            </w:r>
          </w:p>
        </w:tc>
        <w:tc>
          <w:tcPr>
            <w:tcW w:w="3480" w:type="dxa"/>
            <w:vAlign w:val="bottom"/>
          </w:tcPr>
          <w:p>
            <w:pPr>
              <w:ind w:left="180"/>
              <w:spacing w:after="0"/>
              <w:rPr>
                <w:sz w:val="20"/>
                <w:szCs w:val="20"/>
                <w:color w:val="auto"/>
              </w:rPr>
            </w:pPr>
            <w:r>
              <w:rPr>
                <w:rFonts w:ascii="Arial" w:cs="Arial" w:eastAsia="Arial" w:hAnsi="Arial"/>
                <w:sz w:val="16"/>
                <w:szCs w:val="16"/>
                <w:color w:val="auto"/>
                <w:w w:val="92"/>
              </w:rPr>
              <w:t>ultimately contribute to long-term company growth</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w w:val="93"/>
              </w:rPr>
              <w:t>75% of each NEO’s award is tied to Company-wide</w:t>
            </w:r>
          </w:p>
        </w:tc>
        <w:tc>
          <w:tcPr>
            <w:tcW w:w="3480" w:type="dxa"/>
            <w:vAlign w:val="bottom"/>
          </w:tcPr>
          <w:p>
            <w:pPr>
              <w:ind w:left="180"/>
              <w:spacing w:after="0"/>
              <w:rPr>
                <w:sz w:val="20"/>
                <w:szCs w:val="20"/>
                <w:color w:val="auto"/>
              </w:rPr>
            </w:pPr>
            <w:r>
              <w:rPr>
                <w:rFonts w:ascii="Arial" w:cs="Arial" w:eastAsia="Arial" w:hAnsi="Arial"/>
                <w:sz w:val="16"/>
                <w:szCs w:val="16"/>
                <w:color w:val="auto"/>
              </w:rPr>
              <w:t>and stockholder return.</w:t>
            </w:r>
          </w:p>
        </w:tc>
        <w:tc>
          <w:tcPr>
            <w:tcW w:w="0" w:type="dxa"/>
            <w:vAlign w:val="bottom"/>
          </w:tcPr>
          <w:p>
            <w:pPr>
              <w:spacing w:after="0"/>
              <w:rPr>
                <w:sz w:val="1"/>
                <w:szCs w:val="1"/>
                <w:color w:val="auto"/>
              </w:rPr>
            </w:pPr>
          </w:p>
        </w:tc>
      </w:tr>
      <w:tr>
        <w:trPr>
          <w:trHeight w:val="113"/>
        </w:trPr>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performance with the remaining 25% to the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achievement of individualized goals.</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20" w:type="dxa"/>
            <w:vAlign w:val="bottom"/>
            <w:tcBorders>
              <w:bottom w:val="single" w:sz="8" w:color="auto"/>
              <w:right w:val="single" w:sz="8" w:color="auto"/>
            </w:tcBorders>
            <w:gridSpan w:val="3"/>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tcBorders>
              <w:right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Long-term incentives</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1"/>
              </w:rPr>
              <w:t>“At-risk” compensation in the form of restricted stock</w:t>
            </w:r>
          </w:p>
        </w:tc>
        <w:tc>
          <w:tcPr>
            <w:tcW w:w="3480" w:type="dxa"/>
            <w:vAlign w:val="bottom"/>
          </w:tcPr>
          <w:p>
            <w:pPr>
              <w:ind w:left="180"/>
              <w:spacing w:after="0"/>
              <w:rPr>
                <w:sz w:val="20"/>
                <w:szCs w:val="20"/>
                <w:color w:val="auto"/>
              </w:rPr>
            </w:pPr>
            <w:r>
              <w:rPr>
                <w:rFonts w:ascii="Arial" w:cs="Arial" w:eastAsia="Arial" w:hAnsi="Arial"/>
                <w:sz w:val="16"/>
                <w:szCs w:val="16"/>
                <w:color w:val="auto"/>
                <w:w w:val="89"/>
              </w:rPr>
              <w:t>Align executive interests with those of stockholders.</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9"/>
              </w:rPr>
              <w:t>unit awards whose value fluctuates according to</w:t>
            </w: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Reward continuous service with the company.</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rPr>
              <w:t>stockholder value.</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w w:val="91"/>
              </w:rPr>
              <w:t>40% of the award vests based on continued service.</w:t>
            </w:r>
          </w:p>
        </w:tc>
        <w:tc>
          <w:tcPr>
            <w:tcW w:w="3480" w:type="dxa"/>
            <w:vAlign w:val="bottom"/>
          </w:tcPr>
          <w:p>
            <w:pPr>
              <w:ind w:left="180"/>
              <w:spacing w:after="0"/>
              <w:rPr>
                <w:sz w:val="20"/>
                <w:szCs w:val="20"/>
                <w:color w:val="auto"/>
              </w:rPr>
            </w:pPr>
            <w:r>
              <w:rPr>
                <w:rFonts w:ascii="Arial" w:cs="Arial" w:eastAsia="Arial" w:hAnsi="Arial"/>
                <w:sz w:val="16"/>
                <w:szCs w:val="16"/>
                <w:color w:val="auto"/>
                <w:w w:val="94"/>
              </w:rPr>
              <w:t>Incentivize executives to achieve goals that drive</w:t>
            </w: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3620" w:type="dxa"/>
            <w:vAlign w:val="bottom"/>
            <w:tcBorders>
              <w:right w:val="single" w:sz="8" w:color="auto"/>
            </w:tcBorders>
            <w:vMerge w:val="continue"/>
          </w:tcPr>
          <w:p>
            <w:pPr>
              <w:spacing w:after="0"/>
              <w:rPr>
                <w:sz w:val="7"/>
                <w:szCs w:val="7"/>
                <w:color w:val="auto"/>
              </w:rPr>
            </w:pPr>
          </w:p>
        </w:tc>
        <w:tc>
          <w:tcPr>
            <w:tcW w:w="3480" w:type="dxa"/>
            <w:vAlign w:val="bottom"/>
            <w:vMerge w:val="restart"/>
          </w:tcPr>
          <w:p>
            <w:pPr>
              <w:ind w:left="180"/>
              <w:spacing w:after="0"/>
              <w:rPr>
                <w:sz w:val="20"/>
                <w:szCs w:val="20"/>
                <w:color w:val="auto"/>
              </w:rPr>
            </w:pPr>
            <w:r>
              <w:rPr>
                <w:rFonts w:ascii="Arial" w:cs="Arial" w:eastAsia="Arial" w:hAnsi="Arial"/>
                <w:sz w:val="16"/>
                <w:szCs w:val="16"/>
                <w:color w:val="auto"/>
              </w:rPr>
              <w:t>company performance over the long-term.</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w w:val="87"/>
              </w:rPr>
              <w:t>60% vests based on achievement of revenue and total</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vMerge w:val="continue"/>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stockholder return goals.</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 addition, for 2022, certain executives had the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87"/>
              </w:rPr>
              <w:t>ability to receive share matching awards, as described</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 greater detail below.</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0" w:type="dxa"/>
            <w:vAlign w:val="bottom"/>
            <w:tcBorders>
              <w:bottom w:val="single" w:sz="8" w:color="FB4E0B"/>
            </w:tcBorders>
          </w:tcPr>
          <w:p>
            <w:pPr>
              <w:spacing w:after="0"/>
              <w:rPr>
                <w:sz w:val="12"/>
                <w:szCs w:val="12"/>
                <w:color w:val="auto"/>
              </w:rPr>
            </w:pPr>
          </w:p>
        </w:tc>
        <w:tc>
          <w:tcPr>
            <w:tcW w:w="480" w:type="dxa"/>
            <w:vAlign w:val="bottom"/>
            <w:tcBorders>
              <w:bottom w:val="single" w:sz="8" w:color="FB4E0B"/>
            </w:tcBorders>
          </w:tcPr>
          <w:p>
            <w:pPr>
              <w:spacing w:after="0"/>
              <w:rPr>
                <w:sz w:val="12"/>
                <w:szCs w:val="12"/>
                <w:color w:val="auto"/>
              </w:rPr>
            </w:pPr>
          </w:p>
        </w:tc>
        <w:tc>
          <w:tcPr>
            <w:tcW w:w="2580" w:type="dxa"/>
            <w:vAlign w:val="bottom"/>
            <w:tcBorders>
              <w:bottom w:val="single" w:sz="8" w:color="FB4E0B"/>
              <w:right w:val="single" w:sz="8" w:color="auto"/>
            </w:tcBorders>
          </w:tcPr>
          <w:p>
            <w:pPr>
              <w:spacing w:after="0"/>
              <w:rPr>
                <w:sz w:val="12"/>
                <w:szCs w:val="12"/>
                <w:color w:val="auto"/>
              </w:rPr>
            </w:pPr>
          </w:p>
        </w:tc>
        <w:tc>
          <w:tcPr>
            <w:tcW w:w="3620" w:type="dxa"/>
            <w:vAlign w:val="bottom"/>
            <w:tcBorders>
              <w:bottom w:val="single" w:sz="8" w:color="FB4E0B"/>
              <w:right w:val="single" w:sz="8" w:color="auto"/>
            </w:tcBorders>
          </w:tcPr>
          <w:p>
            <w:pPr>
              <w:spacing w:after="0"/>
              <w:rPr>
                <w:sz w:val="12"/>
                <w:szCs w:val="12"/>
                <w:color w:val="auto"/>
              </w:rPr>
            </w:pPr>
          </w:p>
        </w:tc>
        <w:tc>
          <w:tcPr>
            <w:tcW w:w="3480" w:type="dxa"/>
            <w:vAlign w:val="bottom"/>
            <w:tcBorders>
              <w:bottom w:val="single" w:sz="8" w:color="FB4E0B"/>
            </w:tcBorders>
          </w:tcPr>
          <w:p>
            <w:pPr>
              <w:spacing w:after="0"/>
              <w:rPr>
                <w:sz w:val="12"/>
                <w:szCs w:val="12"/>
                <w:color w:val="auto"/>
              </w:rPr>
            </w:pPr>
          </w:p>
        </w:tc>
        <w:tc>
          <w:tcPr>
            <w:tcW w:w="0" w:type="dxa"/>
            <w:vAlign w:val="bottom"/>
          </w:tcPr>
          <w:p>
            <w:pPr>
              <w:spacing w:after="0"/>
              <w:rPr>
                <w:sz w:val="1"/>
                <w:szCs w:val="1"/>
                <w:color w:val="auto"/>
              </w:rPr>
            </w:pPr>
          </w:p>
        </w:tc>
      </w:tr>
      <w:tr>
        <w:trPr>
          <w:trHeight w:val="472"/>
        </w:trPr>
        <w:tc>
          <w:tcPr>
            <w:tcW w:w="460" w:type="dxa"/>
            <w:vAlign w:val="bottom"/>
          </w:tcPr>
          <w:p>
            <w:pPr>
              <w:ind w:left="100"/>
              <w:spacing w:after="0"/>
              <w:rPr>
                <w:sz w:val="20"/>
                <w:szCs w:val="20"/>
                <w:color w:val="auto"/>
              </w:rPr>
            </w:pPr>
            <w:r>
              <w:rPr>
                <w:rFonts w:ascii="Arial" w:cs="Arial" w:eastAsia="Arial" w:hAnsi="Arial"/>
                <w:sz w:val="17"/>
                <w:szCs w:val="17"/>
                <w:b w:val="1"/>
                <w:bCs w:val="1"/>
                <w:color w:val="auto"/>
              </w:rPr>
              <w:t>74</w:t>
            </w:r>
          </w:p>
        </w:tc>
        <w:tc>
          <w:tcPr>
            <w:tcW w:w="480" w:type="dxa"/>
            <w:vAlign w:val="bottom"/>
          </w:tcPr>
          <w:p>
            <w:pPr>
              <w:jc w:val="right"/>
              <w:ind w:right="81"/>
              <w:spacing w:after="0"/>
              <w:rPr>
                <w:sz w:val="20"/>
                <w:szCs w:val="20"/>
                <w:color w:val="auto"/>
              </w:rPr>
            </w:pPr>
            <w:r>
              <w:rPr>
                <w:rFonts w:ascii="Arial" w:cs="Arial" w:eastAsia="Arial" w:hAnsi="Arial"/>
                <w:sz w:val="28"/>
                <w:szCs w:val="28"/>
                <w:b w:val="1"/>
                <w:bCs w:val="1"/>
                <w:color w:val="FB4E0B"/>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EXL 2023 Proxy Statement</w:t>
            </w:r>
          </w:p>
        </w:tc>
        <w:tc>
          <w:tcPr>
            <w:tcW w:w="3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3" w:right="6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35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480" w:type="dxa"/>
            <w:vAlign w:val="bottom"/>
          </w:tcPr>
          <w:p>
            <w:pPr>
              <w:ind w:left="2040"/>
              <w:spacing w:after="0"/>
              <w:rPr>
                <w:sz w:val="20"/>
                <w:szCs w:val="20"/>
                <w:color w:val="auto"/>
              </w:rPr>
            </w:pPr>
            <w:r>
              <w:rPr>
                <w:rFonts w:ascii="Arial" w:cs="Arial" w:eastAsia="Arial" w:hAnsi="Arial"/>
                <w:sz w:val="14"/>
                <w:szCs w:val="14"/>
                <w:b w:val="1"/>
                <w:bCs w:val="1"/>
                <w:color w:val="D8D8D8"/>
                <w:w w:val="86"/>
              </w:rPr>
              <w:t>Executive compensation</w:t>
            </w:r>
          </w:p>
        </w:tc>
      </w:tr>
      <w:tr>
        <w:trPr>
          <w:trHeight w:val="558"/>
        </w:trPr>
        <w:tc>
          <w:tcPr>
            <w:tcW w:w="3520" w:type="dxa"/>
            <w:vAlign w:val="bottom"/>
          </w:tcPr>
          <w:p>
            <w:pPr>
              <w:ind w:left="80"/>
              <w:spacing w:after="0"/>
              <w:rPr>
                <w:sz w:val="20"/>
                <w:szCs w:val="20"/>
                <w:color w:val="auto"/>
              </w:rPr>
            </w:pPr>
            <w:r>
              <w:rPr>
                <w:rFonts w:ascii="Arial" w:cs="Arial" w:eastAsia="Arial" w:hAnsi="Arial"/>
                <w:sz w:val="17"/>
                <w:szCs w:val="17"/>
                <w:b w:val="1"/>
                <w:bCs w:val="1"/>
                <w:color w:val="FB4E0B"/>
              </w:rPr>
              <w:t>Compensation component</w:t>
            </w:r>
          </w:p>
        </w:tc>
        <w:tc>
          <w:tcPr>
            <w:tcW w:w="3620" w:type="dxa"/>
            <w:vAlign w:val="bottom"/>
          </w:tcPr>
          <w:p>
            <w:pPr>
              <w:ind w:left="200"/>
              <w:spacing w:after="0"/>
              <w:rPr>
                <w:sz w:val="20"/>
                <w:szCs w:val="20"/>
                <w:color w:val="auto"/>
              </w:rPr>
            </w:pPr>
            <w:r>
              <w:rPr>
                <w:rFonts w:ascii="Arial" w:cs="Arial" w:eastAsia="Arial" w:hAnsi="Arial"/>
                <w:sz w:val="17"/>
                <w:szCs w:val="17"/>
                <w:b w:val="1"/>
                <w:bCs w:val="1"/>
                <w:color w:val="FB4E0B"/>
              </w:rPr>
              <w:t>Description</w:t>
            </w:r>
          </w:p>
        </w:tc>
        <w:tc>
          <w:tcPr>
            <w:tcW w:w="3480" w:type="dxa"/>
            <w:vAlign w:val="bottom"/>
          </w:tcPr>
          <w:p>
            <w:pPr>
              <w:ind w:left="180"/>
              <w:spacing w:after="0"/>
              <w:rPr>
                <w:sz w:val="20"/>
                <w:szCs w:val="20"/>
                <w:color w:val="auto"/>
              </w:rPr>
            </w:pPr>
            <w:r>
              <w:rPr>
                <w:rFonts w:ascii="Arial" w:cs="Arial" w:eastAsia="Arial" w:hAnsi="Arial"/>
                <w:sz w:val="17"/>
                <w:szCs w:val="17"/>
                <w:b w:val="1"/>
                <w:bCs w:val="1"/>
                <w:color w:val="FB4E0B"/>
              </w:rPr>
              <w:t>Objectives</w:t>
            </w:r>
          </w:p>
        </w:tc>
      </w:tr>
      <w:tr>
        <w:trPr>
          <w:trHeight w:val="32"/>
        </w:trPr>
        <w:tc>
          <w:tcPr>
            <w:tcW w:w="3520" w:type="dxa"/>
            <w:vAlign w:val="bottom"/>
            <w:tcBorders>
              <w:bottom w:val="single" w:sz="8" w:color="FB4E0B"/>
            </w:tcBorders>
          </w:tcPr>
          <w:p>
            <w:pPr>
              <w:spacing w:after="0"/>
              <w:rPr>
                <w:sz w:val="2"/>
                <w:szCs w:val="2"/>
                <w:color w:val="auto"/>
              </w:rPr>
            </w:pPr>
          </w:p>
        </w:tc>
        <w:tc>
          <w:tcPr>
            <w:tcW w:w="3620" w:type="dxa"/>
            <w:vAlign w:val="bottom"/>
            <w:tcBorders>
              <w:bottom w:val="single" w:sz="8" w:color="FB4E0B"/>
            </w:tcBorders>
          </w:tcPr>
          <w:p>
            <w:pPr>
              <w:spacing w:after="0"/>
              <w:rPr>
                <w:sz w:val="2"/>
                <w:szCs w:val="2"/>
                <w:color w:val="auto"/>
              </w:rPr>
            </w:pPr>
          </w:p>
        </w:tc>
        <w:tc>
          <w:tcPr>
            <w:tcW w:w="3480" w:type="dxa"/>
            <w:vAlign w:val="bottom"/>
            <w:tcBorders>
              <w:bottom w:val="single" w:sz="8" w:color="FB4E0B"/>
            </w:tcBorders>
          </w:tcPr>
          <w:p>
            <w:pPr>
              <w:spacing w:after="0"/>
              <w:rPr>
                <w:sz w:val="2"/>
                <w:szCs w:val="2"/>
                <w:color w:val="auto"/>
              </w:rPr>
            </w:pPr>
          </w:p>
        </w:tc>
      </w:tr>
      <w:tr>
        <w:trPr>
          <w:trHeight w:val="250"/>
        </w:trPr>
        <w:tc>
          <w:tcPr>
            <w:tcW w:w="35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Other benefits</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87"/>
              </w:rPr>
              <w:t>Broad-based benefits provided to company employees</w:t>
            </w:r>
          </w:p>
        </w:tc>
        <w:tc>
          <w:tcPr>
            <w:tcW w:w="3480" w:type="dxa"/>
            <w:vAlign w:val="bottom"/>
          </w:tcPr>
          <w:p>
            <w:pPr>
              <w:ind w:left="180"/>
              <w:spacing w:after="0"/>
              <w:rPr>
                <w:sz w:val="20"/>
                <w:szCs w:val="20"/>
                <w:color w:val="auto"/>
              </w:rPr>
            </w:pPr>
            <w:r>
              <w:rPr>
                <w:rFonts w:ascii="Arial" w:cs="Arial" w:eastAsia="Arial" w:hAnsi="Arial"/>
                <w:sz w:val="16"/>
                <w:szCs w:val="16"/>
                <w:color w:val="auto"/>
              </w:rPr>
              <w:t>Provide a total compensation package that is</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(e.g., health and group insurance), a retirement</w:t>
            </w:r>
          </w:p>
        </w:tc>
        <w:tc>
          <w:tcPr>
            <w:tcW w:w="3480" w:type="dxa"/>
            <w:vAlign w:val="bottom"/>
          </w:tcPr>
          <w:p>
            <w:pPr>
              <w:ind w:left="180"/>
              <w:spacing w:after="0"/>
              <w:rPr>
                <w:sz w:val="20"/>
                <w:szCs w:val="20"/>
                <w:color w:val="auto"/>
              </w:rPr>
            </w:pPr>
            <w:r>
              <w:rPr>
                <w:rFonts w:ascii="Arial" w:cs="Arial" w:eastAsia="Arial" w:hAnsi="Arial"/>
                <w:sz w:val="16"/>
                <w:szCs w:val="16"/>
                <w:color w:val="auto"/>
                <w:w w:val="96"/>
              </w:rPr>
              <w:t>competitive with the marketplace and addresses</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savings plan and other personal benefits where</w:t>
            </w:r>
          </w:p>
        </w:tc>
        <w:tc>
          <w:tcPr>
            <w:tcW w:w="3480" w:type="dxa"/>
            <w:vAlign w:val="bottom"/>
          </w:tcPr>
          <w:p>
            <w:pPr>
              <w:ind w:left="180"/>
              <w:spacing w:after="0"/>
              <w:rPr>
                <w:sz w:val="20"/>
                <w:szCs w:val="20"/>
                <w:color w:val="auto"/>
              </w:rPr>
            </w:pPr>
            <w:r>
              <w:rPr>
                <w:rFonts w:ascii="Arial" w:cs="Arial" w:eastAsia="Arial" w:hAnsi="Arial"/>
                <w:sz w:val="16"/>
                <w:szCs w:val="16"/>
                <w:color w:val="auto"/>
                <w:w w:val="93"/>
              </w:rPr>
              <w:t>unique needs, especially for overseas executives.</w:t>
            </w:r>
          </w:p>
        </w:tc>
      </w:tr>
      <w:tr>
        <w:trPr>
          <w:trHeight w:val="211"/>
        </w:trPr>
        <w:tc>
          <w:tcPr>
            <w:tcW w:w="352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appropriate.</w:t>
            </w:r>
          </w:p>
        </w:tc>
        <w:tc>
          <w:tcPr>
            <w:tcW w:w="3480" w:type="dxa"/>
            <w:vAlign w:val="bottom"/>
            <w:tcBorders>
              <w:bottom w:val="single" w:sz="8" w:color="auto"/>
            </w:tcBorders>
          </w:tcPr>
          <w:p>
            <w:pPr>
              <w:spacing w:after="0"/>
              <w:rPr>
                <w:sz w:val="18"/>
                <w:szCs w:val="18"/>
                <w:color w:val="auto"/>
              </w:rPr>
            </w:pPr>
          </w:p>
        </w:tc>
      </w:tr>
      <w:tr>
        <w:trPr>
          <w:trHeight w:val="250"/>
        </w:trPr>
        <w:tc>
          <w:tcPr>
            <w:tcW w:w="35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Severance and change</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9"/>
              </w:rPr>
              <w:t>Protect executives during potentially tumultuous</w:t>
            </w:r>
          </w:p>
        </w:tc>
        <w:tc>
          <w:tcPr>
            <w:tcW w:w="3480" w:type="dxa"/>
            <w:vAlign w:val="bottom"/>
          </w:tcPr>
          <w:p>
            <w:pPr>
              <w:ind w:left="180"/>
              <w:spacing w:after="0"/>
              <w:rPr>
                <w:sz w:val="20"/>
                <w:szCs w:val="20"/>
                <w:color w:val="auto"/>
              </w:rPr>
            </w:pPr>
            <w:r>
              <w:rPr>
                <w:rFonts w:ascii="Arial" w:cs="Arial" w:eastAsia="Arial" w:hAnsi="Arial"/>
                <w:sz w:val="16"/>
                <w:szCs w:val="16"/>
                <w:color w:val="auto"/>
                <w:w w:val="89"/>
              </w:rPr>
              <w:t>Allow executives to focus on generating stockholder</w:t>
            </w:r>
          </w:p>
        </w:tc>
      </w:tr>
      <w:tr>
        <w:trPr>
          <w:trHeight w:val="231"/>
        </w:trPr>
        <w:tc>
          <w:tcPr>
            <w:tcW w:w="35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in control protections</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corporate transaction.</w:t>
            </w:r>
          </w:p>
        </w:tc>
        <w:tc>
          <w:tcPr>
            <w:tcW w:w="3480" w:type="dxa"/>
            <w:vAlign w:val="bottom"/>
          </w:tcPr>
          <w:p>
            <w:pPr>
              <w:ind w:left="180"/>
              <w:spacing w:after="0"/>
              <w:rPr>
                <w:sz w:val="20"/>
                <w:szCs w:val="20"/>
                <w:color w:val="auto"/>
              </w:rPr>
            </w:pPr>
            <w:r>
              <w:rPr>
                <w:rFonts w:ascii="Arial" w:cs="Arial" w:eastAsia="Arial" w:hAnsi="Arial"/>
                <w:sz w:val="16"/>
                <w:szCs w:val="16"/>
                <w:color w:val="auto"/>
              </w:rPr>
              <w:t>value during a change in control transaction.</w:t>
            </w:r>
          </w:p>
        </w:tc>
      </w:tr>
      <w:tr>
        <w:trPr>
          <w:trHeight w:val="276"/>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7"/>
              </w:rPr>
              <w:t>Provide reduced post-employment compensation</w:t>
            </w:r>
          </w:p>
        </w:tc>
        <w:tc>
          <w:tcPr>
            <w:tcW w:w="3480" w:type="dxa"/>
            <w:vAlign w:val="bottom"/>
          </w:tcPr>
          <w:p>
            <w:pPr>
              <w:ind w:left="180"/>
              <w:spacing w:after="0"/>
              <w:rPr>
                <w:sz w:val="20"/>
                <w:szCs w:val="20"/>
                <w:color w:val="auto"/>
              </w:rPr>
            </w:pPr>
            <w:r>
              <w:rPr>
                <w:rFonts w:ascii="Arial" w:cs="Arial" w:eastAsia="Arial" w:hAnsi="Arial"/>
                <w:sz w:val="16"/>
                <w:szCs w:val="16"/>
                <w:color w:val="auto"/>
              </w:rPr>
              <w:t>Provide market-competitive post-employment</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upon other involuntary terminations.</w:t>
            </w:r>
          </w:p>
        </w:tc>
        <w:tc>
          <w:tcPr>
            <w:tcW w:w="3480" w:type="dxa"/>
            <w:vAlign w:val="bottom"/>
          </w:tcPr>
          <w:p>
            <w:pPr>
              <w:ind w:left="180"/>
              <w:spacing w:after="0"/>
              <w:rPr>
                <w:sz w:val="20"/>
                <w:szCs w:val="20"/>
                <w:color w:val="auto"/>
              </w:rPr>
            </w:pPr>
            <w:r>
              <w:rPr>
                <w:rFonts w:ascii="Arial" w:cs="Arial" w:eastAsia="Arial" w:hAnsi="Arial"/>
                <w:sz w:val="16"/>
                <w:szCs w:val="16"/>
                <w:color w:val="auto"/>
                <w:w w:val="91"/>
              </w:rPr>
              <w:t>compensation recognizing executives likely require</w:t>
            </w:r>
          </w:p>
        </w:tc>
      </w:tr>
      <w:tr>
        <w:trPr>
          <w:trHeight w:val="199"/>
        </w:trPr>
        <w:tc>
          <w:tcPr>
            <w:tcW w:w="352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spacing w:after="0"/>
              <w:rPr>
                <w:sz w:val="17"/>
                <w:szCs w:val="17"/>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more time to find subsequent employment.</w:t>
            </w:r>
          </w:p>
        </w:tc>
      </w:tr>
      <w:tr>
        <w:trPr>
          <w:trHeight w:val="142"/>
        </w:trPr>
        <w:tc>
          <w:tcPr>
            <w:tcW w:w="3520" w:type="dxa"/>
            <w:vAlign w:val="bottom"/>
            <w:tcBorders>
              <w:bottom w:val="single" w:sz="8" w:color="FB4E0B"/>
              <w:right w:val="single" w:sz="8" w:color="auto"/>
            </w:tcBorders>
          </w:tcPr>
          <w:p>
            <w:pPr>
              <w:spacing w:after="0"/>
              <w:rPr>
                <w:sz w:val="12"/>
                <w:szCs w:val="12"/>
                <w:color w:val="auto"/>
              </w:rPr>
            </w:pPr>
          </w:p>
        </w:tc>
        <w:tc>
          <w:tcPr>
            <w:tcW w:w="3620" w:type="dxa"/>
            <w:vAlign w:val="bottom"/>
            <w:tcBorders>
              <w:bottom w:val="single" w:sz="8" w:color="FB4E0B"/>
              <w:right w:val="single" w:sz="8" w:color="auto"/>
            </w:tcBorders>
          </w:tcPr>
          <w:p>
            <w:pPr>
              <w:spacing w:after="0"/>
              <w:rPr>
                <w:sz w:val="12"/>
                <w:szCs w:val="12"/>
                <w:color w:val="auto"/>
              </w:rPr>
            </w:pPr>
          </w:p>
        </w:tc>
        <w:tc>
          <w:tcPr>
            <w:tcW w:w="3480" w:type="dxa"/>
            <w:vAlign w:val="bottom"/>
            <w:tcBorders>
              <w:bottom w:val="single" w:sz="8" w:color="FB4E0B"/>
            </w:tcBorders>
          </w:tcPr>
          <w:p>
            <w:pPr>
              <w:spacing w:after="0"/>
              <w:rPr>
                <w:sz w:val="12"/>
                <w:szCs w:val="12"/>
                <w:color w:val="auto"/>
              </w:rPr>
            </w:pPr>
          </w:p>
        </w:tc>
      </w:tr>
    </w:tbl>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Detailed review of compensation components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Base salary</w:t>
      </w:r>
    </w:p>
    <w:p>
      <w:pPr>
        <w:spacing w:after="0" w:line="117" w:lineRule="exact"/>
        <w:rPr>
          <w:sz w:val="20"/>
          <w:szCs w:val="20"/>
          <w:color w:val="auto"/>
        </w:rPr>
      </w:pPr>
    </w:p>
    <w:p>
      <w:pPr>
        <w:ind w:left="320" w:right="160"/>
        <w:spacing w:after="0" w:line="295" w:lineRule="auto"/>
        <w:rPr>
          <w:sz w:val="20"/>
          <w:szCs w:val="20"/>
          <w:color w:val="auto"/>
        </w:rPr>
      </w:pPr>
      <w:r>
        <w:rPr>
          <w:rFonts w:ascii="Arial" w:cs="Arial" w:eastAsia="Arial" w:hAnsi="Arial"/>
          <w:sz w:val="16"/>
          <w:szCs w:val="16"/>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2022, our Compensation and Talent Management Committee considered:</w:t>
      </w: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3200" w:type="dxa"/>
            <w:vAlign w:val="bottom"/>
            <w:tcBorders>
              <w:top w:val="single" w:sz="8" w:color="FB4E0B"/>
              <w:right w:val="single" w:sz="8" w:color="auto"/>
            </w:tcBorders>
          </w:tcPr>
          <w:p>
            <w:pPr>
              <w:ind w:left="140"/>
              <w:spacing w:after="0"/>
              <w:rPr>
                <w:sz w:val="20"/>
                <w:szCs w:val="20"/>
                <w:color w:val="auto"/>
              </w:rPr>
            </w:pPr>
            <w:r>
              <w:rPr>
                <w:rFonts w:ascii="Arial" w:cs="Arial" w:eastAsia="Arial" w:hAnsi="Arial"/>
                <w:sz w:val="17"/>
                <w:szCs w:val="17"/>
                <w:b w:val="1"/>
                <w:bCs w:val="1"/>
                <w:color w:val="auto"/>
              </w:rPr>
              <w:t>Individual performance</w:t>
            </w:r>
          </w:p>
        </w:tc>
        <w:tc>
          <w:tcPr>
            <w:tcW w:w="6360" w:type="dxa"/>
            <w:vAlign w:val="bottom"/>
            <w:tcBorders>
              <w:top w:val="single" w:sz="8" w:color="FB4E0B"/>
            </w:tcBorders>
          </w:tcPr>
          <w:p>
            <w:pPr>
              <w:ind w:left="80"/>
              <w:spacing w:after="0"/>
              <w:rPr>
                <w:sz w:val="20"/>
                <w:szCs w:val="20"/>
                <w:color w:val="auto"/>
              </w:rPr>
            </w:pPr>
            <w:r>
              <w:rPr>
                <w:rFonts w:ascii="Arial" w:cs="Arial" w:eastAsia="Arial" w:hAnsi="Arial"/>
                <w:sz w:val="17"/>
                <w:szCs w:val="17"/>
                <w:color w:val="auto"/>
              </w:rPr>
              <w:t>The degree to which the executive met and exceeded expectations.</w:t>
            </w:r>
          </w:p>
        </w:tc>
        <w:tc>
          <w:tcPr>
            <w:tcW w:w="680" w:type="dxa"/>
            <w:vAlign w:val="bottom"/>
            <w:tcBorders>
              <w:top w:val="single" w:sz="8" w:color="FB4E0B"/>
            </w:tcBorders>
          </w:tcPr>
          <w:p>
            <w:pPr>
              <w:spacing w:after="0"/>
              <w:rPr>
                <w:sz w:val="21"/>
                <w:szCs w:val="21"/>
                <w:color w:val="auto"/>
              </w:rPr>
            </w:pPr>
          </w:p>
        </w:tc>
        <w:tc>
          <w:tcPr>
            <w:tcW w:w="380" w:type="dxa"/>
            <w:vAlign w:val="bottom"/>
            <w:tcBorders>
              <w:top w:val="single" w:sz="8" w:color="FB4E0B"/>
            </w:tcBorders>
          </w:tcPr>
          <w:p>
            <w:pPr>
              <w:spacing w:after="0"/>
              <w:rPr>
                <w:sz w:val="21"/>
                <w:szCs w:val="21"/>
                <w:color w:val="auto"/>
              </w:rPr>
            </w:pPr>
          </w:p>
        </w:tc>
      </w:tr>
      <w:tr>
        <w:trPr>
          <w:trHeight w:val="99"/>
        </w:trPr>
        <w:tc>
          <w:tcPr>
            <w:tcW w:w="320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20"/>
        </w:trPr>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Market data</w:t>
            </w:r>
          </w:p>
        </w:tc>
        <w:tc>
          <w:tcPr>
            <w:tcW w:w="6360" w:type="dxa"/>
            <w:vAlign w:val="bottom"/>
          </w:tcPr>
          <w:p>
            <w:pPr>
              <w:ind w:left="80"/>
              <w:spacing w:after="0"/>
              <w:rPr>
                <w:sz w:val="20"/>
                <w:szCs w:val="20"/>
                <w:color w:val="auto"/>
              </w:rPr>
            </w:pPr>
            <w:r>
              <w:rPr>
                <w:rFonts w:ascii="Arial" w:cs="Arial" w:eastAsia="Arial" w:hAnsi="Arial"/>
                <w:sz w:val="17"/>
                <w:szCs w:val="17"/>
                <w:color w:val="auto"/>
              </w:rPr>
              <w:t>Market data to test reasonableness of compensation.</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99"/>
        </w:trPr>
        <w:tc>
          <w:tcPr>
            <w:tcW w:w="3200" w:type="dxa"/>
            <w:vAlign w:val="bottom"/>
            <w:tcBorders>
              <w:bottom w:val="single" w:sz="8" w:color="auto"/>
              <w:right w:val="single" w:sz="8" w:color="auto"/>
            </w:tcBorders>
          </w:tcPr>
          <w:p>
            <w:pPr>
              <w:spacing w:after="0"/>
              <w:rPr>
                <w:sz w:val="8"/>
                <w:szCs w:val="8"/>
                <w:color w:val="auto"/>
              </w:rPr>
            </w:pPr>
          </w:p>
        </w:tc>
        <w:tc>
          <w:tcPr>
            <w:tcW w:w="70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02"/>
        </w:trPr>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Overall compensation mix</w:t>
            </w:r>
          </w:p>
        </w:tc>
        <w:tc>
          <w:tcPr>
            <w:tcW w:w="7040" w:type="dxa"/>
            <w:vAlign w:val="bottom"/>
            <w:gridSpan w:val="2"/>
          </w:tcPr>
          <w:p>
            <w:pPr>
              <w:ind w:left="80"/>
              <w:spacing w:after="0"/>
              <w:rPr>
                <w:sz w:val="20"/>
                <w:szCs w:val="20"/>
                <w:color w:val="auto"/>
              </w:rPr>
            </w:pPr>
            <w:r>
              <w:rPr>
                <w:rFonts w:ascii="Arial" w:cs="Arial" w:eastAsia="Arial" w:hAnsi="Arial"/>
                <w:sz w:val="17"/>
                <w:szCs w:val="17"/>
                <w:color w:val="auto"/>
                <w:w w:val="92"/>
              </w:rPr>
              <w:t>Senior employees should have a greater portion of their compensation tied to increasing stockholder</w:t>
            </w:r>
          </w:p>
        </w:tc>
        <w:tc>
          <w:tcPr>
            <w:tcW w:w="380" w:type="dxa"/>
            <w:vAlign w:val="bottom"/>
          </w:tcPr>
          <w:p>
            <w:pPr>
              <w:spacing w:after="0"/>
              <w:rPr>
                <w:sz w:val="17"/>
                <w:szCs w:val="17"/>
                <w:color w:val="auto"/>
              </w:rPr>
            </w:pPr>
          </w:p>
        </w:tc>
      </w:tr>
      <w:tr>
        <w:trPr>
          <w:trHeight w:val="221"/>
        </w:trPr>
        <w:tc>
          <w:tcPr>
            <w:tcW w:w="3200" w:type="dxa"/>
            <w:vAlign w:val="bottom"/>
            <w:tcBorders>
              <w:right w:val="single" w:sz="8" w:color="auto"/>
            </w:tcBorders>
          </w:tcPr>
          <w:p>
            <w:pPr>
              <w:spacing w:after="0"/>
              <w:rPr>
                <w:sz w:val="19"/>
                <w:szCs w:val="19"/>
                <w:color w:val="auto"/>
              </w:rPr>
            </w:pPr>
          </w:p>
        </w:tc>
        <w:tc>
          <w:tcPr>
            <w:tcW w:w="6360" w:type="dxa"/>
            <w:vAlign w:val="bottom"/>
          </w:tcPr>
          <w:p>
            <w:pPr>
              <w:ind w:left="80"/>
              <w:spacing w:after="0"/>
              <w:rPr>
                <w:sz w:val="20"/>
                <w:szCs w:val="20"/>
                <w:color w:val="auto"/>
              </w:rPr>
            </w:pPr>
            <w:r>
              <w:rPr>
                <w:rFonts w:ascii="Arial" w:cs="Arial" w:eastAsia="Arial" w:hAnsi="Arial"/>
                <w:sz w:val="17"/>
                <w:szCs w:val="17"/>
                <w:color w:val="auto"/>
              </w:rPr>
              <w:t>value.</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10"/>
        </w:trPr>
        <w:tc>
          <w:tcPr>
            <w:tcW w:w="3200" w:type="dxa"/>
            <w:vAlign w:val="bottom"/>
            <w:tcBorders>
              <w:bottom w:val="single" w:sz="8" w:color="FB4E0B"/>
              <w:right w:val="single" w:sz="8" w:color="auto"/>
            </w:tcBorders>
          </w:tcPr>
          <w:p>
            <w:pPr>
              <w:spacing w:after="0"/>
              <w:rPr>
                <w:sz w:val="9"/>
                <w:szCs w:val="9"/>
                <w:color w:val="auto"/>
              </w:rPr>
            </w:pPr>
          </w:p>
        </w:tc>
        <w:tc>
          <w:tcPr>
            <w:tcW w:w="6360" w:type="dxa"/>
            <w:vAlign w:val="bottom"/>
            <w:tcBorders>
              <w:bottom w:val="single" w:sz="8" w:color="FB4E0B"/>
            </w:tcBorders>
          </w:tcPr>
          <w:p>
            <w:pPr>
              <w:spacing w:after="0"/>
              <w:rPr>
                <w:sz w:val="9"/>
                <w:szCs w:val="9"/>
                <w:color w:val="auto"/>
              </w:rPr>
            </w:pPr>
          </w:p>
        </w:tc>
        <w:tc>
          <w:tcPr>
            <w:tcW w:w="680" w:type="dxa"/>
            <w:vAlign w:val="bottom"/>
            <w:tcBorders>
              <w:bottom w:val="single" w:sz="8" w:color="FB4E0B"/>
            </w:tcBorders>
          </w:tcPr>
          <w:p>
            <w:pPr>
              <w:spacing w:after="0"/>
              <w:rPr>
                <w:sz w:val="9"/>
                <w:szCs w:val="9"/>
                <w:color w:val="auto"/>
              </w:rPr>
            </w:pPr>
          </w:p>
        </w:tc>
        <w:tc>
          <w:tcPr>
            <w:tcW w:w="380" w:type="dxa"/>
            <w:vAlign w:val="bottom"/>
            <w:tcBorders>
              <w:bottom w:val="single" w:sz="8" w:color="FB4E0B"/>
            </w:tcBorders>
          </w:tcPr>
          <w:p>
            <w:pPr>
              <w:spacing w:after="0"/>
              <w:rPr>
                <w:sz w:val="9"/>
                <w:szCs w:val="9"/>
                <w:color w:val="auto"/>
              </w:rPr>
            </w:pPr>
          </w:p>
        </w:tc>
      </w:tr>
      <w:tr>
        <w:trPr>
          <w:trHeight w:val="628"/>
        </w:trPr>
        <w:tc>
          <w:tcPr>
            <w:tcW w:w="3200" w:type="dxa"/>
            <w:vAlign w:val="bottom"/>
          </w:tcPr>
          <w:p>
            <w:pPr>
              <w:spacing w:after="0"/>
              <w:rPr>
                <w:sz w:val="24"/>
                <w:szCs w:val="24"/>
                <w:color w:val="auto"/>
              </w:rPr>
            </w:pPr>
          </w:p>
        </w:tc>
        <w:tc>
          <w:tcPr>
            <w:tcW w:w="6360" w:type="dxa"/>
            <w:vAlign w:val="bottom"/>
          </w:tcPr>
          <w:p>
            <w:pPr>
              <w:ind w:left="4640"/>
              <w:spacing w:after="0"/>
              <w:rPr>
                <w:sz w:val="20"/>
                <w:szCs w:val="20"/>
                <w:color w:val="auto"/>
              </w:rPr>
            </w:pPr>
            <w:r>
              <w:rPr>
                <w:rFonts w:ascii="Arial" w:cs="Arial" w:eastAsia="Arial" w:hAnsi="Arial"/>
                <w:sz w:val="13"/>
                <w:szCs w:val="13"/>
                <w:color w:val="auto"/>
              </w:rPr>
              <w:t>EXL 2023 Proxy Statement</w:t>
            </w:r>
          </w:p>
        </w:tc>
        <w:tc>
          <w:tcPr>
            <w:tcW w:w="680" w:type="dxa"/>
            <w:vAlign w:val="bottom"/>
          </w:tcPr>
          <w:p>
            <w:pPr>
              <w:jc w:val="right"/>
              <w:ind w:right="161"/>
              <w:spacing w:after="0"/>
              <w:rPr>
                <w:sz w:val="20"/>
                <w:szCs w:val="20"/>
                <w:color w:val="auto"/>
              </w:rPr>
            </w:pPr>
            <w:r>
              <w:rPr>
                <w:rFonts w:ascii="Arial" w:cs="Arial" w:eastAsia="Arial" w:hAnsi="Arial"/>
                <w:sz w:val="28"/>
                <w:szCs w:val="28"/>
                <w:b w:val="1"/>
                <w:bCs w:val="1"/>
                <w:color w:val="FB4E0B"/>
              </w:rPr>
              <w:t>/</w:t>
            </w:r>
          </w:p>
        </w:tc>
        <w:tc>
          <w:tcPr>
            <w:tcW w:w="38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75</w:t>
            </w:r>
          </w:p>
        </w:tc>
      </w:tr>
    </w:tbl>
    <w:p>
      <w:pPr>
        <w:sectPr>
          <w:pgSz w:w="11900" w:h="16838" w:orient="portrait"/>
          <w:cols w:equalWidth="0" w:num="1">
            <w:col w:w="10940"/>
          </w:cols>
          <w:pgMar w:left="320" w:top="473" w:right="6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40"/>
        <w:spacing w:after="0" w:line="299" w:lineRule="auto"/>
        <w:rPr>
          <w:sz w:val="20"/>
          <w:szCs w:val="20"/>
          <w:color w:val="auto"/>
        </w:rPr>
      </w:pPr>
      <w:r>
        <w:rPr>
          <w:rFonts w:ascii="Arial" w:cs="Arial" w:eastAsia="Arial" w:hAnsi="Arial"/>
          <w:sz w:val="15"/>
          <w:szCs w:val="15"/>
          <w:color w:val="auto"/>
        </w:rPr>
        <w:t>Upon completing its review, the Compensation and Talent Management Committee determined it was appropriate to increase base salaries for all of our named executive officers, effective as of October 1, 2022. Noting that, as of that date, it had been one and a half years since any base salary increase for Mr. Bhalla and Mr. Jetley and almost three years since any base salary increase for Mr. Nicolelli, the Compensation and Talent Management Committee determined that base salary increases were warranted in order to align more closely to the median of the market, including in light of the internal promotion of certain of our NEOs, Mr. Jetley and Mr. Rai, within the last several years, and account for individual performance. In addition, Mr. Jetley’s base salary increase recognizes the significant growth in Analytics over the past year, and Mr. Rai’s recognizes the importance of the Company’s digital strategy. The fixed compensation amount for Mr. Bhalla covers not only base salary, but also amounts available as a travel allowance, an automobile allowance, a housing allowance, and a cash supplementary allowance, consistent with compensation practices in India.</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2021 Base salary /</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2022 Base salary /</w:t>
            </w:r>
          </w:p>
        </w:tc>
        <w:tc>
          <w:tcPr>
            <w:tcW w:w="98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6280" w:type="dxa"/>
            <w:vAlign w:val="bottom"/>
            <w:vMerge w:val="restart"/>
          </w:tcPr>
          <w:p>
            <w:pPr>
              <w:ind w:left="160"/>
              <w:spacing w:after="0"/>
              <w:rPr>
                <w:sz w:val="20"/>
                <w:szCs w:val="20"/>
                <w:color w:val="auto"/>
              </w:rPr>
            </w:pPr>
            <w:r>
              <w:rPr>
                <w:rFonts w:ascii="Arial" w:cs="Arial" w:eastAsia="Arial" w:hAnsi="Arial"/>
                <w:sz w:val="17"/>
                <w:szCs w:val="17"/>
                <w:b w:val="1"/>
                <w:bCs w:val="1"/>
                <w:color w:val="FB4E0B"/>
              </w:rPr>
              <w:t>Name</w:t>
            </w:r>
          </w:p>
        </w:tc>
        <w:tc>
          <w:tcPr>
            <w:tcW w:w="1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annual fixed</w:t>
            </w:r>
          </w:p>
        </w:tc>
        <w:tc>
          <w:tcPr>
            <w:tcW w:w="1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annual fixed</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280" w:type="dxa"/>
            <w:vAlign w:val="bottom"/>
            <w:tcBorders>
              <w:bottom w:val="single" w:sz="8" w:color="FB4E0B"/>
            </w:tcBorders>
            <w:vMerge w:val="continue"/>
          </w:tcPr>
          <w:p>
            <w:pPr>
              <w:spacing w:after="0"/>
              <w:rPr>
                <w:sz w:val="16"/>
                <w:szCs w:val="16"/>
                <w:color w:val="auto"/>
              </w:rPr>
            </w:pPr>
          </w:p>
        </w:tc>
        <w:tc>
          <w:tcPr>
            <w:tcW w:w="1640" w:type="dxa"/>
            <w:vAlign w:val="bottom"/>
            <w:tcBorders>
              <w:bottom w:val="single" w:sz="8" w:color="FB4E0B"/>
            </w:tcBorders>
          </w:tcPr>
          <w:p>
            <w:pPr>
              <w:jc w:val="center"/>
              <w:spacing w:after="0"/>
              <w:rPr>
                <w:sz w:val="20"/>
                <w:szCs w:val="20"/>
                <w:color w:val="auto"/>
              </w:rPr>
            </w:pPr>
            <w:r>
              <w:rPr>
                <w:rFonts w:ascii="Arial" w:cs="Arial" w:eastAsia="Arial" w:hAnsi="Arial"/>
                <w:sz w:val="14"/>
                <w:szCs w:val="14"/>
                <w:b w:val="1"/>
                <w:bCs w:val="1"/>
                <w:color w:val="auto"/>
                <w:w w:val="87"/>
              </w:rPr>
              <w:t>compensation ($)</w:t>
            </w:r>
          </w:p>
        </w:tc>
        <w:tc>
          <w:tcPr>
            <w:tcW w:w="1740" w:type="dxa"/>
            <w:vAlign w:val="bottom"/>
            <w:tcBorders>
              <w:bottom w:val="single" w:sz="8" w:color="FB4E0B"/>
            </w:tcBorders>
          </w:tcPr>
          <w:p>
            <w:pPr>
              <w:jc w:val="center"/>
              <w:spacing w:after="0"/>
              <w:rPr>
                <w:sz w:val="20"/>
                <w:szCs w:val="20"/>
                <w:color w:val="auto"/>
              </w:rPr>
            </w:pPr>
            <w:r>
              <w:rPr>
                <w:rFonts w:ascii="Arial" w:cs="Arial" w:eastAsia="Arial" w:hAnsi="Arial"/>
                <w:sz w:val="14"/>
                <w:szCs w:val="14"/>
                <w:b w:val="1"/>
                <w:bCs w:val="1"/>
                <w:color w:val="auto"/>
                <w:w w:val="87"/>
              </w:rPr>
              <w:t>compensation ($)</w:t>
            </w:r>
          </w:p>
        </w:tc>
        <w:tc>
          <w:tcPr>
            <w:tcW w:w="980" w:type="dxa"/>
            <w:vAlign w:val="bottom"/>
            <w:tcBorders>
              <w:bottom w:val="single" w:sz="8" w:color="FB4E0B"/>
            </w:tcBorders>
          </w:tcPr>
          <w:p>
            <w:pPr>
              <w:jc w:val="right"/>
              <w:ind w:right="19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99"/>
        </w:trPr>
        <w:tc>
          <w:tcPr>
            <w:tcW w:w="628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Rohit Kapoor</w:t>
            </w:r>
          </w:p>
        </w:tc>
        <w:tc>
          <w:tcPr>
            <w:tcW w:w="164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750,000</w:t>
            </w:r>
          </w:p>
        </w:tc>
        <w:tc>
          <w:tcPr>
            <w:tcW w:w="1740" w:type="dxa"/>
            <w:vAlign w:val="bottom"/>
            <w:tcBorders>
              <w:right w:val="single" w:sz="8" w:color="auto"/>
            </w:tcBorders>
          </w:tcPr>
          <w:p>
            <w:pPr>
              <w:jc w:val="right"/>
              <w:ind w:right="140"/>
              <w:spacing w:after="0"/>
              <w:rPr>
                <w:sz w:val="20"/>
                <w:szCs w:val="20"/>
                <w:color w:val="auto"/>
              </w:rPr>
            </w:pPr>
            <w:r>
              <w:rPr>
                <w:rFonts w:ascii="Arial" w:cs="Arial" w:eastAsia="Arial" w:hAnsi="Arial"/>
                <w:sz w:val="17"/>
                <w:szCs w:val="17"/>
                <w:color w:val="auto"/>
              </w:rPr>
              <w:t>815,000</w:t>
            </w:r>
          </w:p>
        </w:tc>
        <w:tc>
          <w:tcPr>
            <w:tcW w:w="980" w:type="dxa"/>
            <w:vAlign w:val="bottom"/>
            <w:tcBorders>
              <w:right w:val="single" w:sz="8" w:color="auto"/>
            </w:tcBorders>
          </w:tcPr>
          <w:p>
            <w:pPr>
              <w:jc w:val="right"/>
              <w:ind w:right="38"/>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104"/>
        </w:trPr>
        <w:tc>
          <w:tcPr>
            <w:tcW w:w="62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28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Maurizio Nicolelli</w:t>
            </w:r>
          </w:p>
        </w:tc>
        <w:tc>
          <w:tcPr>
            <w:tcW w:w="164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475,000</w:t>
            </w:r>
          </w:p>
        </w:tc>
        <w:tc>
          <w:tcPr>
            <w:tcW w:w="1740" w:type="dxa"/>
            <w:vAlign w:val="bottom"/>
            <w:tcBorders>
              <w:right w:val="single" w:sz="8" w:color="auto"/>
            </w:tcBorders>
          </w:tcPr>
          <w:p>
            <w:pPr>
              <w:jc w:val="right"/>
              <w:ind w:right="140"/>
              <w:spacing w:after="0"/>
              <w:rPr>
                <w:sz w:val="20"/>
                <w:szCs w:val="20"/>
                <w:color w:val="auto"/>
              </w:rPr>
            </w:pPr>
            <w:r>
              <w:rPr>
                <w:rFonts w:ascii="Arial" w:cs="Arial" w:eastAsia="Arial" w:hAnsi="Arial"/>
                <w:sz w:val="17"/>
                <w:szCs w:val="17"/>
                <w:color w:val="auto"/>
              </w:rPr>
              <w:t>510,000</w:t>
            </w:r>
          </w:p>
        </w:tc>
        <w:tc>
          <w:tcPr>
            <w:tcW w:w="980" w:type="dxa"/>
            <w:vAlign w:val="bottom"/>
            <w:tcBorders>
              <w:right w:val="single" w:sz="8" w:color="auto"/>
            </w:tcBorders>
          </w:tcPr>
          <w:p>
            <w:pPr>
              <w:jc w:val="right"/>
              <w:ind w:right="38"/>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104"/>
        </w:trPr>
        <w:tc>
          <w:tcPr>
            <w:tcW w:w="62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6"/>
        </w:trPr>
        <w:tc>
          <w:tcPr>
            <w:tcW w:w="62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Vikas Bhalla</w:t>
            </w:r>
          </w:p>
        </w:tc>
        <w:tc>
          <w:tcPr>
            <w:tcW w:w="164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7"/>
                <w:szCs w:val="17"/>
                <w:color w:val="auto"/>
              </w:rPr>
              <w:t>INR 24,500,000</w:t>
            </w:r>
            <w:r>
              <w:rPr>
                <w:rFonts w:ascii="Arial" w:cs="Arial" w:eastAsia="Arial" w:hAnsi="Arial"/>
                <w:sz w:val="26"/>
                <w:szCs w:val="26"/>
                <w:color w:val="auto"/>
                <w:vertAlign w:val="superscript"/>
              </w:rPr>
              <w:t>(1)</w:t>
            </w:r>
          </w:p>
        </w:tc>
        <w:tc>
          <w:tcPr>
            <w:tcW w:w="174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7"/>
                <w:szCs w:val="17"/>
                <w:color w:val="auto"/>
              </w:rPr>
              <w:t>INR 27,900,000</w:t>
            </w:r>
            <w:r>
              <w:rPr>
                <w:rFonts w:ascii="Arial" w:cs="Arial" w:eastAsia="Arial" w:hAnsi="Arial"/>
                <w:sz w:val="26"/>
                <w:szCs w:val="26"/>
                <w:color w:val="auto"/>
                <w:vertAlign w:val="superscript"/>
              </w:rPr>
              <w:t>(2)</w:t>
            </w:r>
          </w:p>
        </w:tc>
        <w:tc>
          <w:tcPr>
            <w:tcW w:w="98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7"/>
                <w:szCs w:val="17"/>
                <w:color w:val="auto"/>
              </w:rPr>
              <w:t>13.88%</w:t>
            </w:r>
          </w:p>
        </w:tc>
        <w:tc>
          <w:tcPr>
            <w:tcW w:w="0" w:type="dxa"/>
            <w:vAlign w:val="bottom"/>
          </w:tcPr>
          <w:p>
            <w:pPr>
              <w:spacing w:after="0"/>
              <w:rPr>
                <w:sz w:val="1"/>
                <w:szCs w:val="1"/>
                <w:color w:val="auto"/>
              </w:rPr>
            </w:pPr>
          </w:p>
        </w:tc>
      </w:tr>
      <w:tr>
        <w:trPr>
          <w:trHeight w:val="305"/>
        </w:trPr>
        <w:tc>
          <w:tcPr>
            <w:tcW w:w="628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Vivek Jetley</w:t>
            </w:r>
          </w:p>
        </w:tc>
        <w:tc>
          <w:tcPr>
            <w:tcW w:w="164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420,000</w:t>
            </w:r>
          </w:p>
        </w:tc>
        <w:tc>
          <w:tcPr>
            <w:tcW w:w="1740" w:type="dxa"/>
            <w:vAlign w:val="bottom"/>
            <w:tcBorders>
              <w:right w:val="single" w:sz="8" w:color="auto"/>
            </w:tcBorders>
          </w:tcPr>
          <w:p>
            <w:pPr>
              <w:jc w:val="right"/>
              <w:ind w:right="140"/>
              <w:spacing w:after="0"/>
              <w:rPr>
                <w:sz w:val="20"/>
                <w:szCs w:val="20"/>
                <w:color w:val="auto"/>
              </w:rPr>
            </w:pPr>
            <w:r>
              <w:rPr>
                <w:rFonts w:ascii="Arial" w:cs="Arial" w:eastAsia="Arial" w:hAnsi="Arial"/>
                <w:sz w:val="17"/>
                <w:szCs w:val="17"/>
                <w:color w:val="auto"/>
              </w:rPr>
              <w:t>500,000</w:t>
            </w:r>
          </w:p>
        </w:tc>
        <w:tc>
          <w:tcPr>
            <w:tcW w:w="980" w:type="dxa"/>
            <w:vAlign w:val="bottom"/>
            <w:tcBorders>
              <w:right w:val="single" w:sz="8" w:color="auto"/>
            </w:tcBorders>
          </w:tcPr>
          <w:p>
            <w:pPr>
              <w:jc w:val="right"/>
              <w:ind w:right="38"/>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104"/>
        </w:trPr>
        <w:tc>
          <w:tcPr>
            <w:tcW w:w="62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628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Ankor Rai</w:t>
            </w:r>
          </w:p>
        </w:tc>
        <w:tc>
          <w:tcPr>
            <w:tcW w:w="164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410,000</w:t>
            </w:r>
          </w:p>
        </w:tc>
        <w:tc>
          <w:tcPr>
            <w:tcW w:w="1740" w:type="dxa"/>
            <w:vAlign w:val="bottom"/>
            <w:tcBorders>
              <w:right w:val="single" w:sz="8" w:color="auto"/>
            </w:tcBorders>
          </w:tcPr>
          <w:p>
            <w:pPr>
              <w:jc w:val="right"/>
              <w:ind w:right="140"/>
              <w:spacing w:after="0"/>
              <w:rPr>
                <w:sz w:val="20"/>
                <w:szCs w:val="20"/>
                <w:color w:val="auto"/>
              </w:rPr>
            </w:pPr>
            <w:r>
              <w:rPr>
                <w:rFonts w:ascii="Arial" w:cs="Arial" w:eastAsia="Arial" w:hAnsi="Arial"/>
                <w:sz w:val="17"/>
                <w:szCs w:val="17"/>
                <w:color w:val="auto"/>
              </w:rPr>
              <w:t>450,000</w:t>
            </w:r>
          </w:p>
        </w:tc>
        <w:tc>
          <w:tcPr>
            <w:tcW w:w="980" w:type="dxa"/>
            <w:vAlign w:val="bottom"/>
            <w:tcBorders>
              <w:right w:val="single" w:sz="8" w:color="auto"/>
            </w:tcBorders>
          </w:tcPr>
          <w:p>
            <w:pPr>
              <w:jc w:val="right"/>
              <w:ind w:right="38"/>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110"/>
        </w:trPr>
        <w:tc>
          <w:tcPr>
            <w:tcW w:w="6280" w:type="dxa"/>
            <w:vAlign w:val="bottom"/>
            <w:tcBorders>
              <w:bottom w:val="single" w:sz="8" w:color="FB4E0B"/>
              <w:right w:val="single" w:sz="8" w:color="auto"/>
            </w:tcBorders>
          </w:tcPr>
          <w:p>
            <w:pPr>
              <w:spacing w:after="0"/>
              <w:rPr>
                <w:sz w:val="9"/>
                <w:szCs w:val="9"/>
                <w:color w:val="auto"/>
              </w:rPr>
            </w:pPr>
          </w:p>
        </w:tc>
        <w:tc>
          <w:tcPr>
            <w:tcW w:w="1640" w:type="dxa"/>
            <w:vAlign w:val="bottom"/>
            <w:tcBorders>
              <w:bottom w:val="single" w:sz="8" w:color="FB4E0B"/>
              <w:right w:val="single" w:sz="8" w:color="auto"/>
            </w:tcBorders>
          </w:tcPr>
          <w:p>
            <w:pPr>
              <w:spacing w:after="0"/>
              <w:rPr>
                <w:sz w:val="9"/>
                <w:szCs w:val="9"/>
                <w:color w:val="auto"/>
              </w:rPr>
            </w:pPr>
          </w:p>
        </w:tc>
        <w:tc>
          <w:tcPr>
            <w:tcW w:w="1740" w:type="dxa"/>
            <w:vAlign w:val="bottom"/>
            <w:tcBorders>
              <w:bottom w:val="single" w:sz="8" w:color="FB4E0B"/>
              <w:right w:val="single" w:sz="8" w:color="auto"/>
            </w:tcBorders>
          </w:tcPr>
          <w:p>
            <w:pPr>
              <w:spacing w:after="0"/>
              <w:rPr>
                <w:sz w:val="9"/>
                <w:szCs w:val="9"/>
                <w:color w:val="auto"/>
              </w:rPr>
            </w:pPr>
          </w:p>
        </w:tc>
        <w:tc>
          <w:tcPr>
            <w:tcW w:w="980" w:type="dxa"/>
            <w:vAlign w:val="bottom"/>
            <w:tcBorders>
              <w:bottom w:val="single" w:sz="8" w:color="FB4E0B"/>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500" w:hanging="184"/>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Equivalent to $329,611, converted at 74.33 INR to 1 USD, which was the exchange rate on December 31, 2021.</w:t>
      </w:r>
    </w:p>
    <w:p>
      <w:pPr>
        <w:spacing w:after="0" w:line="3" w:lineRule="exact"/>
        <w:rPr>
          <w:rFonts w:ascii="Arial" w:cs="Arial" w:eastAsia="Arial" w:hAnsi="Arial"/>
          <w:sz w:val="13"/>
          <w:szCs w:val="13"/>
          <w:color w:val="auto"/>
        </w:rPr>
      </w:pPr>
    </w:p>
    <w:p>
      <w:pPr>
        <w:ind w:left="500" w:hanging="184"/>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Equivalent to $337,282, converted at 82.72 INR to 1 USD, which was the exchange rate on December 30, 2022.</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Annual incentives</w:t>
      </w:r>
    </w:p>
    <w:p>
      <w:pPr>
        <w:spacing w:after="0" w:line="117" w:lineRule="exact"/>
        <w:rPr>
          <w:sz w:val="20"/>
          <w:szCs w:val="20"/>
          <w:color w:val="auto"/>
        </w:rPr>
      </w:pPr>
    </w:p>
    <w:p>
      <w:pPr>
        <w:ind w:left="320" w:right="40"/>
        <w:spacing w:after="0" w:line="275" w:lineRule="auto"/>
        <w:rPr>
          <w:sz w:val="20"/>
          <w:szCs w:val="20"/>
          <w:color w:val="auto"/>
        </w:rPr>
      </w:pPr>
      <w:r>
        <w:rPr>
          <w:rFonts w:ascii="Arial" w:cs="Arial" w:eastAsia="Arial" w:hAnsi="Arial"/>
          <w:sz w:val="16"/>
          <w:szCs w:val="16"/>
          <w:color w:val="auto"/>
        </w:rPr>
        <w:t>We have established an annual incentive program in order to align our executive officers’ goals with our performance targets for the current year and to encourage meaningful contributions to our future financial performance. Our Compensation and Talent Management Committee approved the framework of our annual incentive program in late 2021 for awards payable in respect of 2022 performance. Under the program, annual incentive award target amounts, expressed as a percentage of base salary or annual fixed compensation, are established for participants at the beginning of each year unless their employment agreements contain different terms. Funding of potential annual incentive award payouts for the year are determined by our financial results for the year relative to predetermined performance measures and our assessment of each named executive officer’s performance relative to his predetermined individual performance goals. If our performance falls short of target, our aggregate funding of the annual incentive pool declines. If we do not achieve a minimum threshold for the established financial performance objectives, then the annual incentive pool is not funded for that particular objective. Although the Compensation and Talent Management Committee has not historically done so, except in 2020 in light of the unanticipated impact of the COVID-19 pandemic, it has the discretion under the 2018 Plan to adjust an award payout from the amount yielded by the formula at the end of the performance period for reasons such as the effect of changes in laws or regulatory rules, acquisitions or divestitures, extraordinary accounting items, foreign exchange gains or losses, and/or any specific unusual or non-recurring events. The Compensation and Talent Management Committee did not use any discretion for the 2022 annual incentive awards.</w:t>
      </w:r>
    </w:p>
    <w:p>
      <w:pPr>
        <w:spacing w:after="0" w:line="89"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Compensation and Talent Management Committee considered the following when establishing the awards for 2022:</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Annual incentive award targets</w:t>
      </w:r>
    </w:p>
    <w:p>
      <w:pPr>
        <w:spacing w:after="0" w:line="123" w:lineRule="exact"/>
        <w:rPr>
          <w:sz w:val="20"/>
          <w:szCs w:val="20"/>
          <w:color w:val="auto"/>
        </w:rPr>
      </w:pPr>
    </w:p>
    <w:p>
      <w:pPr>
        <w:ind w:left="320" w:right="160"/>
        <w:spacing w:after="0" w:line="306" w:lineRule="auto"/>
        <w:rPr>
          <w:sz w:val="20"/>
          <w:szCs w:val="20"/>
          <w:color w:val="auto"/>
        </w:rPr>
      </w:pPr>
      <w:r>
        <w:rPr>
          <w:rFonts w:ascii="Arial" w:cs="Arial" w:eastAsia="Arial" w:hAnsi="Arial"/>
          <w:sz w:val="15"/>
          <w:szCs w:val="15"/>
          <w:color w:val="auto"/>
        </w:rPr>
        <w:t>Annual incentive award targets were established based on job responsibilities and comparable market data. Our objective was to set 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2022, our Compensation and Talent Management Committee established the following annual incentive award targets (expressed as a percentage of base salary or annual fixed compensation) as well as maximum targets for each named executive officer.</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2900" w:type="dxa"/>
            <w:vAlign w:val="bottom"/>
          </w:tcPr>
          <w:p>
            <w:pPr>
              <w:ind w:left="160"/>
              <w:spacing w:after="0"/>
              <w:rPr>
                <w:sz w:val="20"/>
                <w:szCs w:val="20"/>
                <w:color w:val="auto"/>
              </w:rPr>
            </w:pPr>
            <w:r>
              <w:rPr>
                <w:rFonts w:ascii="Arial" w:cs="Arial" w:eastAsia="Arial" w:hAnsi="Arial"/>
                <w:sz w:val="17"/>
                <w:szCs w:val="17"/>
                <w:b w:val="1"/>
                <w:bCs w:val="1"/>
                <w:color w:val="FB4E0B"/>
              </w:rPr>
              <w:t>Name</w:t>
            </w:r>
          </w:p>
        </w:tc>
        <w:tc>
          <w:tcPr>
            <w:tcW w:w="3820" w:type="dxa"/>
            <w:vAlign w:val="bottom"/>
          </w:tcPr>
          <w:p>
            <w:pPr>
              <w:ind w:left="80"/>
              <w:spacing w:after="0"/>
              <w:rPr>
                <w:sz w:val="20"/>
                <w:szCs w:val="20"/>
                <w:color w:val="auto"/>
              </w:rPr>
            </w:pPr>
            <w:r>
              <w:rPr>
                <w:rFonts w:ascii="Arial" w:cs="Arial" w:eastAsia="Arial" w:hAnsi="Arial"/>
                <w:sz w:val="17"/>
                <w:szCs w:val="17"/>
                <w:b w:val="1"/>
                <w:bCs w:val="1"/>
                <w:color w:val="FB4E0B"/>
              </w:rPr>
              <w:t>Annual incentive award target</w:t>
            </w:r>
          </w:p>
        </w:tc>
        <w:tc>
          <w:tcPr>
            <w:tcW w:w="3900" w:type="dxa"/>
            <w:vAlign w:val="bottom"/>
          </w:tcPr>
          <w:p>
            <w:pPr>
              <w:ind w:left="80"/>
              <w:spacing w:after="0"/>
              <w:rPr>
                <w:sz w:val="20"/>
                <w:szCs w:val="20"/>
                <w:color w:val="auto"/>
              </w:rPr>
            </w:pPr>
            <w:r>
              <w:rPr>
                <w:rFonts w:ascii="Arial" w:cs="Arial" w:eastAsia="Arial" w:hAnsi="Arial"/>
                <w:sz w:val="17"/>
                <w:szCs w:val="17"/>
                <w:b w:val="1"/>
                <w:bCs w:val="1"/>
                <w:color w:val="FB4E0B"/>
              </w:rPr>
              <w:t>Annual incentive award maximum</w:t>
            </w:r>
          </w:p>
        </w:tc>
      </w:tr>
      <w:tr>
        <w:trPr>
          <w:trHeight w:val="58"/>
        </w:trPr>
        <w:tc>
          <w:tcPr>
            <w:tcW w:w="2900" w:type="dxa"/>
            <w:vAlign w:val="bottom"/>
            <w:tcBorders>
              <w:bottom w:val="single" w:sz="8" w:color="FB4E0B"/>
            </w:tcBorders>
          </w:tcPr>
          <w:p>
            <w:pPr>
              <w:spacing w:after="0"/>
              <w:rPr>
                <w:sz w:val="5"/>
                <w:szCs w:val="5"/>
                <w:color w:val="auto"/>
              </w:rPr>
            </w:pPr>
          </w:p>
        </w:tc>
        <w:tc>
          <w:tcPr>
            <w:tcW w:w="3820" w:type="dxa"/>
            <w:vAlign w:val="bottom"/>
            <w:tcBorders>
              <w:bottom w:val="single" w:sz="8" w:color="FB4E0B"/>
            </w:tcBorders>
          </w:tcPr>
          <w:p>
            <w:pPr>
              <w:spacing w:after="0"/>
              <w:rPr>
                <w:sz w:val="5"/>
                <w:szCs w:val="5"/>
                <w:color w:val="auto"/>
              </w:rPr>
            </w:pPr>
          </w:p>
        </w:tc>
        <w:tc>
          <w:tcPr>
            <w:tcW w:w="3900" w:type="dxa"/>
            <w:vAlign w:val="bottom"/>
            <w:tcBorders>
              <w:bottom w:val="single" w:sz="8" w:color="FB4E0B"/>
            </w:tcBorders>
          </w:tcPr>
          <w:p>
            <w:pPr>
              <w:spacing w:after="0"/>
              <w:rPr>
                <w:sz w:val="5"/>
                <w:szCs w:val="5"/>
                <w:color w:val="auto"/>
              </w:rPr>
            </w:pPr>
          </w:p>
        </w:tc>
      </w:tr>
      <w:tr>
        <w:trPr>
          <w:trHeight w:val="299"/>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Rohit Kapoor</w:t>
            </w:r>
          </w:p>
        </w:tc>
        <w:tc>
          <w:tcPr>
            <w:tcW w:w="38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150% of base salary</w:t>
            </w:r>
          </w:p>
        </w:tc>
        <w:tc>
          <w:tcPr>
            <w:tcW w:w="3900" w:type="dxa"/>
            <w:vAlign w:val="bottom"/>
          </w:tcPr>
          <w:p>
            <w:pPr>
              <w:ind w:left="80"/>
              <w:spacing w:after="0"/>
              <w:rPr>
                <w:sz w:val="20"/>
                <w:szCs w:val="20"/>
                <w:color w:val="auto"/>
              </w:rPr>
            </w:pPr>
            <w:r>
              <w:rPr>
                <w:rFonts w:ascii="Arial" w:cs="Arial" w:eastAsia="Arial" w:hAnsi="Arial"/>
                <w:sz w:val="17"/>
                <w:szCs w:val="17"/>
                <w:color w:val="auto"/>
              </w:rPr>
              <w:t>300% of base salary</w:t>
            </w:r>
          </w:p>
        </w:tc>
      </w:tr>
      <w:tr>
        <w:trPr>
          <w:trHeight w:val="104"/>
        </w:trPr>
        <w:tc>
          <w:tcPr>
            <w:tcW w:w="290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92"/>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Maurizio Nicolelli</w:t>
            </w:r>
          </w:p>
        </w:tc>
        <w:tc>
          <w:tcPr>
            <w:tcW w:w="38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75% of base salary</w:t>
            </w:r>
          </w:p>
        </w:tc>
        <w:tc>
          <w:tcPr>
            <w:tcW w:w="3900" w:type="dxa"/>
            <w:vAlign w:val="bottom"/>
          </w:tcPr>
          <w:p>
            <w:pPr>
              <w:ind w:left="80"/>
              <w:spacing w:after="0"/>
              <w:rPr>
                <w:sz w:val="20"/>
                <w:szCs w:val="20"/>
                <w:color w:val="auto"/>
              </w:rPr>
            </w:pPr>
            <w:r>
              <w:rPr>
                <w:rFonts w:ascii="Arial" w:cs="Arial" w:eastAsia="Arial" w:hAnsi="Arial"/>
                <w:sz w:val="17"/>
                <w:szCs w:val="17"/>
                <w:color w:val="auto"/>
              </w:rPr>
              <w:t>150% of base salary</w:t>
            </w:r>
          </w:p>
        </w:tc>
      </w:tr>
      <w:tr>
        <w:trPr>
          <w:trHeight w:val="104"/>
        </w:trPr>
        <w:tc>
          <w:tcPr>
            <w:tcW w:w="290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92"/>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Vikas Bhalla</w:t>
            </w:r>
          </w:p>
        </w:tc>
        <w:tc>
          <w:tcPr>
            <w:tcW w:w="38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75% of annual fixed compensation</w:t>
            </w:r>
          </w:p>
        </w:tc>
        <w:tc>
          <w:tcPr>
            <w:tcW w:w="3900" w:type="dxa"/>
            <w:vAlign w:val="bottom"/>
          </w:tcPr>
          <w:p>
            <w:pPr>
              <w:ind w:left="80"/>
              <w:spacing w:after="0"/>
              <w:rPr>
                <w:sz w:val="20"/>
                <w:szCs w:val="20"/>
                <w:color w:val="auto"/>
              </w:rPr>
            </w:pPr>
            <w:r>
              <w:rPr>
                <w:rFonts w:ascii="Arial" w:cs="Arial" w:eastAsia="Arial" w:hAnsi="Arial"/>
                <w:sz w:val="17"/>
                <w:szCs w:val="17"/>
                <w:color w:val="auto"/>
              </w:rPr>
              <w:t>150% of annual fixed compensation</w:t>
            </w:r>
          </w:p>
        </w:tc>
      </w:tr>
      <w:tr>
        <w:trPr>
          <w:trHeight w:val="104"/>
        </w:trPr>
        <w:tc>
          <w:tcPr>
            <w:tcW w:w="290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92"/>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Vivek Jetley</w:t>
            </w:r>
          </w:p>
        </w:tc>
        <w:tc>
          <w:tcPr>
            <w:tcW w:w="38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75% of base salary</w:t>
            </w:r>
          </w:p>
        </w:tc>
        <w:tc>
          <w:tcPr>
            <w:tcW w:w="3900" w:type="dxa"/>
            <w:vAlign w:val="bottom"/>
          </w:tcPr>
          <w:p>
            <w:pPr>
              <w:ind w:left="80"/>
              <w:spacing w:after="0"/>
              <w:rPr>
                <w:sz w:val="20"/>
                <w:szCs w:val="20"/>
                <w:color w:val="auto"/>
              </w:rPr>
            </w:pPr>
            <w:r>
              <w:rPr>
                <w:rFonts w:ascii="Arial" w:cs="Arial" w:eastAsia="Arial" w:hAnsi="Arial"/>
                <w:sz w:val="17"/>
                <w:szCs w:val="17"/>
                <w:color w:val="auto"/>
              </w:rPr>
              <w:t>150% of base salary</w:t>
            </w:r>
          </w:p>
        </w:tc>
      </w:tr>
      <w:tr>
        <w:trPr>
          <w:trHeight w:val="104"/>
        </w:trPr>
        <w:tc>
          <w:tcPr>
            <w:tcW w:w="290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92"/>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7"/>
                <w:szCs w:val="17"/>
                <w:b w:val="1"/>
                <w:bCs w:val="1"/>
                <w:color w:val="auto"/>
              </w:rPr>
              <w:t>Ankor Rai</w:t>
            </w:r>
          </w:p>
        </w:tc>
        <w:tc>
          <w:tcPr>
            <w:tcW w:w="38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75% of base salary</w:t>
            </w:r>
          </w:p>
        </w:tc>
        <w:tc>
          <w:tcPr>
            <w:tcW w:w="3900" w:type="dxa"/>
            <w:vAlign w:val="bottom"/>
          </w:tcPr>
          <w:p>
            <w:pPr>
              <w:ind w:left="80"/>
              <w:spacing w:after="0"/>
              <w:rPr>
                <w:sz w:val="20"/>
                <w:szCs w:val="20"/>
                <w:color w:val="auto"/>
              </w:rPr>
            </w:pPr>
            <w:r>
              <w:rPr>
                <w:rFonts w:ascii="Arial" w:cs="Arial" w:eastAsia="Arial" w:hAnsi="Arial"/>
                <w:sz w:val="17"/>
                <w:szCs w:val="17"/>
                <w:color w:val="auto"/>
              </w:rPr>
              <w:t>150% of base salary</w:t>
            </w:r>
          </w:p>
        </w:tc>
      </w:tr>
      <w:tr>
        <w:trPr>
          <w:trHeight w:val="110"/>
        </w:trPr>
        <w:tc>
          <w:tcPr>
            <w:tcW w:w="2900" w:type="dxa"/>
            <w:vAlign w:val="bottom"/>
            <w:tcBorders>
              <w:bottom w:val="single" w:sz="8" w:color="FB4E0B"/>
              <w:right w:val="single" w:sz="8" w:color="auto"/>
            </w:tcBorders>
          </w:tcPr>
          <w:p>
            <w:pPr>
              <w:spacing w:after="0"/>
              <w:rPr>
                <w:sz w:val="9"/>
                <w:szCs w:val="9"/>
                <w:color w:val="auto"/>
              </w:rPr>
            </w:pPr>
          </w:p>
        </w:tc>
        <w:tc>
          <w:tcPr>
            <w:tcW w:w="3820" w:type="dxa"/>
            <w:vAlign w:val="bottom"/>
            <w:tcBorders>
              <w:bottom w:val="single" w:sz="8" w:color="FB4E0B"/>
              <w:right w:val="single" w:sz="8" w:color="auto"/>
            </w:tcBorders>
          </w:tcPr>
          <w:p>
            <w:pPr>
              <w:spacing w:after="0"/>
              <w:rPr>
                <w:sz w:val="9"/>
                <w:szCs w:val="9"/>
                <w:color w:val="auto"/>
              </w:rPr>
            </w:pPr>
          </w:p>
        </w:tc>
        <w:tc>
          <w:tcPr>
            <w:tcW w:w="3900" w:type="dxa"/>
            <w:vAlign w:val="bottom"/>
            <w:tcBorders>
              <w:bottom w:val="single" w:sz="8" w:color="FB4E0B"/>
            </w:tcBorders>
          </w:tcPr>
          <w:p>
            <w:pPr>
              <w:spacing w:after="0"/>
              <w:rPr>
                <w:sz w:val="9"/>
                <w:szCs w:val="9"/>
                <w:color w:val="auto"/>
              </w:rPr>
            </w:pPr>
          </w:p>
        </w:tc>
      </w:tr>
    </w:tbl>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Performance measures</w:t>
      </w:r>
    </w:p>
    <w:p>
      <w:pPr>
        <w:spacing w:after="0" w:line="123" w:lineRule="exact"/>
        <w:rPr>
          <w:sz w:val="20"/>
          <w:szCs w:val="20"/>
          <w:color w:val="auto"/>
        </w:rPr>
      </w:pPr>
    </w:p>
    <w:p>
      <w:pPr>
        <w:ind w:left="320" w:right="160"/>
        <w:spacing w:after="0" w:line="265" w:lineRule="auto"/>
        <w:rPr>
          <w:sz w:val="20"/>
          <w:szCs w:val="20"/>
          <w:color w:val="auto"/>
        </w:rPr>
      </w:pPr>
      <w:r>
        <w:rPr>
          <w:rFonts w:ascii="Arial" w:cs="Arial" w:eastAsia="Arial" w:hAnsi="Arial"/>
          <w:sz w:val="17"/>
          <w:szCs w:val="17"/>
          <w:color w:val="auto"/>
        </w:rPr>
        <w:t>Our executives were eligible to earn annual incentives with 75% of the award based on their achievement of Company-wide performance metrics and the remaining 25% of the award based on individual performance. The Company-wide portion of 2022 annual incentives was based 50% in part on the Company’s revenue goal, and 50% in part on the Company’s adjusted operating profit margin (AOPM) for all employees, including our named executive officers, whose annual incentives are linked to Company-wide financial performance.</w:t>
      </w:r>
    </w:p>
    <w:p>
      <w:pPr>
        <w:spacing w:after="0" w:line="177" w:lineRule="exact"/>
        <w:rPr>
          <w:sz w:val="20"/>
          <w:szCs w:val="20"/>
          <w:color w:val="auto"/>
        </w:rPr>
      </w:pPr>
    </w:p>
    <w:p>
      <w:pPr>
        <w:ind w:left="320" w:right="300"/>
        <w:spacing w:after="0" w:line="311" w:lineRule="auto"/>
        <w:rPr>
          <w:sz w:val="20"/>
          <w:szCs w:val="20"/>
          <w:color w:val="auto"/>
        </w:rPr>
      </w:pPr>
      <w:r>
        <w:rPr>
          <w:rFonts w:ascii="Arial" w:cs="Arial" w:eastAsia="Arial" w:hAnsi="Arial"/>
          <w:sz w:val="15"/>
          <w:szCs w:val="15"/>
          <w:color w:val="auto"/>
        </w:rPr>
        <w:t>In 2022, the Compensation and Talent Management Committee continued to set the Company-wide performance goals, as well as the individual performance goals described above, for all named executive officers to ensure the executives were properly focused on the Company’s revenue and AOPM goals, as well as other areas of performance that are unique to their positions within the organization. The Compensation and Talent Management Committee believes achievement of these performance metrics will drive our business and, in turn, lead to increased stockholder value.</w:t>
      </w:r>
    </w:p>
    <w:p>
      <w:pPr>
        <w:spacing w:after="0" w:line="205"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77</w:t>
      </w:r>
    </w:p>
    <w:p>
      <w:pPr>
        <w:sectPr>
          <w:pgSz w:w="11900" w:h="16838" w:orient="portrait"/>
          <w:cols w:equalWidth="0" w:num="1">
            <w:col w:w="10940"/>
          </w:cols>
          <w:pgMar w:left="320" w:top="473" w:right="6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Determination of financial performance achievement</w:t>
      </w:r>
    </w:p>
    <w:p>
      <w:pPr>
        <w:spacing w:after="0" w:line="123" w:lineRule="exact"/>
        <w:rPr>
          <w:sz w:val="20"/>
          <w:szCs w:val="20"/>
          <w:color w:val="auto"/>
        </w:rPr>
      </w:pPr>
    </w:p>
    <w:p>
      <w:pPr>
        <w:ind w:left="320" w:right="80"/>
        <w:spacing w:after="0" w:line="263" w:lineRule="auto"/>
        <w:rPr>
          <w:sz w:val="20"/>
          <w:szCs w:val="20"/>
          <w:color w:val="auto"/>
        </w:rPr>
      </w:pPr>
      <w:r>
        <w:rPr>
          <w:rFonts w:ascii="Arial" w:cs="Arial" w:eastAsia="Arial" w:hAnsi="Arial"/>
          <w:sz w:val="17"/>
          <w:szCs w:val="17"/>
          <w:color w:val="auto"/>
        </w:rPr>
        <w:t>For 2022, our Compensation and Talent Management Committee established a revenue target of $1.33 billion (which was 18.8% higher than our actual revenue for the prior year and 23.4% higher than our prior year’s target performance) and an AOPM target of $247.37 million (which was 18.7% higher than our actual for the prior year and 38.3% higher than our prior year’s target). As shown below, the portion of annual incentive award payments that were subject to these financial performance measures could have ranged from zero to 200% of the target depending on the achievement of the performance goals.</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B4E0B"/>
        </w:rPr>
        <w:t>Performance targets: revenue ($1.33 billion); and AOPM ($247.37 million)</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40"/>
        </w:trPr>
        <w:tc>
          <w:tcPr>
            <w:tcW w:w="5320" w:type="dxa"/>
            <w:vAlign w:val="bottom"/>
            <w:tcBorders>
              <w:top w:val="single" w:sz="8" w:color="FB4E0B"/>
            </w:tcBorders>
            <w:vMerge w:val="restart"/>
          </w:tcPr>
          <w:p>
            <w:pPr>
              <w:ind w:left="80"/>
              <w:spacing w:after="0"/>
              <w:rPr>
                <w:sz w:val="20"/>
                <w:szCs w:val="20"/>
                <w:color w:val="auto"/>
              </w:rPr>
            </w:pPr>
            <w:r>
              <w:rPr>
                <w:rFonts w:ascii="Arial" w:cs="Arial" w:eastAsia="Arial" w:hAnsi="Arial"/>
                <w:sz w:val="17"/>
                <w:szCs w:val="17"/>
                <w:b w:val="1"/>
                <w:bCs w:val="1"/>
                <w:color w:val="auto"/>
              </w:rPr>
              <w:t>% of performance achieved compared to target goal</w:t>
            </w:r>
          </w:p>
        </w:tc>
        <w:tc>
          <w:tcPr>
            <w:tcW w:w="20" w:type="dxa"/>
            <w:vAlign w:val="bottom"/>
            <w:tcBorders>
              <w:top w:val="single" w:sz="8" w:color="FB4E0B"/>
            </w:tcBorders>
          </w:tcPr>
          <w:p>
            <w:pPr>
              <w:spacing w:after="0"/>
              <w:rPr>
                <w:sz w:val="3"/>
                <w:szCs w:val="3"/>
                <w:color w:val="auto"/>
              </w:rPr>
            </w:pPr>
          </w:p>
        </w:tc>
        <w:tc>
          <w:tcPr>
            <w:tcW w:w="5280" w:type="dxa"/>
            <w:vAlign w:val="bottom"/>
            <w:tcBorders>
              <w:top w:val="single" w:sz="8" w:color="FB4E0B"/>
            </w:tcBorders>
            <w:vMerge w:val="restart"/>
          </w:tcPr>
          <w:p>
            <w:pPr>
              <w:ind w:left="80"/>
              <w:spacing w:after="0"/>
              <w:rPr>
                <w:sz w:val="20"/>
                <w:szCs w:val="20"/>
                <w:color w:val="auto"/>
              </w:rPr>
            </w:pPr>
            <w:r>
              <w:rPr>
                <w:rFonts w:ascii="Arial" w:cs="Arial" w:eastAsia="Arial" w:hAnsi="Arial"/>
                <w:sz w:val="17"/>
                <w:szCs w:val="17"/>
                <w:b w:val="1"/>
                <w:bCs w:val="1"/>
                <w:color w:val="auto"/>
              </w:rPr>
              <w:t>% of target portion funded</w:t>
            </w:r>
          </w:p>
        </w:tc>
        <w:tc>
          <w:tcPr>
            <w:tcW w:w="0" w:type="dxa"/>
            <w:vAlign w:val="bottom"/>
          </w:tcPr>
          <w:p>
            <w:pPr>
              <w:spacing w:after="0" w:line="20" w:lineRule="exact"/>
              <w:rPr>
                <w:sz w:val="1"/>
                <w:szCs w:val="1"/>
                <w:color w:val="auto"/>
              </w:rPr>
            </w:pPr>
          </w:p>
        </w:tc>
      </w:tr>
      <w:tr>
        <w:trPr>
          <w:trHeight w:val="304"/>
        </w:trPr>
        <w:tc>
          <w:tcPr>
            <w:tcW w:w="53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320" w:type="dxa"/>
            <w:vAlign w:val="bottom"/>
          </w:tcPr>
          <w:p>
            <w:pPr>
              <w:ind w:left="80"/>
              <w:spacing w:after="0"/>
              <w:rPr>
                <w:sz w:val="20"/>
                <w:szCs w:val="20"/>
                <w:color w:val="auto"/>
              </w:rPr>
            </w:pPr>
            <w:r>
              <w:rPr>
                <w:rFonts w:ascii="Arial" w:cs="Arial" w:eastAsia="Arial" w:hAnsi="Arial"/>
                <w:sz w:val="17"/>
                <w:szCs w:val="17"/>
                <w:color w:val="auto"/>
              </w:rPr>
              <w:t>Above 110%</w:t>
            </w:r>
          </w:p>
        </w:tc>
        <w:tc>
          <w:tcPr>
            <w:tcW w:w="20" w:type="dxa"/>
            <w:vAlign w:val="bottom"/>
            <w:shd w:val="clear" w:color="auto" w:fill="000000"/>
          </w:tcPr>
          <w:p>
            <w:pPr>
              <w:spacing w:after="0"/>
              <w:rPr>
                <w:sz w:val="22"/>
                <w:szCs w:val="22"/>
                <w:color w:val="auto"/>
              </w:rPr>
            </w:pPr>
          </w:p>
        </w:tc>
        <w:tc>
          <w:tcPr>
            <w:tcW w:w="5280" w:type="dxa"/>
            <w:vAlign w:val="bottom"/>
          </w:tcPr>
          <w:p>
            <w:pPr>
              <w:ind w:left="8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65"/>
        </w:trPr>
        <w:tc>
          <w:tcPr>
            <w:tcW w:w="5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5320" w:type="dxa"/>
            <w:vAlign w:val="bottom"/>
          </w:tcPr>
          <w:p>
            <w:pPr>
              <w:ind w:left="80"/>
              <w:spacing w:after="0"/>
              <w:rPr>
                <w:sz w:val="20"/>
                <w:szCs w:val="20"/>
                <w:color w:val="auto"/>
              </w:rPr>
            </w:pPr>
            <w:r>
              <w:rPr>
                <w:rFonts w:ascii="Arial" w:cs="Arial" w:eastAsia="Arial" w:hAnsi="Arial"/>
                <w:sz w:val="17"/>
                <w:szCs w:val="17"/>
                <w:color w:val="auto"/>
              </w:rPr>
              <w:t>At 100%</w:t>
            </w:r>
          </w:p>
        </w:tc>
        <w:tc>
          <w:tcPr>
            <w:tcW w:w="20" w:type="dxa"/>
            <w:vAlign w:val="bottom"/>
            <w:shd w:val="clear" w:color="auto" w:fill="000000"/>
          </w:tcPr>
          <w:p>
            <w:pPr>
              <w:spacing w:after="0"/>
              <w:rPr>
                <w:sz w:val="22"/>
                <w:szCs w:val="22"/>
                <w:color w:val="auto"/>
              </w:rPr>
            </w:pPr>
          </w:p>
        </w:tc>
        <w:tc>
          <w:tcPr>
            <w:tcW w:w="5280" w:type="dxa"/>
            <w:vAlign w:val="bottom"/>
          </w:tcPr>
          <w:p>
            <w:pPr>
              <w:ind w:lef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65"/>
        </w:trPr>
        <w:tc>
          <w:tcPr>
            <w:tcW w:w="5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5320" w:type="dxa"/>
            <w:vAlign w:val="bottom"/>
          </w:tcPr>
          <w:p>
            <w:pPr>
              <w:ind w:left="80"/>
              <w:spacing w:after="0"/>
              <w:rPr>
                <w:sz w:val="20"/>
                <w:szCs w:val="20"/>
                <w:color w:val="auto"/>
              </w:rPr>
            </w:pPr>
            <w:r>
              <w:rPr>
                <w:rFonts w:ascii="Arial" w:cs="Arial" w:eastAsia="Arial" w:hAnsi="Arial"/>
                <w:sz w:val="17"/>
                <w:szCs w:val="17"/>
                <w:color w:val="auto"/>
              </w:rPr>
              <w:t>At 90%</w:t>
            </w:r>
          </w:p>
        </w:tc>
        <w:tc>
          <w:tcPr>
            <w:tcW w:w="20" w:type="dxa"/>
            <w:vAlign w:val="bottom"/>
            <w:shd w:val="clear" w:color="auto" w:fill="000000"/>
          </w:tcPr>
          <w:p>
            <w:pPr>
              <w:spacing w:after="0"/>
              <w:rPr>
                <w:sz w:val="22"/>
                <w:szCs w:val="22"/>
                <w:color w:val="auto"/>
              </w:rPr>
            </w:pPr>
          </w:p>
        </w:tc>
        <w:tc>
          <w:tcPr>
            <w:tcW w:w="5280" w:type="dxa"/>
            <w:vAlign w:val="bottom"/>
          </w:tcPr>
          <w:p>
            <w:pPr>
              <w:ind w:left="8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65"/>
        </w:trPr>
        <w:tc>
          <w:tcPr>
            <w:tcW w:w="5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5320" w:type="dxa"/>
            <w:vAlign w:val="bottom"/>
          </w:tcPr>
          <w:p>
            <w:pPr>
              <w:ind w:left="80"/>
              <w:spacing w:after="0"/>
              <w:rPr>
                <w:sz w:val="20"/>
                <w:szCs w:val="20"/>
                <w:color w:val="auto"/>
              </w:rPr>
            </w:pPr>
            <w:r>
              <w:rPr>
                <w:rFonts w:ascii="Arial" w:cs="Arial" w:eastAsia="Arial" w:hAnsi="Arial"/>
                <w:sz w:val="17"/>
                <w:szCs w:val="17"/>
                <w:color w:val="auto"/>
              </w:rPr>
              <w:t>Less than 90%</w:t>
            </w:r>
          </w:p>
        </w:tc>
        <w:tc>
          <w:tcPr>
            <w:tcW w:w="20" w:type="dxa"/>
            <w:vAlign w:val="bottom"/>
            <w:shd w:val="clear" w:color="auto" w:fill="000000"/>
          </w:tcPr>
          <w:p>
            <w:pPr>
              <w:spacing w:after="0"/>
              <w:rPr>
                <w:sz w:val="22"/>
                <w:szCs w:val="22"/>
                <w:color w:val="auto"/>
              </w:rPr>
            </w:pPr>
          </w:p>
        </w:tc>
        <w:tc>
          <w:tcPr>
            <w:tcW w:w="5280" w:type="dxa"/>
            <w:vAlign w:val="bottom"/>
          </w:tcPr>
          <w:p>
            <w:pPr>
              <w:ind w:lef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84"/>
        </w:trPr>
        <w:tc>
          <w:tcPr>
            <w:tcW w:w="5320" w:type="dxa"/>
            <w:vAlign w:val="bottom"/>
            <w:tcBorders>
              <w:bottom w:val="single" w:sz="8" w:color="FB4E0B"/>
            </w:tcBorders>
          </w:tcPr>
          <w:p>
            <w:pPr>
              <w:spacing w:after="0"/>
              <w:rPr>
                <w:sz w:val="7"/>
                <w:szCs w:val="7"/>
                <w:color w:val="auto"/>
              </w:rPr>
            </w:pPr>
          </w:p>
        </w:tc>
        <w:tc>
          <w:tcPr>
            <w:tcW w:w="20" w:type="dxa"/>
            <w:vAlign w:val="bottom"/>
            <w:tcBorders>
              <w:bottom w:val="single" w:sz="8" w:color="FB4E0B"/>
            </w:tcBorders>
            <w:shd w:val="clear" w:color="auto" w:fill="000000"/>
          </w:tcPr>
          <w:p>
            <w:pPr>
              <w:spacing w:after="0"/>
              <w:rPr>
                <w:sz w:val="7"/>
                <w:szCs w:val="7"/>
                <w:color w:val="auto"/>
              </w:rPr>
            </w:pPr>
          </w:p>
        </w:tc>
        <w:tc>
          <w:tcPr>
            <w:tcW w:w="5280" w:type="dxa"/>
            <w:vAlign w:val="bottom"/>
            <w:tcBorders>
              <w:bottom w:val="single" w:sz="8" w:color="FB4E0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Linear interpolation for performance between discrete points</w:t>
      </w:r>
    </w:p>
    <w:p>
      <w:pPr>
        <w:spacing w:after="0" w:line="94" w:lineRule="exact"/>
        <w:rPr>
          <w:sz w:val="20"/>
          <w:szCs w:val="20"/>
          <w:color w:val="auto"/>
        </w:rPr>
      </w:pPr>
    </w:p>
    <w:p>
      <w:pPr>
        <w:ind w:left="320" w:right="260"/>
        <w:spacing w:after="0" w:line="286" w:lineRule="auto"/>
        <w:rPr>
          <w:sz w:val="20"/>
          <w:szCs w:val="20"/>
          <w:color w:val="auto"/>
        </w:rPr>
      </w:pPr>
      <w:r>
        <w:rPr>
          <w:rFonts w:ascii="Arial" w:cs="Arial" w:eastAsia="Arial" w:hAnsi="Arial"/>
          <w:sz w:val="17"/>
          <w:szCs w:val="17"/>
          <w:color w:val="auto"/>
        </w:rPr>
        <w:t>Based on our performance during the 2022 fiscal year, we achieved 107.66% of our revenue target (resulting in funding of 176.63%) and 101.45% of our AOPM target (resulting in funding of 114.51%), which yielded a weighted funding of 145.57%.</w:t>
      </w:r>
    </w:p>
    <w:p>
      <w:pPr>
        <w:spacing w:after="0" w:line="74"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78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D8D8D8"/>
        </w:rPr>
        <w:t>Executive compensation</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Determination of individual performance measure achievement</w:t>
      </w:r>
    </w:p>
    <w:p>
      <w:pPr>
        <w:spacing w:after="0" w:line="123" w:lineRule="exact"/>
        <w:rPr>
          <w:sz w:val="20"/>
          <w:szCs w:val="20"/>
          <w:color w:val="auto"/>
        </w:rPr>
      </w:pPr>
    </w:p>
    <w:p>
      <w:pPr>
        <w:ind w:left="320" w:right="80"/>
        <w:spacing w:after="0" w:line="261" w:lineRule="auto"/>
        <w:rPr>
          <w:sz w:val="20"/>
          <w:szCs w:val="20"/>
          <w:color w:val="auto"/>
        </w:rPr>
      </w:pPr>
      <w:r>
        <w:rPr>
          <w:rFonts w:ascii="Arial" w:cs="Arial" w:eastAsia="Arial" w:hAnsi="Arial"/>
          <w:sz w:val="17"/>
          <w:szCs w:val="17"/>
          <w:color w:val="auto"/>
        </w:rPr>
        <w:t>Our named executive officers earn a portion of their annual incentive awards based on the achievement of individual performance measures designed to balance the named executive officers’ efforts between the achievement of near-term objectives that improve specific processes or performance metrics and long-term objectives that increase the Company’s value, economic impact, and sustained stockholder returns. For more information on the process for determining individual performance measure achievement, please see “Compensation process: roles and responsibilities” on page 72. Below is a summary of each named executive officer’s individual performance measures, as well as a summary of each named executive officer’s achievements in light of the designated performance measures: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Arial" w:cs="Arial" w:eastAsia="Arial" w:hAnsi="Arial"/>
                <w:sz w:val="17"/>
                <w:szCs w:val="17"/>
                <w:b w:val="1"/>
                <w:bCs w:val="1"/>
                <w:color w:val="FB4E0B"/>
              </w:rPr>
              <w:t>Named Executive</w:t>
            </w:r>
          </w:p>
        </w:tc>
        <w:tc>
          <w:tcPr>
            <w:tcW w:w="5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6"/>
        </w:trPr>
        <w:tc>
          <w:tcPr>
            <w:tcW w:w="2040" w:type="dxa"/>
            <w:vAlign w:val="bottom"/>
            <w:tcBorders>
              <w:bottom w:val="single" w:sz="8" w:color="FB4E0B"/>
            </w:tcBorders>
          </w:tcPr>
          <w:p>
            <w:pPr>
              <w:spacing w:after="0"/>
              <w:rPr>
                <w:sz w:val="20"/>
                <w:szCs w:val="20"/>
                <w:color w:val="auto"/>
              </w:rPr>
            </w:pPr>
            <w:r>
              <w:rPr>
                <w:rFonts w:ascii="Arial" w:cs="Arial" w:eastAsia="Arial" w:hAnsi="Arial"/>
                <w:sz w:val="17"/>
                <w:szCs w:val="17"/>
                <w:b w:val="1"/>
                <w:bCs w:val="1"/>
                <w:color w:val="FB4E0B"/>
              </w:rPr>
              <w:t>Officer</w:t>
            </w:r>
          </w:p>
        </w:tc>
        <w:tc>
          <w:tcPr>
            <w:tcW w:w="3500" w:type="dxa"/>
            <w:vAlign w:val="bottom"/>
            <w:tcBorders>
              <w:bottom w:val="single" w:sz="8" w:color="FB4E0B"/>
            </w:tcBorders>
            <w:gridSpan w:val="2"/>
          </w:tcPr>
          <w:p>
            <w:pPr>
              <w:ind w:left="360"/>
              <w:spacing w:after="0"/>
              <w:rPr>
                <w:sz w:val="20"/>
                <w:szCs w:val="20"/>
                <w:color w:val="auto"/>
              </w:rPr>
            </w:pPr>
            <w:r>
              <w:rPr>
                <w:rFonts w:ascii="Arial" w:cs="Arial" w:eastAsia="Arial" w:hAnsi="Arial"/>
                <w:sz w:val="17"/>
                <w:szCs w:val="17"/>
                <w:b w:val="1"/>
                <w:bCs w:val="1"/>
                <w:color w:val="FB4E0B"/>
              </w:rPr>
              <w:t>2022 Individual performance measure</w:t>
            </w:r>
          </w:p>
        </w:tc>
        <w:tc>
          <w:tcPr>
            <w:tcW w:w="560" w:type="dxa"/>
            <w:vAlign w:val="bottom"/>
            <w:tcBorders>
              <w:bottom w:val="single" w:sz="8" w:color="FB4E0B"/>
            </w:tcBorders>
          </w:tcPr>
          <w:p>
            <w:pPr>
              <w:spacing w:after="0"/>
              <w:rPr>
                <w:sz w:val="21"/>
                <w:szCs w:val="21"/>
                <w:color w:val="auto"/>
              </w:rPr>
            </w:pPr>
          </w:p>
        </w:tc>
        <w:tc>
          <w:tcPr>
            <w:tcW w:w="3680" w:type="dxa"/>
            <w:vAlign w:val="bottom"/>
            <w:tcBorders>
              <w:bottom w:val="single" w:sz="8" w:color="FB4E0B"/>
            </w:tcBorders>
          </w:tcPr>
          <w:p>
            <w:pPr>
              <w:ind w:left="460"/>
              <w:spacing w:after="0"/>
              <w:rPr>
                <w:sz w:val="20"/>
                <w:szCs w:val="20"/>
                <w:color w:val="auto"/>
              </w:rPr>
            </w:pPr>
            <w:r>
              <w:rPr>
                <w:rFonts w:ascii="Arial" w:cs="Arial" w:eastAsia="Arial" w:hAnsi="Arial"/>
                <w:sz w:val="17"/>
                <w:szCs w:val="17"/>
                <w:b w:val="1"/>
                <w:bCs w:val="1"/>
                <w:color w:val="FB4E0B"/>
                <w:w w:val="94"/>
              </w:rPr>
              <w:t>2022 Individual performance achievement</w:t>
            </w:r>
          </w:p>
        </w:tc>
        <w:tc>
          <w:tcPr>
            <w:tcW w:w="460" w:type="dxa"/>
            <w:vAlign w:val="bottom"/>
            <w:tcBorders>
              <w:bottom w:val="single" w:sz="8" w:color="FB4E0B"/>
            </w:tcBorders>
          </w:tcPr>
          <w:p>
            <w:pPr>
              <w:spacing w:after="0"/>
              <w:rPr>
                <w:sz w:val="21"/>
                <w:szCs w:val="21"/>
                <w:color w:val="auto"/>
              </w:rPr>
            </w:pPr>
          </w:p>
        </w:tc>
        <w:tc>
          <w:tcPr>
            <w:tcW w:w="380" w:type="dxa"/>
            <w:vAlign w:val="bottom"/>
            <w:tcBorders>
              <w:bottom w:val="single" w:sz="8" w:color="FB4E0B"/>
            </w:tcBorders>
          </w:tcPr>
          <w:p>
            <w:pPr>
              <w:spacing w:after="0"/>
              <w:rPr>
                <w:sz w:val="21"/>
                <w:szCs w:val="21"/>
                <w:color w:val="auto"/>
              </w:rPr>
            </w:pPr>
          </w:p>
        </w:tc>
      </w:tr>
      <w:tr>
        <w:trPr>
          <w:trHeight w:val="289"/>
        </w:trPr>
        <w:tc>
          <w:tcPr>
            <w:tcW w:w="2040" w:type="dxa"/>
            <w:vAlign w:val="bottom"/>
            <w:tcBorders>
              <w:right w:val="single" w:sz="8" w:color="auto"/>
            </w:tcBorders>
          </w:tcPr>
          <w:p>
            <w:pPr>
              <w:ind w:left="20"/>
              <w:spacing w:after="0"/>
              <w:rPr>
                <w:sz w:val="20"/>
                <w:szCs w:val="20"/>
                <w:color w:val="auto"/>
              </w:rPr>
            </w:pPr>
            <w:r>
              <w:rPr>
                <w:rFonts w:ascii="Arial" w:cs="Arial" w:eastAsia="Arial" w:hAnsi="Arial"/>
                <w:sz w:val="17"/>
                <w:szCs w:val="17"/>
                <w:b w:val="1"/>
                <w:bCs w:val="1"/>
                <w:color w:val="auto"/>
              </w:rPr>
              <w:t>Rohit Kapoor</w:t>
            </w: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 Drive profitability with sustained</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89"/>
              </w:rPr>
              <w:t>   Led growth resulting in 2022 revenues of $1,412 million, 25.8% over</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momentum</w:t>
            </w:r>
          </w:p>
        </w:tc>
        <w:tc>
          <w:tcPr>
            <w:tcW w:w="560" w:type="dxa"/>
            <w:vAlign w:val="bottom"/>
          </w:tcPr>
          <w:p>
            <w:pPr>
              <w:spacing w:after="0"/>
              <w:rPr>
                <w:sz w:val="16"/>
                <w:szCs w:val="16"/>
                <w:color w:val="auto"/>
              </w:rPr>
            </w:pPr>
          </w:p>
        </w:tc>
        <w:tc>
          <w:tcPr>
            <w:tcW w:w="4140" w:type="dxa"/>
            <w:vAlign w:val="bottom"/>
            <w:gridSpan w:val="2"/>
          </w:tcPr>
          <w:p>
            <w:pPr>
              <w:ind w:left="160"/>
              <w:spacing w:after="0"/>
              <w:rPr>
                <w:sz w:val="20"/>
                <w:szCs w:val="20"/>
                <w:color w:val="auto"/>
              </w:rPr>
            </w:pPr>
            <w:r>
              <w:rPr>
                <w:rFonts w:ascii="Arial" w:cs="Arial" w:eastAsia="Arial" w:hAnsi="Arial"/>
                <w:sz w:val="16"/>
                <w:szCs w:val="16"/>
                <w:color w:val="auto"/>
                <w:w w:val="87"/>
              </w:rPr>
              <w:t>2021 revenue, sustained profitability and adjusted EPS of $6.02</w:t>
            </w: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 Execute on EXL’s digital and analytics</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89"/>
              </w:rPr>
              <w:t>   Established company-wide data-led mission as relates to digital and</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strategy</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analytics solutions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 Strengthen talent acquisition and</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88"/>
              </w:rPr>
              <w:t>   Continued focus on talent acquisition and strong progress on building</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development and company culture,</w:t>
            </w:r>
          </w:p>
        </w:tc>
        <w:tc>
          <w:tcPr>
            <w:tcW w:w="5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Arial" w:cs="Arial" w:eastAsia="Arial" w:hAnsi="Arial"/>
                <w:sz w:val="16"/>
                <w:szCs w:val="16"/>
                <w:color w:val="auto"/>
                <w:w w:val="93"/>
              </w:rPr>
              <w:t>diverse and expanded leadership and key digital and data-related</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including focus on diversity, equity and</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capabilities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inclusion strategies</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3680" w:type="dxa"/>
            <w:vAlign w:val="bottom"/>
          </w:tcPr>
          <w:p>
            <w:pPr>
              <w:ind w:left="60"/>
              <w:spacing w:after="0"/>
              <w:rPr>
                <w:sz w:val="20"/>
                <w:szCs w:val="20"/>
                <w:color w:val="auto"/>
              </w:rPr>
            </w:pPr>
            <w:r>
              <w:rPr>
                <w:rFonts w:ascii="Arial" w:cs="Arial" w:eastAsia="Arial" w:hAnsi="Arial"/>
                <w:sz w:val="16"/>
                <w:szCs w:val="16"/>
                <w:color w:val="auto"/>
              </w:rPr>
              <w:t>   Continued to strengthen overall risk culture</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   Ensure agile decisioning and strengthen</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140" w:type="dxa"/>
            <w:vAlign w:val="bottom"/>
            <w:gridSpan w:val="2"/>
          </w:tcPr>
          <w:p>
            <w:pPr>
              <w:ind w:left="60"/>
              <w:spacing w:after="0"/>
              <w:rPr>
                <w:sz w:val="20"/>
                <w:szCs w:val="20"/>
                <w:color w:val="auto"/>
              </w:rPr>
            </w:pPr>
            <w:r>
              <w:rPr>
                <w:rFonts w:ascii="Arial" w:cs="Arial" w:eastAsia="Arial" w:hAnsi="Arial"/>
                <w:sz w:val="16"/>
                <w:szCs w:val="16"/>
                <w:color w:val="auto"/>
                <w:w w:val="90"/>
              </w:rPr>
              <w:t>   Progressed on ESG matters as outlined in EXL’s third Annual</w:t>
            </w: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enterprise risk management</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Sustainability Report</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9"/>
        </w:trPr>
        <w:tc>
          <w:tcPr>
            <w:tcW w:w="2040" w:type="dxa"/>
            <w:vAlign w:val="bottom"/>
            <w:tcBorders>
              <w:right w:val="single" w:sz="8" w:color="auto"/>
            </w:tcBorders>
          </w:tcPr>
          <w:p>
            <w:pPr>
              <w:spacing w:after="0"/>
              <w:rPr>
                <w:sz w:val="17"/>
                <w:szCs w:val="17"/>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 Continue to advance ESG program</w:t>
            </w:r>
          </w:p>
        </w:tc>
        <w:tc>
          <w:tcPr>
            <w:tcW w:w="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3"/>
        </w:trPr>
        <w:tc>
          <w:tcPr>
            <w:tcW w:w="20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r>
      <w:tr>
        <w:trPr>
          <w:trHeight w:val="282"/>
        </w:trPr>
        <w:tc>
          <w:tcPr>
            <w:tcW w:w="2040" w:type="dxa"/>
            <w:vAlign w:val="bottom"/>
            <w:tcBorders>
              <w:right w:val="single" w:sz="8" w:color="auto"/>
            </w:tcBorders>
          </w:tcPr>
          <w:p>
            <w:pPr>
              <w:ind w:left="20"/>
              <w:spacing w:after="0"/>
              <w:rPr>
                <w:sz w:val="20"/>
                <w:szCs w:val="20"/>
                <w:color w:val="auto"/>
              </w:rPr>
            </w:pPr>
            <w:r>
              <w:rPr>
                <w:rFonts w:ascii="Arial" w:cs="Arial" w:eastAsia="Arial" w:hAnsi="Arial"/>
                <w:sz w:val="17"/>
                <w:szCs w:val="17"/>
                <w:b w:val="1"/>
                <w:bCs w:val="1"/>
                <w:color w:val="auto"/>
              </w:rPr>
              <w:t>Maurizio Nicolelli</w:t>
            </w: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88"/>
              </w:rPr>
              <w:t>   Provide effective leadership to finance team</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140" w:type="dxa"/>
            <w:vAlign w:val="bottom"/>
            <w:gridSpan w:val="2"/>
          </w:tcPr>
          <w:p>
            <w:pPr>
              <w:ind w:left="60"/>
              <w:spacing w:after="0"/>
              <w:rPr>
                <w:sz w:val="20"/>
                <w:szCs w:val="20"/>
                <w:color w:val="auto"/>
              </w:rPr>
            </w:pPr>
            <w:r>
              <w:rPr>
                <w:rFonts w:ascii="Arial" w:cs="Arial" w:eastAsia="Arial" w:hAnsi="Arial"/>
                <w:sz w:val="16"/>
                <w:szCs w:val="16"/>
                <w:color w:val="auto"/>
                <w:w w:val="92"/>
              </w:rPr>
              <w:t>   Led the finance team and the technology and LIFE functions</w:t>
            </w:r>
          </w:p>
        </w:tc>
        <w:tc>
          <w:tcPr>
            <w:tcW w:w="380" w:type="dxa"/>
            <w:vAlign w:val="bottom"/>
          </w:tcPr>
          <w:p>
            <w:pPr>
              <w:spacing w:after="0"/>
              <w:rPr>
                <w:sz w:val="24"/>
                <w:szCs w:val="24"/>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 Enhance profitability</w:t>
            </w:r>
          </w:p>
        </w:tc>
        <w:tc>
          <w:tcPr>
            <w:tcW w:w="5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Arial" w:cs="Arial" w:eastAsia="Arial" w:hAnsi="Arial"/>
                <w:sz w:val="16"/>
                <w:szCs w:val="16"/>
                <w:color w:val="auto"/>
                <w:w w:val="96"/>
              </w:rPr>
              <w:t>effectively with strong business partnering and by nurturing One</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 Execute on long-term tax strategy</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EXL mindset</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3680" w:type="dxa"/>
            <w:vAlign w:val="bottom"/>
          </w:tcPr>
          <w:p>
            <w:pPr>
              <w:ind w:left="60"/>
              <w:spacing w:after="0"/>
              <w:rPr>
                <w:sz w:val="20"/>
                <w:szCs w:val="20"/>
                <w:color w:val="auto"/>
              </w:rPr>
            </w:pPr>
            <w:r>
              <w:rPr>
                <w:rFonts w:ascii="Arial" w:cs="Arial" w:eastAsia="Arial" w:hAnsi="Arial"/>
                <w:sz w:val="16"/>
                <w:szCs w:val="16"/>
                <w:color w:val="auto"/>
              </w:rPr>
              <w:t>   Drove strong profitability across business units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140" w:type="dxa"/>
            <w:vAlign w:val="bottom"/>
            <w:gridSpan w:val="2"/>
          </w:tcPr>
          <w:p>
            <w:pPr>
              <w:ind w:left="60"/>
              <w:spacing w:after="0"/>
              <w:rPr>
                <w:sz w:val="20"/>
                <w:szCs w:val="20"/>
                <w:color w:val="auto"/>
              </w:rPr>
            </w:pPr>
            <w:r>
              <w:rPr>
                <w:rFonts w:ascii="Arial" w:cs="Arial" w:eastAsia="Arial" w:hAnsi="Arial"/>
                <w:sz w:val="16"/>
                <w:szCs w:val="16"/>
                <w:color w:val="auto"/>
                <w:w w:val="88"/>
              </w:rPr>
              <w:t>   Drove long-term tax strategy resulting in current benefits and a</w:t>
            </w:r>
          </w:p>
        </w:tc>
        <w:tc>
          <w:tcPr>
            <w:tcW w:w="380" w:type="dxa"/>
            <w:vAlign w:val="bottom"/>
          </w:tcPr>
          <w:p>
            <w:pPr>
              <w:spacing w:after="0"/>
              <w:rPr>
                <w:sz w:val="16"/>
                <w:szCs w:val="16"/>
                <w:color w:val="auto"/>
              </w:rPr>
            </w:pPr>
          </w:p>
        </w:tc>
      </w:tr>
      <w:tr>
        <w:trPr>
          <w:trHeight w:val="199"/>
        </w:trPr>
        <w:tc>
          <w:tcPr>
            <w:tcW w:w="2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pathway to future benefits</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3"/>
        </w:trPr>
        <w:tc>
          <w:tcPr>
            <w:tcW w:w="20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gridSpan w:val="3"/>
          </w:tcPr>
          <w:p>
            <w:pPr>
              <w:spacing w:after="0"/>
              <w:rPr>
                <w:sz w:val="22"/>
                <w:szCs w:val="22"/>
                <w:color w:val="auto"/>
              </w:rPr>
            </w:pPr>
          </w:p>
        </w:tc>
      </w:tr>
      <w:tr>
        <w:trPr>
          <w:trHeight w:val="282"/>
        </w:trPr>
        <w:tc>
          <w:tcPr>
            <w:tcW w:w="2040" w:type="dxa"/>
            <w:vAlign w:val="bottom"/>
            <w:tcBorders>
              <w:right w:val="single" w:sz="8" w:color="auto"/>
            </w:tcBorders>
          </w:tcPr>
          <w:p>
            <w:pPr>
              <w:ind w:left="20"/>
              <w:spacing w:after="0"/>
              <w:rPr>
                <w:sz w:val="20"/>
                <w:szCs w:val="20"/>
                <w:color w:val="auto"/>
              </w:rPr>
            </w:pPr>
            <w:r>
              <w:rPr>
                <w:rFonts w:ascii="Arial" w:cs="Arial" w:eastAsia="Arial" w:hAnsi="Arial"/>
                <w:sz w:val="17"/>
                <w:szCs w:val="17"/>
                <w:b w:val="1"/>
                <w:bCs w:val="1"/>
                <w:color w:val="auto"/>
              </w:rPr>
              <w:t>Vikas Bhalla</w:t>
            </w: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 Drive profitability for Insurance</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94"/>
              </w:rPr>
              <w:t>   Drove Insurance revenue (including portion of Analytics revenue</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0"/>
              </w:rPr>
              <w:t>   Create and implement innovative data and</w:t>
            </w:r>
          </w:p>
        </w:tc>
        <w:tc>
          <w:tcPr>
            <w:tcW w:w="5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Arial" w:cs="Arial" w:eastAsia="Arial" w:hAnsi="Arial"/>
                <w:sz w:val="16"/>
                <w:szCs w:val="16"/>
                <w:color w:val="auto"/>
                <w:w w:val="90"/>
              </w:rPr>
              <w:t>from insurance industry) to $582.8 million with strong gross margins</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9"/>
              </w:rPr>
              <w:t>analytics solutions for Insurance clients</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90"/>
              </w:rPr>
              <w:t>   Developed and enhanced existing digital-led solutions for insurance</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 Grow Insurance profitability</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industry</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9"/>
        </w:trPr>
        <w:tc>
          <w:tcPr>
            <w:tcW w:w="2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3680" w:type="dxa"/>
            <w:vAlign w:val="bottom"/>
          </w:tcPr>
          <w:p>
            <w:pPr>
              <w:ind w:left="60"/>
              <w:spacing w:after="0"/>
              <w:rPr>
                <w:sz w:val="20"/>
                <w:szCs w:val="20"/>
                <w:color w:val="auto"/>
              </w:rPr>
            </w:pPr>
            <w:r>
              <w:rPr>
                <w:rFonts w:ascii="Arial" w:cs="Arial" w:eastAsia="Arial" w:hAnsi="Arial"/>
                <w:sz w:val="16"/>
                <w:szCs w:val="16"/>
                <w:color w:val="auto"/>
              </w:rPr>
              <w:t>   Drove strong Insurance business profitability</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3"/>
        </w:trPr>
        <w:tc>
          <w:tcPr>
            <w:tcW w:w="20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gridSpan w:val="3"/>
          </w:tcPr>
          <w:p>
            <w:pPr>
              <w:spacing w:after="0"/>
              <w:rPr>
                <w:sz w:val="22"/>
                <w:szCs w:val="22"/>
                <w:color w:val="auto"/>
              </w:rPr>
            </w:pPr>
          </w:p>
        </w:tc>
      </w:tr>
      <w:tr>
        <w:trPr>
          <w:trHeight w:val="282"/>
        </w:trPr>
        <w:tc>
          <w:tcPr>
            <w:tcW w:w="2040" w:type="dxa"/>
            <w:vAlign w:val="bottom"/>
            <w:tcBorders>
              <w:right w:val="single" w:sz="8" w:color="auto"/>
            </w:tcBorders>
          </w:tcPr>
          <w:p>
            <w:pPr>
              <w:ind w:left="20"/>
              <w:spacing w:after="0"/>
              <w:rPr>
                <w:sz w:val="20"/>
                <w:szCs w:val="20"/>
                <w:color w:val="auto"/>
              </w:rPr>
            </w:pPr>
            <w:r>
              <w:rPr>
                <w:rFonts w:ascii="Arial" w:cs="Arial" w:eastAsia="Arial" w:hAnsi="Arial"/>
                <w:sz w:val="17"/>
                <w:szCs w:val="17"/>
                <w:b w:val="1"/>
                <w:bCs w:val="1"/>
                <w:color w:val="auto"/>
              </w:rPr>
              <w:t>Vivek Jetley</w:t>
            </w: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   Drive profitability and build high growth</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94"/>
              </w:rPr>
              <w:t>   Facilitated high revenue growth of Analytics business with strong</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business for Analytics</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gross margins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   Build EXL’s data management and cloud</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88"/>
              </w:rPr>
              <w:t>   Created significant foundational capabilities in data management and</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0"/>
              </w:rPr>
              <w:t>enablement capabilities, and build our data</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cloud enablement areas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9"/>
        </w:trPr>
        <w:tc>
          <w:tcPr>
            <w:tcW w:w="2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3"/>
        </w:trPr>
        <w:tc>
          <w:tcPr>
            <w:tcW w:w="20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gridSpan w:val="3"/>
          </w:tcPr>
          <w:p>
            <w:pPr>
              <w:spacing w:after="0"/>
              <w:rPr>
                <w:sz w:val="22"/>
                <w:szCs w:val="22"/>
                <w:color w:val="auto"/>
              </w:rPr>
            </w:pPr>
          </w:p>
        </w:tc>
      </w:tr>
      <w:tr>
        <w:trPr>
          <w:trHeight w:val="282"/>
        </w:trPr>
        <w:tc>
          <w:tcPr>
            <w:tcW w:w="2040" w:type="dxa"/>
            <w:vAlign w:val="bottom"/>
            <w:tcBorders>
              <w:right w:val="single" w:sz="8" w:color="auto"/>
            </w:tcBorders>
          </w:tcPr>
          <w:p>
            <w:pPr>
              <w:ind w:left="20"/>
              <w:spacing w:after="0"/>
              <w:rPr>
                <w:sz w:val="20"/>
                <w:szCs w:val="20"/>
                <w:color w:val="auto"/>
              </w:rPr>
            </w:pPr>
            <w:r>
              <w:rPr>
                <w:rFonts w:ascii="Arial" w:cs="Arial" w:eastAsia="Arial" w:hAnsi="Arial"/>
                <w:sz w:val="17"/>
                <w:szCs w:val="17"/>
                <w:b w:val="1"/>
                <w:bCs w:val="1"/>
                <w:color w:val="auto"/>
              </w:rPr>
              <w:t>Ankor Rai</w:t>
            </w: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 Drive digital implementation</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91"/>
              </w:rPr>
              <w:t>   Executed successful digital implementations across business units</w:t>
            </w: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73"/>
              </w:rPr>
              <w:t>• </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 Execute on EXL’s digital strategy</w:t>
            </w:r>
          </w:p>
        </w:tc>
        <w:tc>
          <w:tcPr>
            <w:tcW w:w="56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and clients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520" w:type="dxa"/>
            <w:vAlign w:val="bottom"/>
            <w:gridSpan w:val="3"/>
          </w:tcPr>
          <w:p>
            <w:pPr>
              <w:ind w:left="60"/>
              <w:spacing w:after="0"/>
              <w:rPr>
                <w:sz w:val="20"/>
                <w:szCs w:val="20"/>
                <w:color w:val="auto"/>
              </w:rPr>
            </w:pPr>
            <w:r>
              <w:rPr>
                <w:rFonts w:ascii="Arial" w:cs="Arial" w:eastAsia="Arial" w:hAnsi="Arial"/>
                <w:sz w:val="16"/>
                <w:szCs w:val="16"/>
                <w:color w:val="auto"/>
                <w:w w:val="89"/>
              </w:rPr>
              <w:t>   Developed and amplified EXL’s data led approach to digital strategy</w:t>
            </w:r>
          </w:p>
        </w:tc>
      </w:tr>
      <w:tr>
        <w:trPr>
          <w:trHeight w:val="199"/>
        </w:trPr>
        <w:tc>
          <w:tcPr>
            <w:tcW w:w="20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both internally and externally</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11"/>
        </w:trPr>
        <w:tc>
          <w:tcPr>
            <w:tcW w:w="2040" w:type="dxa"/>
            <w:vAlign w:val="bottom"/>
            <w:tcBorders>
              <w:bottom w:val="single" w:sz="8" w:color="FB4E0B"/>
              <w:right w:val="single" w:sz="8" w:color="auto"/>
            </w:tcBorders>
          </w:tcPr>
          <w:p>
            <w:pPr>
              <w:spacing w:after="0"/>
              <w:rPr>
                <w:sz w:val="24"/>
                <w:szCs w:val="24"/>
                <w:color w:val="auto"/>
              </w:rPr>
            </w:pPr>
          </w:p>
        </w:tc>
        <w:tc>
          <w:tcPr>
            <w:tcW w:w="540" w:type="dxa"/>
            <w:vAlign w:val="bottom"/>
            <w:tcBorders>
              <w:bottom w:val="single" w:sz="8" w:color="FB4E0B"/>
            </w:tcBorders>
          </w:tcPr>
          <w:p>
            <w:pPr>
              <w:spacing w:after="0"/>
              <w:rPr>
                <w:sz w:val="24"/>
                <w:szCs w:val="24"/>
                <w:color w:val="auto"/>
              </w:rPr>
            </w:pPr>
          </w:p>
        </w:tc>
        <w:tc>
          <w:tcPr>
            <w:tcW w:w="2960" w:type="dxa"/>
            <w:vAlign w:val="bottom"/>
            <w:tcBorders>
              <w:bottom w:val="single" w:sz="8" w:color="FB4E0B"/>
              <w:right w:val="single" w:sz="8" w:color="auto"/>
            </w:tcBorders>
          </w:tcPr>
          <w:p>
            <w:pPr>
              <w:spacing w:after="0"/>
              <w:rPr>
                <w:sz w:val="24"/>
                <w:szCs w:val="24"/>
                <w:color w:val="auto"/>
              </w:rPr>
            </w:pPr>
          </w:p>
        </w:tc>
        <w:tc>
          <w:tcPr>
            <w:tcW w:w="560" w:type="dxa"/>
            <w:vAlign w:val="bottom"/>
            <w:tcBorders>
              <w:bottom w:val="single" w:sz="8" w:color="FB4E0B"/>
            </w:tcBorders>
          </w:tcPr>
          <w:p>
            <w:pPr>
              <w:spacing w:after="0"/>
              <w:rPr>
                <w:sz w:val="24"/>
                <w:szCs w:val="24"/>
                <w:color w:val="auto"/>
              </w:rPr>
            </w:pPr>
          </w:p>
        </w:tc>
        <w:tc>
          <w:tcPr>
            <w:tcW w:w="3680" w:type="dxa"/>
            <w:vAlign w:val="bottom"/>
            <w:tcBorders>
              <w:bottom w:val="single" w:sz="8" w:color="FB4E0B"/>
            </w:tcBorders>
          </w:tcPr>
          <w:p>
            <w:pPr>
              <w:spacing w:after="0"/>
              <w:rPr>
                <w:sz w:val="24"/>
                <w:szCs w:val="24"/>
                <w:color w:val="auto"/>
              </w:rPr>
            </w:pPr>
          </w:p>
        </w:tc>
        <w:tc>
          <w:tcPr>
            <w:tcW w:w="460" w:type="dxa"/>
            <w:vAlign w:val="bottom"/>
            <w:tcBorders>
              <w:bottom w:val="single" w:sz="8" w:color="FB4E0B"/>
            </w:tcBorders>
          </w:tcPr>
          <w:p>
            <w:pPr>
              <w:spacing w:after="0"/>
              <w:rPr>
                <w:sz w:val="24"/>
                <w:szCs w:val="24"/>
                <w:color w:val="auto"/>
              </w:rPr>
            </w:pPr>
          </w:p>
        </w:tc>
        <w:tc>
          <w:tcPr>
            <w:tcW w:w="380" w:type="dxa"/>
            <w:vAlign w:val="bottom"/>
            <w:tcBorders>
              <w:bottom w:val="single" w:sz="8" w:color="FB4E0B"/>
            </w:tcBorders>
          </w:tcPr>
          <w:p>
            <w:pPr>
              <w:spacing w:after="0"/>
              <w:rPr>
                <w:sz w:val="24"/>
                <w:szCs w:val="24"/>
                <w:color w:val="auto"/>
              </w:rPr>
            </w:pPr>
          </w:p>
        </w:tc>
      </w:tr>
      <w:tr>
        <w:trPr>
          <w:trHeight w:val="628"/>
        </w:trPr>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tcPr>
          <w:p>
            <w:pPr>
              <w:ind w:left="1740"/>
              <w:spacing w:after="0"/>
              <w:rPr>
                <w:sz w:val="20"/>
                <w:szCs w:val="20"/>
                <w:color w:val="auto"/>
              </w:rPr>
            </w:pPr>
            <w:r>
              <w:rPr>
                <w:rFonts w:ascii="Arial" w:cs="Arial" w:eastAsia="Arial" w:hAnsi="Arial"/>
                <w:sz w:val="13"/>
                <w:szCs w:val="13"/>
                <w:color w:val="auto"/>
              </w:rPr>
              <w:t>EXL 2023 Proxy Statement</w:t>
            </w:r>
          </w:p>
        </w:tc>
        <w:tc>
          <w:tcPr>
            <w:tcW w:w="460" w:type="dxa"/>
            <w:vAlign w:val="bottom"/>
          </w:tcPr>
          <w:p>
            <w:pPr>
              <w:jc w:val="right"/>
              <w:ind w:right="161"/>
              <w:spacing w:after="0"/>
              <w:rPr>
                <w:sz w:val="20"/>
                <w:szCs w:val="20"/>
                <w:color w:val="auto"/>
              </w:rPr>
            </w:pPr>
            <w:r>
              <w:rPr>
                <w:rFonts w:ascii="Arial" w:cs="Arial" w:eastAsia="Arial" w:hAnsi="Arial"/>
                <w:sz w:val="28"/>
                <w:szCs w:val="28"/>
                <w:b w:val="1"/>
                <w:bCs w:val="1"/>
                <w:color w:val="FB4E0B"/>
              </w:rPr>
              <w:t>/</w:t>
            </w:r>
          </w:p>
        </w:tc>
        <w:tc>
          <w:tcPr>
            <w:tcW w:w="380" w:type="dxa"/>
            <w:vAlign w:val="bottom"/>
          </w:tcPr>
          <w:p>
            <w:pPr>
              <w:jc w:val="right"/>
              <w:ind w:right="113"/>
              <w:spacing w:after="0"/>
              <w:rPr>
                <w:sz w:val="20"/>
                <w:szCs w:val="20"/>
                <w:color w:val="auto"/>
              </w:rPr>
            </w:pPr>
            <w:r>
              <w:rPr>
                <w:rFonts w:ascii="Arial" w:cs="Arial" w:eastAsia="Arial" w:hAnsi="Arial"/>
                <w:sz w:val="17"/>
                <w:szCs w:val="17"/>
                <w:b w:val="1"/>
                <w:bCs w:val="1"/>
                <w:color w:val="auto"/>
                <w:w w:val="84"/>
              </w:rPr>
              <w:t>79</w:t>
            </w:r>
          </w:p>
        </w:tc>
      </w:tr>
    </w:tbl>
    <w:p>
      <w:pPr>
        <w:sectPr>
          <w:pgSz w:w="11900" w:h="16838" w:orient="portrait"/>
          <w:cols w:equalWidth="0" w:num="1">
            <w:col w:w="10940"/>
          </w:cols>
          <w:pgMar w:left="320" w:top="473" w:right="6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sets out the 2022 annual incentive awards paid to our named executive officers (paid in March 2023):</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7"/>
                <w:szCs w:val="17"/>
                <w:b w:val="1"/>
                <w:bCs w:val="1"/>
                <w:color w:val="FB4E0B"/>
              </w:rPr>
              <w:t>2022 Actual annual</w:t>
            </w:r>
          </w:p>
        </w:tc>
      </w:tr>
      <w:tr>
        <w:trPr>
          <w:trHeight w:val="337"/>
        </w:trPr>
        <w:tc>
          <w:tcPr>
            <w:tcW w:w="7440" w:type="dxa"/>
            <w:vAlign w:val="bottom"/>
            <w:tcBorders>
              <w:bottom w:val="single" w:sz="8" w:color="FB4E0B"/>
            </w:tcBorders>
          </w:tcPr>
          <w:p>
            <w:pPr>
              <w:ind w:left="80"/>
              <w:spacing w:after="0"/>
              <w:rPr>
                <w:sz w:val="20"/>
                <w:szCs w:val="20"/>
                <w:color w:val="auto"/>
              </w:rPr>
            </w:pPr>
            <w:r>
              <w:rPr>
                <w:rFonts w:ascii="Arial" w:cs="Arial" w:eastAsia="Arial" w:hAnsi="Arial"/>
                <w:sz w:val="17"/>
                <w:szCs w:val="17"/>
                <w:b w:val="1"/>
                <w:bCs w:val="1"/>
                <w:color w:val="FB4E0B"/>
              </w:rPr>
              <w:t>Name</w:t>
            </w:r>
          </w:p>
        </w:tc>
        <w:tc>
          <w:tcPr>
            <w:tcW w:w="3200" w:type="dxa"/>
            <w:vAlign w:val="bottom"/>
            <w:tcBorders>
              <w:bottom w:val="single" w:sz="8" w:color="FB4E0B"/>
            </w:tcBorders>
          </w:tcPr>
          <w:p>
            <w:pPr>
              <w:ind w:left="80"/>
              <w:spacing w:after="0"/>
              <w:rPr>
                <w:sz w:val="20"/>
                <w:szCs w:val="20"/>
                <w:color w:val="auto"/>
              </w:rPr>
            </w:pPr>
            <w:r>
              <w:rPr>
                <w:rFonts w:ascii="Arial" w:cs="Arial" w:eastAsia="Arial" w:hAnsi="Arial"/>
                <w:sz w:val="17"/>
                <w:szCs w:val="17"/>
                <w:b w:val="1"/>
                <w:bCs w:val="1"/>
                <w:color w:val="FB4E0B"/>
              </w:rPr>
              <w:t>incentive awarded ($)</w:t>
            </w:r>
            <w:r>
              <w:rPr>
                <w:rFonts w:ascii="Arial" w:cs="Arial" w:eastAsia="Arial" w:hAnsi="Arial"/>
                <w:sz w:val="26"/>
                <w:szCs w:val="26"/>
                <w:b w:val="1"/>
                <w:bCs w:val="1"/>
                <w:color w:val="FB4E0B"/>
                <w:vertAlign w:val="superscript"/>
              </w:rPr>
              <w:t>(1)</w:t>
            </w:r>
          </w:p>
        </w:tc>
      </w:tr>
      <w:tr>
        <w:trPr>
          <w:trHeight w:val="325"/>
        </w:trPr>
        <w:tc>
          <w:tcPr>
            <w:tcW w:w="74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Rohit Kapoor</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1,829,887</w:t>
            </w:r>
          </w:p>
        </w:tc>
      </w:tr>
      <w:tr>
        <w:trPr>
          <w:trHeight w:val="104"/>
        </w:trPr>
        <w:tc>
          <w:tcPr>
            <w:tcW w:w="7440" w:type="dxa"/>
            <w:vAlign w:val="bottom"/>
            <w:tcBorders>
              <w:bottom w:val="single" w:sz="8" w:color="auto"/>
              <w:right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r>
      <w:tr>
        <w:trPr>
          <w:trHeight w:val="292"/>
        </w:trPr>
        <w:tc>
          <w:tcPr>
            <w:tcW w:w="74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Maurizio Nicolelli</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554,929</w:t>
            </w:r>
          </w:p>
        </w:tc>
      </w:tr>
      <w:tr>
        <w:trPr>
          <w:trHeight w:val="104"/>
        </w:trPr>
        <w:tc>
          <w:tcPr>
            <w:tcW w:w="7440" w:type="dxa"/>
            <w:vAlign w:val="bottom"/>
            <w:tcBorders>
              <w:bottom w:val="single" w:sz="8" w:color="auto"/>
              <w:right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r>
      <w:tr>
        <w:trPr>
          <w:trHeight w:val="292"/>
        </w:trPr>
        <w:tc>
          <w:tcPr>
            <w:tcW w:w="74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Vikas Bhalla</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357,340</w:t>
            </w:r>
          </w:p>
        </w:tc>
      </w:tr>
      <w:tr>
        <w:trPr>
          <w:trHeight w:val="104"/>
        </w:trPr>
        <w:tc>
          <w:tcPr>
            <w:tcW w:w="7440" w:type="dxa"/>
            <w:vAlign w:val="bottom"/>
            <w:tcBorders>
              <w:bottom w:val="single" w:sz="8" w:color="auto"/>
              <w:right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r>
      <w:tr>
        <w:trPr>
          <w:trHeight w:val="292"/>
        </w:trPr>
        <w:tc>
          <w:tcPr>
            <w:tcW w:w="74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Vivek Jetley</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525,488</w:t>
            </w:r>
          </w:p>
        </w:tc>
      </w:tr>
      <w:tr>
        <w:trPr>
          <w:trHeight w:val="104"/>
        </w:trPr>
        <w:tc>
          <w:tcPr>
            <w:tcW w:w="7440" w:type="dxa"/>
            <w:vAlign w:val="bottom"/>
            <w:tcBorders>
              <w:bottom w:val="single" w:sz="8" w:color="auto"/>
              <w:right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r>
      <w:tr>
        <w:trPr>
          <w:trHeight w:val="292"/>
        </w:trPr>
        <w:tc>
          <w:tcPr>
            <w:tcW w:w="744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Ankor Rai</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481,822</w:t>
            </w:r>
          </w:p>
        </w:tc>
      </w:tr>
      <w:tr>
        <w:trPr>
          <w:trHeight w:val="110"/>
        </w:trPr>
        <w:tc>
          <w:tcPr>
            <w:tcW w:w="7440" w:type="dxa"/>
            <w:vAlign w:val="bottom"/>
            <w:tcBorders>
              <w:bottom w:val="single" w:sz="8" w:color="FB4E0B"/>
              <w:right w:val="single" w:sz="8" w:color="auto"/>
            </w:tcBorders>
          </w:tcPr>
          <w:p>
            <w:pPr>
              <w:spacing w:after="0"/>
              <w:rPr>
                <w:sz w:val="9"/>
                <w:szCs w:val="9"/>
                <w:color w:val="auto"/>
              </w:rPr>
            </w:pPr>
          </w:p>
        </w:tc>
        <w:tc>
          <w:tcPr>
            <w:tcW w:w="3200" w:type="dxa"/>
            <w:vAlign w:val="bottom"/>
            <w:tcBorders>
              <w:bottom w:val="single" w:sz="8" w:color="FB4E0B"/>
              <w:right w:val="single" w:sz="8" w:color="auto"/>
            </w:tcBorders>
          </w:tcPr>
          <w:p>
            <w:pPr>
              <w:spacing w:after="0"/>
              <w:rPr>
                <w:sz w:val="9"/>
                <w:szCs w:val="9"/>
                <w:color w:val="auto"/>
              </w:rPr>
            </w:pPr>
          </w:p>
        </w:tc>
      </w:tr>
    </w:tbl>
    <w:p>
      <w:pPr>
        <w:spacing w:after="0" w:line="43" w:lineRule="exact"/>
        <w:rPr>
          <w:sz w:val="20"/>
          <w:szCs w:val="20"/>
          <w:color w:val="auto"/>
        </w:rPr>
      </w:pPr>
    </w:p>
    <w:p>
      <w:pPr>
        <w:ind w:left="1140" w:hanging="407"/>
        <w:spacing w:after="0"/>
        <w:tabs>
          <w:tab w:leader="none" w:pos="11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exchange rate used for the conversion from Indian rupees to U.S. dollars for Mr. Bhalla was 82.72 INR to 1 USD, which was the exchange rate on December 30, 2022.</w:t>
      </w:r>
    </w:p>
    <w:p>
      <w:pPr>
        <w:spacing w:after="0" w:line="30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Long-term equity incentives</w:t>
      </w:r>
    </w:p>
    <w:p>
      <w:pPr>
        <w:spacing w:after="0" w:line="117" w:lineRule="exact"/>
        <w:rPr>
          <w:sz w:val="20"/>
          <w:szCs w:val="20"/>
          <w:color w:val="auto"/>
        </w:rPr>
      </w:pPr>
    </w:p>
    <w:p>
      <w:pPr>
        <w:ind w:left="320" w:right="20"/>
        <w:spacing w:after="0" w:line="265" w:lineRule="auto"/>
        <w:rPr>
          <w:sz w:val="20"/>
          <w:szCs w:val="20"/>
          <w:color w:val="auto"/>
        </w:rPr>
      </w:pPr>
      <w:r>
        <w:rPr>
          <w:rFonts w:ascii="Arial" w:cs="Arial" w:eastAsia="Arial" w:hAnsi="Arial"/>
          <w:sz w:val="17"/>
          <w:szCs w:val="17"/>
          <w:color w:val="auto"/>
        </w:rPr>
        <w:t>The Compensation and Talent Management Committee believes long-term equity awards provide employees with the incentive to stay with us for longer periods of time, which in turn provides greater stability as we grow. These incentives foster the long-term perspective necessary for continued success in our business because the value of the awards is directly linked to long-term performance of our stock price, and they ensure that our executive officers are properly focused on stockholder value.</w:t>
      </w:r>
    </w:p>
    <w:p>
      <w:pPr>
        <w:spacing w:after="0" w:line="177" w:lineRule="exact"/>
        <w:rPr>
          <w:sz w:val="20"/>
          <w:szCs w:val="20"/>
          <w:color w:val="auto"/>
        </w:rPr>
      </w:pPr>
    </w:p>
    <w:p>
      <w:pPr>
        <w:ind w:left="320" w:right="360"/>
        <w:spacing w:after="0" w:line="263" w:lineRule="auto"/>
        <w:rPr>
          <w:sz w:val="20"/>
          <w:szCs w:val="20"/>
          <w:color w:val="auto"/>
        </w:rPr>
      </w:pPr>
      <w:r>
        <w:rPr>
          <w:rFonts w:ascii="Arial" w:cs="Arial" w:eastAsia="Arial" w:hAnsi="Arial"/>
          <w:sz w:val="17"/>
          <w:szCs w:val="17"/>
          <w:color w:val="auto"/>
        </w:rPr>
        <w:t>Moreover, the Compensation and Talent Management Committee favors restricted stock unit awards because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employed by the Company through the date that the restrictions lapse. For these reasons, restricted stock unit awards provide a significant degree of alignment between the interests of our executives and stockholders.</w:t>
      </w:r>
    </w:p>
    <w:p>
      <w:pPr>
        <w:spacing w:after="0" w:line="178" w:lineRule="exact"/>
        <w:rPr>
          <w:sz w:val="20"/>
          <w:szCs w:val="20"/>
          <w:color w:val="auto"/>
        </w:rPr>
      </w:pPr>
    </w:p>
    <w:p>
      <w:pPr>
        <w:ind w:left="320" w:right="140"/>
        <w:spacing w:after="0" w:line="295" w:lineRule="auto"/>
        <w:rPr>
          <w:sz w:val="20"/>
          <w:szCs w:val="20"/>
          <w:color w:val="auto"/>
        </w:rPr>
      </w:pPr>
      <w:r>
        <w:rPr>
          <w:rFonts w:ascii="Arial" w:cs="Arial" w:eastAsia="Arial" w:hAnsi="Arial"/>
          <w:sz w:val="16"/>
          <w:szCs w:val="16"/>
          <w:color w:val="auto"/>
        </w:rPr>
        <w:t>The Compensation and Talent Management Committee also believes that the mix between Time-Vested RSUs and Performance-Vested RSUs provides an appropriate balance between incentivizing our executives to continue their employment with the Company and ensuring they are focused on generating long-term financial performance and sustained stockholder value, which, in turn, results in additional compensation.</w:t>
      </w:r>
    </w:p>
    <w:p>
      <w:pPr>
        <w:spacing w:after="0" w:line="69"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80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D8D8D8"/>
        </w:rPr>
        <w:t>Executive compensation</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Compensation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Fiscal year 2022 awards</w:t>
      </w:r>
    </w:p>
    <w:p>
      <w:pPr>
        <w:spacing w:after="0" w:line="123" w:lineRule="exact"/>
        <w:rPr>
          <w:sz w:val="20"/>
          <w:szCs w:val="20"/>
          <w:color w:val="auto"/>
        </w:rPr>
      </w:pPr>
    </w:p>
    <w:p>
      <w:pPr>
        <w:ind w:left="320" w:right="60"/>
        <w:spacing w:after="0" w:line="300" w:lineRule="auto"/>
        <w:rPr>
          <w:sz w:val="20"/>
          <w:szCs w:val="20"/>
          <w:color w:val="auto"/>
        </w:rPr>
      </w:pPr>
      <w:r>
        <w:rPr>
          <w:rFonts w:ascii="Arial" w:cs="Arial" w:eastAsia="Arial" w:hAnsi="Arial"/>
          <w:sz w:val="15"/>
          <w:szCs w:val="15"/>
          <w:color w:val="auto"/>
        </w:rPr>
        <w:t>Under our equity compensation program, our executive officers received restricted stock units under the 2018 Omnibus Incentive Plan approved by the Company’s stockholders at the annual meeting of stockholders held in June 2018 (the “2018 Plan”). We awarded restricted stock units to nearly all of our named executive officers in the proportions shown below. In 2021, in response to the COVID-19 pandemic, we temporarily revised our long-term equity incentive program for 2021 only to remove the revenue performance metric. Therefore, in 2022, we reinstated the revenue performance metric and returned to our pre-2021 practice of awarding performance-based restricted stock units with a portion subject to revenue-based performance metrics and a separate portion subject to TSR-based performance metrics. In addition, we adjusted the overall weighting of our restricted stock units to change the total percentage of PRSUs from 50% to 60% to further increase the percentage of incentive compensation tied to performance.</w:t>
      </w:r>
    </w:p>
    <w:p>
      <w:pPr>
        <w:spacing w:after="0" w:line="200" w:lineRule="exact"/>
        <w:rPr>
          <w:sz w:val="20"/>
          <w:szCs w:val="20"/>
          <w:color w:val="auto"/>
        </w:rPr>
      </w:pPr>
    </w:p>
    <w:p>
      <w:pPr>
        <w:spacing w:after="0" w:line="321" w:lineRule="exact"/>
        <w:rPr>
          <w:sz w:val="20"/>
          <w:szCs w:val="20"/>
          <w:color w:val="auto"/>
        </w:rPr>
      </w:pPr>
    </w:p>
    <w:tbl>
      <w:tblPr>
        <w:tblLayout w:type="fixed"/>
        <w:tblInd w:w="1460" w:type="dxa"/>
        <w:tblCellMar>
          <w:top w:w="0" w:type="dxa"/>
          <w:left w:w="0" w:type="dxa"/>
          <w:bottom w:w="0" w:type="dxa"/>
          <w:right w:w="0" w:type="dxa"/>
        </w:tblCellMar>
      </w:tblPr>
      <w:tr>
        <w:trPr>
          <w:trHeight w:val="590"/>
        </w:trPr>
        <w:tc>
          <w:tcPr>
            <w:tcW w:w="1340" w:type="dxa"/>
            <w:vAlign w:val="bottom"/>
          </w:tcPr>
          <w:p>
            <w:pPr>
              <w:jc w:val="center"/>
              <w:ind w:right="313"/>
              <w:spacing w:after="0"/>
              <w:rPr>
                <w:sz w:val="20"/>
                <w:szCs w:val="20"/>
                <w:color w:val="auto"/>
              </w:rPr>
            </w:pPr>
            <w:r>
              <w:rPr>
                <w:rFonts w:ascii="Arial" w:cs="Arial" w:eastAsia="Arial" w:hAnsi="Arial"/>
                <w:sz w:val="45"/>
                <w:szCs w:val="45"/>
                <w:b w:val="1"/>
                <w:bCs w:val="1"/>
                <w:color w:val="FB4E0B"/>
                <w:w w:val="99"/>
              </w:rPr>
              <w:t>40%</w:t>
            </w:r>
          </w:p>
        </w:tc>
        <w:tc>
          <w:tcPr>
            <w:tcW w:w="3640" w:type="dxa"/>
            <w:vAlign w:val="bottom"/>
          </w:tcPr>
          <w:p>
            <w:pPr>
              <w:jc w:val="center"/>
              <w:spacing w:after="0"/>
              <w:rPr>
                <w:sz w:val="20"/>
                <w:szCs w:val="20"/>
                <w:color w:val="auto"/>
              </w:rPr>
            </w:pPr>
            <w:r>
              <w:rPr>
                <w:rFonts w:ascii="Arial" w:cs="Arial" w:eastAsia="Arial" w:hAnsi="Arial"/>
                <w:sz w:val="45"/>
                <w:szCs w:val="45"/>
                <w:b w:val="1"/>
                <w:bCs w:val="1"/>
                <w:color w:val="FB4E0B"/>
              </w:rPr>
              <w:t>+   36%   +</w:t>
            </w:r>
          </w:p>
        </w:tc>
        <w:tc>
          <w:tcPr>
            <w:tcW w:w="1700" w:type="dxa"/>
            <w:vAlign w:val="bottom"/>
          </w:tcPr>
          <w:p>
            <w:pPr>
              <w:jc w:val="center"/>
              <w:spacing w:after="0"/>
              <w:rPr>
                <w:sz w:val="20"/>
                <w:szCs w:val="20"/>
                <w:color w:val="auto"/>
              </w:rPr>
            </w:pPr>
            <w:r>
              <w:rPr>
                <w:rFonts w:ascii="Arial" w:cs="Arial" w:eastAsia="Arial" w:hAnsi="Arial"/>
                <w:sz w:val="45"/>
                <w:szCs w:val="45"/>
                <w:b w:val="1"/>
                <w:bCs w:val="1"/>
                <w:color w:val="FB4E0B"/>
                <w:w w:val="99"/>
              </w:rPr>
              <w:t>24%</w:t>
            </w:r>
          </w:p>
        </w:tc>
        <w:tc>
          <w:tcPr>
            <w:tcW w:w="2080" w:type="dxa"/>
            <w:vAlign w:val="bottom"/>
          </w:tcPr>
          <w:p>
            <w:pPr>
              <w:ind w:left="280"/>
              <w:spacing w:after="0"/>
              <w:rPr>
                <w:sz w:val="20"/>
                <w:szCs w:val="20"/>
                <w:color w:val="auto"/>
              </w:rPr>
            </w:pPr>
            <w:r>
              <w:rPr>
                <w:rFonts w:ascii="Arial" w:cs="Arial" w:eastAsia="Arial" w:hAnsi="Arial"/>
                <w:sz w:val="45"/>
                <w:szCs w:val="45"/>
                <w:b w:val="1"/>
                <w:bCs w:val="1"/>
                <w:color w:val="FB4E0B"/>
              </w:rPr>
              <w:t xml:space="preserve">=   </w:t>
            </w:r>
            <w:r>
              <w:rPr>
                <w:rFonts w:ascii="Arial" w:cs="Arial" w:eastAsia="Arial" w:hAnsi="Arial"/>
                <w:sz w:val="45"/>
                <w:szCs w:val="45"/>
                <w:b w:val="1"/>
                <w:bCs w:val="1"/>
                <w:color w:val="000000"/>
              </w:rPr>
              <w:t>Total</w:t>
            </w:r>
          </w:p>
        </w:tc>
      </w:tr>
      <w:tr>
        <w:trPr>
          <w:trHeight w:val="201"/>
        </w:trPr>
        <w:tc>
          <w:tcPr>
            <w:tcW w:w="1340" w:type="dxa"/>
            <w:vAlign w:val="bottom"/>
          </w:tcPr>
          <w:p>
            <w:pPr>
              <w:jc w:val="center"/>
              <w:ind w:right="313"/>
              <w:spacing w:after="0"/>
              <w:rPr>
                <w:sz w:val="20"/>
                <w:szCs w:val="20"/>
                <w:color w:val="auto"/>
              </w:rPr>
            </w:pPr>
            <w:r>
              <w:rPr>
                <w:rFonts w:ascii="Arial" w:cs="Arial" w:eastAsia="Arial" w:hAnsi="Arial"/>
                <w:sz w:val="16"/>
                <w:szCs w:val="16"/>
                <w:b w:val="1"/>
                <w:bCs w:val="1"/>
                <w:color w:val="auto"/>
                <w:w w:val="87"/>
              </w:rPr>
              <w:t>Time-vested</w:t>
            </w:r>
          </w:p>
        </w:tc>
        <w:tc>
          <w:tcPr>
            <w:tcW w:w="3640" w:type="dxa"/>
            <w:vAlign w:val="bottom"/>
          </w:tcPr>
          <w:p>
            <w:pPr>
              <w:jc w:val="center"/>
              <w:ind w:left="73"/>
              <w:spacing w:after="0"/>
              <w:rPr>
                <w:sz w:val="20"/>
                <w:szCs w:val="20"/>
                <w:color w:val="auto"/>
              </w:rPr>
            </w:pPr>
            <w:r>
              <w:rPr>
                <w:rFonts w:ascii="Arial" w:cs="Arial" w:eastAsia="Arial" w:hAnsi="Arial"/>
                <w:sz w:val="16"/>
                <w:szCs w:val="16"/>
                <w:b w:val="1"/>
                <w:bCs w:val="1"/>
                <w:color w:val="auto"/>
                <w:w w:val="91"/>
              </w:rPr>
              <w:t>Relative TSR-linked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Revenue-linked</w:t>
            </w:r>
          </w:p>
        </w:tc>
        <w:tc>
          <w:tcPr>
            <w:tcW w:w="2080" w:type="dxa"/>
            <w:vAlign w:val="bottom"/>
          </w:tcPr>
          <w:p>
            <w:pPr>
              <w:jc w:val="center"/>
              <w:ind w:left="973"/>
              <w:spacing w:after="0"/>
              <w:rPr>
                <w:sz w:val="20"/>
                <w:szCs w:val="20"/>
                <w:color w:val="auto"/>
              </w:rPr>
            </w:pPr>
            <w:r>
              <w:rPr>
                <w:rFonts w:ascii="Arial" w:cs="Arial" w:eastAsia="Arial" w:hAnsi="Arial"/>
                <w:sz w:val="16"/>
                <w:szCs w:val="16"/>
                <w:b w:val="1"/>
                <w:bCs w:val="1"/>
                <w:color w:val="auto"/>
              </w:rPr>
              <w:t>LTI</w:t>
            </w:r>
          </w:p>
        </w:tc>
      </w:tr>
      <w:tr>
        <w:trPr>
          <w:trHeight w:val="203"/>
        </w:trPr>
        <w:tc>
          <w:tcPr>
            <w:tcW w:w="1340" w:type="dxa"/>
            <w:vAlign w:val="bottom"/>
          </w:tcPr>
          <w:p>
            <w:pPr>
              <w:jc w:val="center"/>
              <w:ind w:right="313"/>
              <w:spacing w:after="0"/>
              <w:rPr>
                <w:sz w:val="20"/>
                <w:szCs w:val="20"/>
                <w:color w:val="auto"/>
              </w:rPr>
            </w:pPr>
            <w:r>
              <w:rPr>
                <w:rFonts w:ascii="Arial" w:cs="Arial" w:eastAsia="Arial" w:hAnsi="Arial"/>
                <w:sz w:val="16"/>
                <w:szCs w:val="16"/>
                <w:b w:val="1"/>
                <w:bCs w:val="1"/>
                <w:color w:val="auto"/>
                <w:w w:val="88"/>
              </w:rPr>
              <w:t>RSUs</w:t>
            </w:r>
          </w:p>
        </w:tc>
        <w:tc>
          <w:tcPr>
            <w:tcW w:w="3640" w:type="dxa"/>
            <w:vAlign w:val="bottom"/>
          </w:tcPr>
          <w:p>
            <w:pPr>
              <w:jc w:val="center"/>
              <w:ind w:left="93"/>
              <w:spacing w:after="0"/>
              <w:rPr>
                <w:sz w:val="20"/>
                <w:szCs w:val="20"/>
                <w:color w:val="auto"/>
              </w:rPr>
            </w:pPr>
            <w:r>
              <w:rPr>
                <w:rFonts w:ascii="Arial" w:cs="Arial" w:eastAsia="Arial" w:hAnsi="Arial"/>
                <w:sz w:val="16"/>
                <w:szCs w:val="16"/>
                <w:b w:val="1"/>
                <w:bCs w:val="1"/>
                <w:color w:val="auto"/>
                <w:w w:val="86"/>
              </w:rPr>
              <w:t>PRSUs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PRSUs</w:t>
            </w:r>
          </w:p>
        </w:tc>
        <w:tc>
          <w:tcPr>
            <w:tcW w:w="2080" w:type="dxa"/>
            <w:vAlign w:val="bottom"/>
          </w:tcPr>
          <w:p>
            <w:pPr>
              <w:jc w:val="center"/>
              <w:ind w:left="973"/>
              <w:spacing w:after="0"/>
              <w:rPr>
                <w:sz w:val="20"/>
                <w:szCs w:val="20"/>
                <w:color w:val="auto"/>
              </w:rPr>
            </w:pPr>
            <w:r>
              <w:rPr>
                <w:rFonts w:ascii="Arial" w:cs="Arial" w:eastAsia="Arial" w:hAnsi="Arial"/>
                <w:sz w:val="16"/>
                <w:szCs w:val="16"/>
                <w:b w:val="1"/>
                <w:bCs w:val="1"/>
                <w:color w:val="auto"/>
                <w:w w:val="90"/>
              </w:rPr>
              <w:t>award</w:t>
            </w:r>
          </w:p>
        </w:tc>
      </w:tr>
    </w:tbl>
    <w:p>
      <w:pPr>
        <w:spacing w:after="0" w:line="215" w:lineRule="exact"/>
        <w:rPr>
          <w:sz w:val="20"/>
          <w:szCs w:val="20"/>
          <w:color w:val="auto"/>
        </w:rPr>
      </w:pPr>
    </w:p>
    <w:p>
      <w:pPr>
        <w:ind w:left="320" w:right="40"/>
        <w:spacing w:after="0" w:line="311" w:lineRule="auto"/>
        <w:rPr>
          <w:sz w:val="20"/>
          <w:szCs w:val="20"/>
          <w:color w:val="auto"/>
        </w:rPr>
      </w:pPr>
      <w:r>
        <w:rPr>
          <w:rFonts w:ascii="Arial" w:cs="Arial" w:eastAsia="Arial" w:hAnsi="Arial"/>
          <w:sz w:val="15"/>
          <w:szCs w:val="15"/>
          <w:color w:val="auto"/>
        </w:rPr>
        <w:t>Our Compensation and Talent Management Committee selected revenue as one performance measure because it is a key driver of stockholder value, thus aligning stockholder and executive interests. Our Compensation and Talent Management Committee selected relative TSR because it incorporates a comparative component that requires our stock to outperform our industry classification peers for awards to vest. In addition, both the revenue and relative TSR performance measures encourage a focus on our strategic goals of long-term financial performance and market share growth.</w:t>
      </w:r>
    </w:p>
    <w:p>
      <w:pPr>
        <w:spacing w:after="0" w:line="147" w:lineRule="exact"/>
        <w:rPr>
          <w:sz w:val="20"/>
          <w:szCs w:val="20"/>
          <w:color w:val="auto"/>
        </w:rPr>
      </w:pPr>
    </w:p>
    <w:p>
      <w:pPr>
        <w:ind w:left="320" w:right="160"/>
        <w:spacing w:after="0" w:line="270" w:lineRule="auto"/>
        <w:rPr>
          <w:sz w:val="20"/>
          <w:szCs w:val="20"/>
          <w:color w:val="auto"/>
        </w:rPr>
      </w:pPr>
      <w:r>
        <w:rPr>
          <w:rFonts w:ascii="Arial" w:cs="Arial" w:eastAsia="Arial" w:hAnsi="Arial"/>
          <w:sz w:val="17"/>
          <w:szCs w:val="17"/>
          <w:color w:val="auto"/>
        </w:rPr>
        <w:t>The table below shows the amount of Time-Vested and Performance-Vested RSUs our Compensation and Talent Management Committee awarded our named executive officers in 2022. In general, the Compensation and Talent Management Committee believes that the size of the award granted to an executive officer should increase based on the executive officer’s level of responsibility within the Company.</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gridSpan w:val="2"/>
          </w:tcPr>
          <w:p>
            <w:pPr>
              <w:jc w:val="right"/>
              <w:ind w:right="225"/>
              <w:spacing w:after="0"/>
              <w:rPr>
                <w:sz w:val="20"/>
                <w:szCs w:val="20"/>
                <w:color w:val="auto"/>
              </w:rPr>
            </w:pPr>
            <w:r>
              <w:rPr>
                <w:rFonts w:ascii="Arial" w:cs="Arial" w:eastAsia="Arial" w:hAnsi="Arial"/>
                <w:sz w:val="17"/>
                <w:szCs w:val="17"/>
                <w:b w:val="1"/>
                <w:bCs w:val="1"/>
                <w:color w:val="FB4E0B"/>
              </w:rPr>
              <w:t>Revenue-</w:t>
            </w:r>
          </w:p>
        </w:tc>
        <w:tc>
          <w:tcPr>
            <w:tcW w:w="480" w:type="dxa"/>
            <w:vAlign w:val="bottom"/>
          </w:tcPr>
          <w:p>
            <w:pPr>
              <w:spacing w:after="0"/>
              <w:rPr>
                <w:sz w:val="18"/>
                <w:szCs w:val="18"/>
                <w:color w:val="auto"/>
              </w:rPr>
            </w:pPr>
          </w:p>
        </w:tc>
      </w:tr>
      <w:tr>
        <w:trPr>
          <w:trHeight w:val="227"/>
        </w:trPr>
        <w:tc>
          <w:tcPr>
            <w:tcW w:w="2120" w:type="dxa"/>
            <w:vAlign w:val="bottom"/>
          </w:tcPr>
          <w:p>
            <w:pPr>
              <w:ind w:left="80"/>
              <w:spacing w:after="0"/>
              <w:rPr>
                <w:sz w:val="20"/>
                <w:szCs w:val="20"/>
                <w:color w:val="auto"/>
              </w:rPr>
            </w:pPr>
            <w:r>
              <w:rPr>
                <w:rFonts w:ascii="Arial" w:cs="Arial" w:eastAsia="Arial" w:hAnsi="Arial"/>
                <w:sz w:val="17"/>
                <w:szCs w:val="17"/>
                <w:b w:val="1"/>
                <w:bCs w:val="1"/>
                <w:color w:val="FB4E0B"/>
              </w:rPr>
              <w:t>Name</w:t>
            </w:r>
          </w:p>
        </w:tc>
        <w:tc>
          <w:tcPr>
            <w:tcW w:w="2980" w:type="dxa"/>
            <w:vAlign w:val="bottom"/>
          </w:tcPr>
          <w:p>
            <w:pPr>
              <w:jc w:val="right"/>
              <w:ind w:right="453"/>
              <w:spacing w:after="0"/>
              <w:rPr>
                <w:sz w:val="20"/>
                <w:szCs w:val="20"/>
                <w:color w:val="auto"/>
              </w:rPr>
            </w:pPr>
            <w:r>
              <w:rPr>
                <w:rFonts w:ascii="Arial" w:cs="Arial" w:eastAsia="Arial" w:hAnsi="Arial"/>
                <w:sz w:val="17"/>
                <w:szCs w:val="17"/>
                <w:b w:val="1"/>
                <w:bCs w:val="1"/>
                <w:color w:val="FB4E0B"/>
              </w:rPr>
              <w:t>Annual Time-Vested RSUs</w:t>
            </w:r>
          </w:p>
        </w:tc>
        <w:tc>
          <w:tcPr>
            <w:tcW w:w="2720" w:type="dxa"/>
            <w:vAlign w:val="bottom"/>
          </w:tcPr>
          <w:p>
            <w:pPr>
              <w:jc w:val="right"/>
              <w:spacing w:after="0"/>
              <w:rPr>
                <w:sz w:val="20"/>
                <w:szCs w:val="20"/>
                <w:color w:val="auto"/>
              </w:rPr>
            </w:pPr>
            <w:r>
              <w:rPr>
                <w:rFonts w:ascii="Arial" w:cs="Arial" w:eastAsia="Arial" w:hAnsi="Arial"/>
                <w:sz w:val="17"/>
                <w:szCs w:val="17"/>
                <w:b w:val="1"/>
                <w:bCs w:val="1"/>
                <w:color w:val="FB4E0B"/>
              </w:rPr>
              <w:t>Relative TSR-Linked PRSUs</w:t>
            </w:r>
          </w:p>
        </w:tc>
        <w:tc>
          <w:tcPr>
            <w:tcW w:w="560" w:type="dxa"/>
            <w:vAlign w:val="bottom"/>
          </w:tcPr>
          <w:p>
            <w:pPr>
              <w:spacing w:after="0"/>
              <w:rPr>
                <w:sz w:val="19"/>
                <w:szCs w:val="19"/>
                <w:color w:val="auto"/>
              </w:rPr>
            </w:pPr>
          </w:p>
        </w:tc>
        <w:tc>
          <w:tcPr>
            <w:tcW w:w="1760" w:type="dxa"/>
            <w:vAlign w:val="bottom"/>
            <w:gridSpan w:val="2"/>
          </w:tcPr>
          <w:p>
            <w:pPr>
              <w:jc w:val="right"/>
              <w:ind w:right="25"/>
              <w:spacing w:after="0"/>
              <w:rPr>
                <w:sz w:val="20"/>
                <w:szCs w:val="20"/>
                <w:color w:val="auto"/>
              </w:rPr>
            </w:pPr>
            <w:r>
              <w:rPr>
                <w:rFonts w:ascii="Arial" w:cs="Arial" w:eastAsia="Arial" w:hAnsi="Arial"/>
                <w:sz w:val="17"/>
                <w:szCs w:val="17"/>
                <w:b w:val="1"/>
                <w:bCs w:val="1"/>
                <w:color w:val="FB4E0B"/>
              </w:rPr>
              <w:t>Linked PRSUs</w:t>
            </w:r>
          </w:p>
        </w:tc>
        <w:tc>
          <w:tcPr>
            <w:tcW w:w="480" w:type="dxa"/>
            <w:vAlign w:val="bottom"/>
          </w:tcPr>
          <w:p>
            <w:pPr>
              <w:spacing w:after="0"/>
              <w:rPr>
                <w:sz w:val="19"/>
                <w:szCs w:val="19"/>
                <w:color w:val="auto"/>
              </w:rPr>
            </w:pPr>
          </w:p>
        </w:tc>
      </w:tr>
      <w:tr>
        <w:trPr>
          <w:trHeight w:val="32"/>
        </w:trPr>
        <w:tc>
          <w:tcPr>
            <w:tcW w:w="2120" w:type="dxa"/>
            <w:vAlign w:val="bottom"/>
            <w:tcBorders>
              <w:bottom w:val="single" w:sz="8" w:color="FB4E0B"/>
            </w:tcBorders>
          </w:tcPr>
          <w:p>
            <w:pPr>
              <w:spacing w:after="0"/>
              <w:rPr>
                <w:sz w:val="2"/>
                <w:szCs w:val="2"/>
                <w:color w:val="auto"/>
              </w:rPr>
            </w:pPr>
          </w:p>
        </w:tc>
        <w:tc>
          <w:tcPr>
            <w:tcW w:w="2980" w:type="dxa"/>
            <w:vAlign w:val="bottom"/>
            <w:tcBorders>
              <w:bottom w:val="single" w:sz="8" w:color="FB4E0B"/>
            </w:tcBorders>
          </w:tcPr>
          <w:p>
            <w:pPr>
              <w:spacing w:after="0"/>
              <w:rPr>
                <w:sz w:val="2"/>
                <w:szCs w:val="2"/>
                <w:color w:val="auto"/>
              </w:rPr>
            </w:pPr>
          </w:p>
        </w:tc>
        <w:tc>
          <w:tcPr>
            <w:tcW w:w="2720" w:type="dxa"/>
            <w:vAlign w:val="bottom"/>
            <w:tcBorders>
              <w:bottom w:val="single" w:sz="8" w:color="FB4E0B"/>
            </w:tcBorders>
          </w:tcPr>
          <w:p>
            <w:pPr>
              <w:spacing w:after="0"/>
              <w:rPr>
                <w:sz w:val="2"/>
                <w:szCs w:val="2"/>
                <w:color w:val="auto"/>
              </w:rPr>
            </w:pPr>
          </w:p>
        </w:tc>
        <w:tc>
          <w:tcPr>
            <w:tcW w:w="560" w:type="dxa"/>
            <w:vAlign w:val="bottom"/>
            <w:tcBorders>
              <w:bottom w:val="single" w:sz="8" w:color="FB4E0B"/>
            </w:tcBorders>
          </w:tcPr>
          <w:p>
            <w:pPr>
              <w:spacing w:after="0"/>
              <w:rPr>
                <w:sz w:val="2"/>
                <w:szCs w:val="2"/>
                <w:color w:val="auto"/>
              </w:rPr>
            </w:pPr>
          </w:p>
        </w:tc>
        <w:tc>
          <w:tcPr>
            <w:tcW w:w="1040" w:type="dxa"/>
            <w:vAlign w:val="bottom"/>
            <w:tcBorders>
              <w:bottom w:val="single" w:sz="8" w:color="FB4E0B"/>
            </w:tcBorders>
          </w:tcPr>
          <w:p>
            <w:pPr>
              <w:spacing w:after="0"/>
              <w:rPr>
                <w:sz w:val="2"/>
                <w:szCs w:val="2"/>
                <w:color w:val="auto"/>
              </w:rPr>
            </w:pPr>
          </w:p>
        </w:tc>
        <w:tc>
          <w:tcPr>
            <w:tcW w:w="720" w:type="dxa"/>
            <w:vAlign w:val="bottom"/>
            <w:tcBorders>
              <w:bottom w:val="single" w:sz="8" w:color="FB4E0B"/>
            </w:tcBorders>
          </w:tcPr>
          <w:p>
            <w:pPr>
              <w:spacing w:after="0"/>
              <w:rPr>
                <w:sz w:val="2"/>
                <w:szCs w:val="2"/>
                <w:color w:val="auto"/>
              </w:rPr>
            </w:pPr>
          </w:p>
        </w:tc>
        <w:tc>
          <w:tcPr>
            <w:tcW w:w="480" w:type="dxa"/>
            <w:vAlign w:val="bottom"/>
            <w:tcBorders>
              <w:bottom w:val="single" w:sz="8" w:color="FB4E0B"/>
            </w:tcBorders>
          </w:tcPr>
          <w:p>
            <w:pPr>
              <w:spacing w:after="0"/>
              <w:rPr>
                <w:sz w:val="2"/>
                <w:szCs w:val="2"/>
                <w:color w:val="auto"/>
              </w:rPr>
            </w:pPr>
          </w:p>
        </w:tc>
      </w:tr>
      <w:tr>
        <w:trPr>
          <w:trHeight w:val="325"/>
        </w:trPr>
        <w:tc>
          <w:tcPr>
            <w:tcW w:w="21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Rohit Kapoor</w:t>
            </w:r>
          </w:p>
        </w:tc>
        <w:tc>
          <w:tcPr>
            <w:tcW w:w="2980" w:type="dxa"/>
            <w:vAlign w:val="bottom"/>
            <w:tcBorders>
              <w:right w:val="single" w:sz="8" w:color="auto"/>
            </w:tcBorders>
          </w:tcPr>
          <w:p>
            <w:pPr>
              <w:jc w:val="right"/>
              <w:ind w:right="453"/>
              <w:spacing w:after="0"/>
              <w:rPr>
                <w:sz w:val="20"/>
                <w:szCs w:val="20"/>
                <w:color w:val="auto"/>
              </w:rPr>
            </w:pPr>
            <w:r>
              <w:rPr>
                <w:rFonts w:ascii="Arial" w:cs="Arial" w:eastAsia="Arial" w:hAnsi="Arial"/>
                <w:sz w:val="17"/>
                <w:szCs w:val="17"/>
                <w:color w:val="auto"/>
              </w:rPr>
              <w:t>25,164</w:t>
            </w:r>
          </w:p>
        </w:tc>
        <w:tc>
          <w:tcPr>
            <w:tcW w:w="2720" w:type="dxa"/>
            <w:vAlign w:val="bottom"/>
          </w:tcPr>
          <w:p>
            <w:pPr>
              <w:jc w:val="right"/>
              <w:spacing w:after="0"/>
              <w:rPr>
                <w:sz w:val="20"/>
                <w:szCs w:val="20"/>
                <w:color w:val="auto"/>
              </w:rPr>
            </w:pPr>
            <w:r>
              <w:rPr>
                <w:rFonts w:ascii="Arial" w:cs="Arial" w:eastAsia="Arial" w:hAnsi="Arial"/>
                <w:sz w:val="17"/>
                <w:szCs w:val="17"/>
                <w:color w:val="auto"/>
              </w:rPr>
              <w:t>22,647</w:t>
            </w:r>
          </w:p>
        </w:tc>
        <w:tc>
          <w:tcPr>
            <w:tcW w:w="5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Arial" w:cs="Arial" w:eastAsia="Arial" w:hAnsi="Arial"/>
                <w:sz w:val="17"/>
                <w:szCs w:val="17"/>
                <w:color w:val="auto"/>
              </w:rPr>
              <w:t>15,099</w:t>
            </w:r>
          </w:p>
        </w:tc>
        <w:tc>
          <w:tcPr>
            <w:tcW w:w="480" w:type="dxa"/>
            <w:vAlign w:val="bottom"/>
          </w:tcPr>
          <w:p>
            <w:pPr>
              <w:spacing w:after="0"/>
              <w:rPr>
                <w:sz w:val="24"/>
                <w:szCs w:val="24"/>
                <w:color w:val="auto"/>
              </w:rPr>
            </w:pPr>
          </w:p>
        </w:tc>
      </w:tr>
      <w:tr>
        <w:trPr>
          <w:trHeight w:val="104"/>
        </w:trPr>
        <w:tc>
          <w:tcPr>
            <w:tcW w:w="21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292"/>
        </w:trPr>
        <w:tc>
          <w:tcPr>
            <w:tcW w:w="21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Maurizio Nicolelli</w:t>
            </w:r>
          </w:p>
        </w:tc>
        <w:tc>
          <w:tcPr>
            <w:tcW w:w="2980" w:type="dxa"/>
            <w:vAlign w:val="bottom"/>
            <w:tcBorders>
              <w:right w:val="single" w:sz="8" w:color="auto"/>
            </w:tcBorders>
          </w:tcPr>
          <w:p>
            <w:pPr>
              <w:jc w:val="right"/>
              <w:ind w:right="453"/>
              <w:spacing w:after="0"/>
              <w:rPr>
                <w:sz w:val="20"/>
                <w:szCs w:val="20"/>
                <w:color w:val="auto"/>
              </w:rPr>
            </w:pPr>
            <w:r>
              <w:rPr>
                <w:rFonts w:ascii="Arial" w:cs="Arial" w:eastAsia="Arial" w:hAnsi="Arial"/>
                <w:sz w:val="17"/>
                <w:szCs w:val="17"/>
                <w:color w:val="auto"/>
              </w:rPr>
              <w:t>3,884</w:t>
            </w:r>
          </w:p>
        </w:tc>
        <w:tc>
          <w:tcPr>
            <w:tcW w:w="2720" w:type="dxa"/>
            <w:vAlign w:val="bottom"/>
          </w:tcPr>
          <w:p>
            <w:pPr>
              <w:jc w:val="right"/>
              <w:spacing w:after="0"/>
              <w:rPr>
                <w:sz w:val="20"/>
                <w:szCs w:val="20"/>
                <w:color w:val="auto"/>
              </w:rPr>
            </w:pPr>
            <w:r>
              <w:rPr>
                <w:rFonts w:ascii="Arial" w:cs="Arial" w:eastAsia="Arial" w:hAnsi="Arial"/>
                <w:sz w:val="17"/>
                <w:szCs w:val="17"/>
                <w:color w:val="auto"/>
              </w:rPr>
              <w:t>3,495</w:t>
            </w:r>
          </w:p>
        </w:tc>
        <w:tc>
          <w:tcPr>
            <w:tcW w:w="5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Arial" w:cs="Arial" w:eastAsia="Arial" w:hAnsi="Arial"/>
                <w:sz w:val="17"/>
                <w:szCs w:val="17"/>
                <w:color w:val="auto"/>
              </w:rPr>
              <w:t>2,331</w:t>
            </w:r>
          </w:p>
        </w:tc>
        <w:tc>
          <w:tcPr>
            <w:tcW w:w="480" w:type="dxa"/>
            <w:vAlign w:val="bottom"/>
          </w:tcPr>
          <w:p>
            <w:pPr>
              <w:spacing w:after="0"/>
              <w:rPr>
                <w:sz w:val="24"/>
                <w:szCs w:val="24"/>
                <w:color w:val="auto"/>
              </w:rPr>
            </w:pPr>
          </w:p>
        </w:tc>
      </w:tr>
      <w:tr>
        <w:trPr>
          <w:trHeight w:val="104"/>
        </w:trPr>
        <w:tc>
          <w:tcPr>
            <w:tcW w:w="21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292"/>
        </w:trPr>
        <w:tc>
          <w:tcPr>
            <w:tcW w:w="21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Vikas Bhalla</w:t>
            </w:r>
          </w:p>
        </w:tc>
        <w:tc>
          <w:tcPr>
            <w:tcW w:w="2980" w:type="dxa"/>
            <w:vAlign w:val="bottom"/>
            <w:tcBorders>
              <w:right w:val="single" w:sz="8" w:color="auto"/>
            </w:tcBorders>
          </w:tcPr>
          <w:p>
            <w:pPr>
              <w:jc w:val="right"/>
              <w:ind w:right="453"/>
              <w:spacing w:after="0"/>
              <w:rPr>
                <w:sz w:val="20"/>
                <w:szCs w:val="20"/>
                <w:color w:val="auto"/>
              </w:rPr>
            </w:pPr>
            <w:r>
              <w:rPr>
                <w:rFonts w:ascii="Arial" w:cs="Arial" w:eastAsia="Arial" w:hAnsi="Arial"/>
                <w:sz w:val="17"/>
                <w:szCs w:val="17"/>
                <w:color w:val="auto"/>
              </w:rPr>
              <w:t>4,348</w:t>
            </w:r>
          </w:p>
        </w:tc>
        <w:tc>
          <w:tcPr>
            <w:tcW w:w="2720" w:type="dxa"/>
            <w:vAlign w:val="bottom"/>
          </w:tcPr>
          <w:p>
            <w:pPr>
              <w:jc w:val="right"/>
              <w:spacing w:after="0"/>
              <w:rPr>
                <w:sz w:val="20"/>
                <w:szCs w:val="20"/>
                <w:color w:val="auto"/>
              </w:rPr>
            </w:pPr>
            <w:r>
              <w:rPr>
                <w:rFonts w:ascii="Arial" w:cs="Arial" w:eastAsia="Arial" w:hAnsi="Arial"/>
                <w:sz w:val="17"/>
                <w:szCs w:val="17"/>
                <w:color w:val="auto"/>
              </w:rPr>
              <w:t>3,913</w:t>
            </w:r>
          </w:p>
        </w:tc>
        <w:tc>
          <w:tcPr>
            <w:tcW w:w="5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Arial" w:cs="Arial" w:eastAsia="Arial" w:hAnsi="Arial"/>
                <w:sz w:val="17"/>
                <w:szCs w:val="17"/>
                <w:color w:val="auto"/>
              </w:rPr>
              <w:t>2,609</w:t>
            </w:r>
          </w:p>
        </w:tc>
        <w:tc>
          <w:tcPr>
            <w:tcW w:w="480" w:type="dxa"/>
            <w:vAlign w:val="bottom"/>
          </w:tcPr>
          <w:p>
            <w:pPr>
              <w:spacing w:after="0"/>
              <w:rPr>
                <w:sz w:val="24"/>
                <w:szCs w:val="24"/>
                <w:color w:val="auto"/>
              </w:rPr>
            </w:pPr>
          </w:p>
        </w:tc>
      </w:tr>
      <w:tr>
        <w:trPr>
          <w:trHeight w:val="104"/>
        </w:trPr>
        <w:tc>
          <w:tcPr>
            <w:tcW w:w="21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292"/>
        </w:trPr>
        <w:tc>
          <w:tcPr>
            <w:tcW w:w="21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Vivek Jetley</w:t>
            </w:r>
          </w:p>
        </w:tc>
        <w:tc>
          <w:tcPr>
            <w:tcW w:w="2980" w:type="dxa"/>
            <w:vAlign w:val="bottom"/>
            <w:tcBorders>
              <w:right w:val="single" w:sz="8" w:color="auto"/>
            </w:tcBorders>
          </w:tcPr>
          <w:p>
            <w:pPr>
              <w:jc w:val="right"/>
              <w:ind w:right="453"/>
              <w:spacing w:after="0"/>
              <w:rPr>
                <w:sz w:val="20"/>
                <w:szCs w:val="20"/>
                <w:color w:val="auto"/>
              </w:rPr>
            </w:pPr>
            <w:r>
              <w:rPr>
                <w:rFonts w:ascii="Arial" w:cs="Arial" w:eastAsia="Arial" w:hAnsi="Arial"/>
                <w:sz w:val="17"/>
                <w:szCs w:val="17"/>
                <w:color w:val="auto"/>
              </w:rPr>
              <w:t>4,040</w:t>
            </w:r>
          </w:p>
        </w:tc>
        <w:tc>
          <w:tcPr>
            <w:tcW w:w="2720" w:type="dxa"/>
            <w:vAlign w:val="bottom"/>
          </w:tcPr>
          <w:p>
            <w:pPr>
              <w:jc w:val="right"/>
              <w:spacing w:after="0"/>
              <w:rPr>
                <w:sz w:val="20"/>
                <w:szCs w:val="20"/>
                <w:color w:val="auto"/>
              </w:rPr>
            </w:pPr>
            <w:r>
              <w:rPr>
                <w:rFonts w:ascii="Arial" w:cs="Arial" w:eastAsia="Arial" w:hAnsi="Arial"/>
                <w:sz w:val="17"/>
                <w:szCs w:val="17"/>
                <w:color w:val="auto"/>
              </w:rPr>
              <w:t>3,636</w:t>
            </w:r>
          </w:p>
        </w:tc>
        <w:tc>
          <w:tcPr>
            <w:tcW w:w="5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Arial" w:cs="Arial" w:eastAsia="Arial" w:hAnsi="Arial"/>
                <w:sz w:val="17"/>
                <w:szCs w:val="17"/>
                <w:color w:val="auto"/>
              </w:rPr>
              <w:t>2,424</w:t>
            </w:r>
          </w:p>
        </w:tc>
        <w:tc>
          <w:tcPr>
            <w:tcW w:w="480" w:type="dxa"/>
            <w:vAlign w:val="bottom"/>
          </w:tcPr>
          <w:p>
            <w:pPr>
              <w:spacing w:after="0"/>
              <w:rPr>
                <w:sz w:val="24"/>
                <w:szCs w:val="24"/>
                <w:color w:val="auto"/>
              </w:rPr>
            </w:pPr>
          </w:p>
        </w:tc>
      </w:tr>
      <w:tr>
        <w:trPr>
          <w:trHeight w:val="104"/>
        </w:trPr>
        <w:tc>
          <w:tcPr>
            <w:tcW w:w="21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292"/>
        </w:trPr>
        <w:tc>
          <w:tcPr>
            <w:tcW w:w="212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Ankor Rai</w:t>
            </w:r>
          </w:p>
        </w:tc>
        <w:tc>
          <w:tcPr>
            <w:tcW w:w="2980" w:type="dxa"/>
            <w:vAlign w:val="bottom"/>
            <w:tcBorders>
              <w:right w:val="single" w:sz="8" w:color="auto"/>
            </w:tcBorders>
          </w:tcPr>
          <w:p>
            <w:pPr>
              <w:jc w:val="right"/>
              <w:ind w:right="453"/>
              <w:spacing w:after="0"/>
              <w:rPr>
                <w:sz w:val="20"/>
                <w:szCs w:val="20"/>
                <w:color w:val="auto"/>
              </w:rPr>
            </w:pPr>
            <w:r>
              <w:rPr>
                <w:rFonts w:ascii="Arial" w:cs="Arial" w:eastAsia="Arial" w:hAnsi="Arial"/>
                <w:sz w:val="17"/>
                <w:szCs w:val="17"/>
                <w:color w:val="auto"/>
              </w:rPr>
              <w:t>3,108</w:t>
            </w:r>
          </w:p>
        </w:tc>
        <w:tc>
          <w:tcPr>
            <w:tcW w:w="2720" w:type="dxa"/>
            <w:vAlign w:val="bottom"/>
          </w:tcPr>
          <w:p>
            <w:pPr>
              <w:jc w:val="right"/>
              <w:spacing w:after="0"/>
              <w:rPr>
                <w:sz w:val="20"/>
                <w:szCs w:val="20"/>
                <w:color w:val="auto"/>
              </w:rPr>
            </w:pPr>
            <w:r>
              <w:rPr>
                <w:rFonts w:ascii="Arial" w:cs="Arial" w:eastAsia="Arial" w:hAnsi="Arial"/>
                <w:sz w:val="17"/>
                <w:szCs w:val="17"/>
                <w:color w:val="auto"/>
              </w:rPr>
              <w:t>2,797</w:t>
            </w:r>
          </w:p>
        </w:tc>
        <w:tc>
          <w:tcPr>
            <w:tcW w:w="56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Arial" w:cs="Arial" w:eastAsia="Arial" w:hAnsi="Arial"/>
                <w:sz w:val="17"/>
                <w:szCs w:val="17"/>
                <w:color w:val="auto"/>
              </w:rPr>
              <w:t>1,865</w:t>
            </w:r>
          </w:p>
        </w:tc>
        <w:tc>
          <w:tcPr>
            <w:tcW w:w="480" w:type="dxa"/>
            <w:vAlign w:val="bottom"/>
          </w:tcPr>
          <w:p>
            <w:pPr>
              <w:spacing w:after="0"/>
              <w:rPr>
                <w:sz w:val="24"/>
                <w:szCs w:val="24"/>
                <w:color w:val="auto"/>
              </w:rPr>
            </w:pPr>
          </w:p>
        </w:tc>
      </w:tr>
      <w:tr>
        <w:trPr>
          <w:trHeight w:val="110"/>
        </w:trPr>
        <w:tc>
          <w:tcPr>
            <w:tcW w:w="2120" w:type="dxa"/>
            <w:vAlign w:val="bottom"/>
            <w:tcBorders>
              <w:bottom w:val="single" w:sz="8" w:color="FB4E0B"/>
              <w:right w:val="single" w:sz="8" w:color="auto"/>
            </w:tcBorders>
          </w:tcPr>
          <w:p>
            <w:pPr>
              <w:spacing w:after="0"/>
              <w:rPr>
                <w:sz w:val="9"/>
                <w:szCs w:val="9"/>
                <w:color w:val="auto"/>
              </w:rPr>
            </w:pPr>
          </w:p>
        </w:tc>
        <w:tc>
          <w:tcPr>
            <w:tcW w:w="2980" w:type="dxa"/>
            <w:vAlign w:val="bottom"/>
            <w:tcBorders>
              <w:bottom w:val="single" w:sz="8" w:color="FB4E0B"/>
              <w:right w:val="single" w:sz="8" w:color="auto"/>
            </w:tcBorders>
          </w:tcPr>
          <w:p>
            <w:pPr>
              <w:spacing w:after="0"/>
              <w:rPr>
                <w:sz w:val="9"/>
                <w:szCs w:val="9"/>
                <w:color w:val="auto"/>
              </w:rPr>
            </w:pPr>
          </w:p>
        </w:tc>
        <w:tc>
          <w:tcPr>
            <w:tcW w:w="2720" w:type="dxa"/>
            <w:vAlign w:val="bottom"/>
            <w:tcBorders>
              <w:bottom w:val="single" w:sz="8" w:color="FB4E0B"/>
            </w:tcBorders>
          </w:tcPr>
          <w:p>
            <w:pPr>
              <w:spacing w:after="0"/>
              <w:rPr>
                <w:sz w:val="9"/>
                <w:szCs w:val="9"/>
                <w:color w:val="auto"/>
              </w:rPr>
            </w:pPr>
          </w:p>
        </w:tc>
        <w:tc>
          <w:tcPr>
            <w:tcW w:w="560" w:type="dxa"/>
            <w:vAlign w:val="bottom"/>
            <w:tcBorders>
              <w:bottom w:val="single" w:sz="8" w:color="FB4E0B"/>
              <w:right w:val="single" w:sz="8" w:color="auto"/>
            </w:tcBorders>
          </w:tcPr>
          <w:p>
            <w:pPr>
              <w:spacing w:after="0"/>
              <w:rPr>
                <w:sz w:val="9"/>
                <w:szCs w:val="9"/>
                <w:color w:val="auto"/>
              </w:rPr>
            </w:pPr>
          </w:p>
        </w:tc>
        <w:tc>
          <w:tcPr>
            <w:tcW w:w="1040" w:type="dxa"/>
            <w:vAlign w:val="bottom"/>
            <w:tcBorders>
              <w:bottom w:val="single" w:sz="8" w:color="FB4E0B"/>
            </w:tcBorders>
          </w:tcPr>
          <w:p>
            <w:pPr>
              <w:spacing w:after="0"/>
              <w:rPr>
                <w:sz w:val="9"/>
                <w:szCs w:val="9"/>
                <w:color w:val="auto"/>
              </w:rPr>
            </w:pPr>
          </w:p>
        </w:tc>
        <w:tc>
          <w:tcPr>
            <w:tcW w:w="720" w:type="dxa"/>
            <w:vAlign w:val="bottom"/>
            <w:tcBorders>
              <w:bottom w:val="single" w:sz="8" w:color="FB4E0B"/>
            </w:tcBorders>
          </w:tcPr>
          <w:p>
            <w:pPr>
              <w:spacing w:after="0"/>
              <w:rPr>
                <w:sz w:val="9"/>
                <w:szCs w:val="9"/>
                <w:color w:val="auto"/>
              </w:rPr>
            </w:pPr>
          </w:p>
        </w:tc>
        <w:tc>
          <w:tcPr>
            <w:tcW w:w="480" w:type="dxa"/>
            <w:vAlign w:val="bottom"/>
            <w:tcBorders>
              <w:bottom w:val="single" w:sz="8" w:color="FB4E0B"/>
            </w:tcBorders>
          </w:tcPr>
          <w:p>
            <w:pPr>
              <w:spacing w:after="0"/>
              <w:rPr>
                <w:sz w:val="9"/>
                <w:szCs w:val="9"/>
                <w:color w:val="auto"/>
              </w:rPr>
            </w:pPr>
          </w:p>
        </w:tc>
      </w:tr>
      <w:tr>
        <w:trPr>
          <w:trHeight w:val="628"/>
        </w:trPr>
        <w:tc>
          <w:tcPr>
            <w:tcW w:w="2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color w:val="auto"/>
                <w:w w:val="99"/>
              </w:rPr>
              <w:t>EXL 2023 Proxy Statement</w:t>
            </w:r>
          </w:p>
        </w:tc>
        <w:tc>
          <w:tcPr>
            <w:tcW w:w="720" w:type="dxa"/>
            <w:vAlign w:val="bottom"/>
          </w:tcPr>
          <w:p>
            <w:pPr>
              <w:jc w:val="right"/>
              <w:ind w:right="105"/>
              <w:spacing w:after="0"/>
              <w:rPr>
                <w:sz w:val="20"/>
                <w:szCs w:val="20"/>
                <w:color w:val="auto"/>
              </w:rPr>
            </w:pPr>
            <w:r>
              <w:rPr>
                <w:rFonts w:ascii="Arial" w:cs="Arial" w:eastAsia="Arial" w:hAnsi="Arial"/>
                <w:sz w:val="28"/>
                <w:szCs w:val="28"/>
                <w:b w:val="1"/>
                <w:bCs w:val="1"/>
                <w:color w:val="FB4E0B"/>
              </w:rPr>
              <w:t>/</w:t>
            </w:r>
          </w:p>
        </w:tc>
        <w:tc>
          <w:tcPr>
            <w:tcW w:w="480" w:type="dxa"/>
            <w:vAlign w:val="bottom"/>
          </w:tcPr>
          <w:p>
            <w:pPr>
              <w:jc w:val="right"/>
              <w:ind w:right="113"/>
              <w:spacing w:after="0"/>
              <w:rPr>
                <w:sz w:val="20"/>
                <w:szCs w:val="20"/>
                <w:color w:val="auto"/>
              </w:rPr>
            </w:pPr>
            <w:r>
              <w:rPr>
                <w:rFonts w:ascii="Arial" w:cs="Arial" w:eastAsia="Arial" w:hAnsi="Arial"/>
                <w:sz w:val="17"/>
                <w:szCs w:val="17"/>
                <w:b w:val="1"/>
                <w:bCs w:val="1"/>
                <w:color w:val="auto"/>
              </w:rPr>
              <w:t>81</w:t>
            </w:r>
          </w:p>
        </w:tc>
      </w:tr>
    </w:tbl>
    <w:p>
      <w:pPr>
        <w:sectPr>
          <w:pgSz w:w="11900" w:h="16838" w:orient="portrait"/>
          <w:cols w:equalWidth="0" w:num="1">
            <w:col w:w="10940"/>
          </w:cols>
          <w:pgMar w:left="320" w:top="473" w:right="6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1140" w:right="460" w:hanging="407"/>
        <w:spacing w:after="0" w:line="286"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“Time-Vested RSUs” will vest in increments of 25% on each of the first four anniversaries of the grant date, subject to continuous service with the Company through the applicable vesting date.</w:t>
      </w:r>
    </w:p>
    <w:p>
      <w:pPr>
        <w:spacing w:after="0" w:line="67" w:lineRule="exact"/>
        <w:rPr>
          <w:rFonts w:ascii="Arial" w:cs="Arial" w:eastAsia="Arial" w:hAnsi="Arial"/>
          <w:sz w:val="17"/>
          <w:szCs w:val="17"/>
          <w:color w:val="auto"/>
        </w:rPr>
      </w:pPr>
    </w:p>
    <w:p>
      <w:pPr>
        <w:ind w:left="1580" w:right="380" w:hanging="416"/>
        <w:spacing w:after="0" w:line="286" w:lineRule="auto"/>
        <w:rPr>
          <w:rFonts w:ascii="Arial" w:cs="Arial" w:eastAsia="Arial" w:hAnsi="Arial"/>
          <w:sz w:val="17"/>
          <w:szCs w:val="17"/>
          <w:color w:val="auto"/>
        </w:rPr>
      </w:pPr>
      <w:r>
        <w:rPr>
          <w:rFonts w:ascii="Arial" w:cs="Arial" w:eastAsia="Arial" w:hAnsi="Arial"/>
          <w:sz w:val="17"/>
          <w:szCs w:val="17"/>
          <w:color w:val="auto"/>
        </w:rPr>
        <w:t>–The Compensation and Talent Management Committee believes these Time-Vested RSUs provide an important role in promoting retention of our executive officers.</w:t>
      </w:r>
    </w:p>
    <w:p>
      <w:pPr>
        <w:spacing w:after="0" w:line="67" w:lineRule="exact"/>
        <w:rPr>
          <w:rFonts w:ascii="Arial" w:cs="Arial" w:eastAsia="Arial" w:hAnsi="Arial"/>
          <w:sz w:val="17"/>
          <w:szCs w:val="17"/>
          <w:color w:val="auto"/>
        </w:rPr>
      </w:pPr>
    </w:p>
    <w:p>
      <w:pPr>
        <w:ind w:left="1140" w:right="480" w:hanging="407"/>
        <w:spacing w:after="0" w:line="286"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“Performance-Vested” portion of the 2022 RSUs (“PRSUs”) are split into two types that each vest based on separate performance measures as follows:</w:t>
      </w:r>
    </w:p>
    <w:p>
      <w:pPr>
        <w:spacing w:after="0" w:line="61" w:lineRule="exact"/>
        <w:rPr>
          <w:rFonts w:ascii="Arial" w:cs="Arial" w:eastAsia="Arial" w:hAnsi="Arial"/>
          <w:sz w:val="17"/>
          <w:szCs w:val="17"/>
          <w:color w:val="auto"/>
        </w:rPr>
      </w:pPr>
    </w:p>
    <w:p>
      <w:pPr>
        <w:ind w:left="1580" w:right="40" w:hanging="416"/>
        <w:spacing w:after="0" w:line="280"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b w:val="1"/>
          <w:bCs w:val="1"/>
          <w:color w:val="auto"/>
        </w:rPr>
        <w:t xml:space="preserve">Revenue-Linked PRSUs: </w:t>
      </w:r>
      <w:r>
        <w:rPr>
          <w:rFonts w:ascii="Arial" w:cs="Arial" w:eastAsia="Arial" w:hAnsi="Arial"/>
          <w:sz w:val="16"/>
          <w:szCs w:val="16"/>
          <w:color w:val="auto"/>
        </w:rPr>
        <w:t>40% of these performance-based restricted stock unit awards will cliff-vest on December 31 of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in the performance period, subject to achievement of threshold Company revenues against an aggregate revenue target over the grant’s three-year performance period of January 1, 2022, to December 31, 2024, and continuous employment through December 31, 2024 — we call these awards “Revenue-Linked PRSUs.” The ultimate amount of Revenue-Linked PRSUs that a recipient earns may be up to 200% of the target award of Revenue-Linked RSUs. To the extent the Company’s revenue falls in between the outlined target achievements, the percentage of Revenue-Based RSUs earned will be determined based on straight line interpolation. The chart below sets forth the revenue target achievement thresholds and corresponding funding percentage:</w:t>
      </w:r>
    </w:p>
    <w:p>
      <w:pPr>
        <w:spacing w:after="0" w:line="189"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4300" w:type="dxa"/>
            <w:vAlign w:val="bottom"/>
          </w:tcPr>
          <w:p>
            <w:pPr>
              <w:jc w:val="center"/>
              <w:ind w:left="1833"/>
              <w:spacing w:after="0"/>
              <w:rPr>
                <w:sz w:val="20"/>
                <w:szCs w:val="20"/>
                <w:color w:val="auto"/>
              </w:rPr>
            </w:pPr>
            <w:r>
              <w:rPr>
                <w:rFonts w:ascii="Arial" w:cs="Arial" w:eastAsia="Arial" w:hAnsi="Arial"/>
                <w:sz w:val="17"/>
                <w:szCs w:val="17"/>
                <w:b w:val="1"/>
                <w:bCs w:val="1"/>
                <w:color w:val="FB4E0B"/>
                <w:w w:val="89"/>
              </w:rPr>
              <w:t>Percentage of Revenue-</w:t>
            </w:r>
          </w:p>
        </w:tc>
      </w:tr>
      <w:tr>
        <w:trPr>
          <w:trHeight w:val="227"/>
        </w:trPr>
        <w:tc>
          <w:tcPr>
            <w:tcW w:w="5040" w:type="dxa"/>
            <w:vAlign w:val="bottom"/>
          </w:tcPr>
          <w:p>
            <w:pPr>
              <w:jc w:val="center"/>
              <w:spacing w:after="0"/>
              <w:rPr>
                <w:sz w:val="20"/>
                <w:szCs w:val="20"/>
                <w:color w:val="auto"/>
              </w:rPr>
            </w:pPr>
            <w:r>
              <w:rPr>
                <w:rFonts w:ascii="Arial" w:cs="Arial" w:eastAsia="Arial" w:hAnsi="Arial"/>
                <w:sz w:val="17"/>
                <w:szCs w:val="17"/>
                <w:b w:val="1"/>
                <w:bCs w:val="1"/>
                <w:color w:val="FB4E0B"/>
                <w:w w:val="91"/>
              </w:rPr>
              <w:t>Revenue target achievement</w:t>
            </w:r>
          </w:p>
        </w:tc>
        <w:tc>
          <w:tcPr>
            <w:tcW w:w="4300" w:type="dxa"/>
            <w:vAlign w:val="bottom"/>
          </w:tcPr>
          <w:p>
            <w:pPr>
              <w:jc w:val="center"/>
              <w:ind w:left="1853"/>
              <w:spacing w:after="0"/>
              <w:rPr>
                <w:sz w:val="20"/>
                <w:szCs w:val="20"/>
                <w:color w:val="auto"/>
              </w:rPr>
            </w:pPr>
            <w:r>
              <w:rPr>
                <w:rFonts w:ascii="Arial" w:cs="Arial" w:eastAsia="Arial" w:hAnsi="Arial"/>
                <w:sz w:val="17"/>
                <w:szCs w:val="17"/>
                <w:b w:val="1"/>
                <w:bCs w:val="1"/>
                <w:color w:val="FB4E0B"/>
                <w:w w:val="92"/>
              </w:rPr>
              <w:t>Linked PRSUs earned</w:t>
            </w:r>
          </w:p>
        </w:tc>
      </w:tr>
      <w:tr>
        <w:trPr>
          <w:trHeight w:val="32"/>
        </w:trPr>
        <w:tc>
          <w:tcPr>
            <w:tcW w:w="5040" w:type="dxa"/>
            <w:vAlign w:val="bottom"/>
            <w:tcBorders>
              <w:bottom w:val="single" w:sz="8" w:color="FB4E0B"/>
            </w:tcBorders>
          </w:tcPr>
          <w:p>
            <w:pPr>
              <w:spacing w:after="0"/>
              <w:rPr>
                <w:sz w:val="2"/>
                <w:szCs w:val="2"/>
                <w:color w:val="auto"/>
              </w:rPr>
            </w:pPr>
          </w:p>
        </w:tc>
        <w:tc>
          <w:tcPr>
            <w:tcW w:w="4300" w:type="dxa"/>
            <w:vAlign w:val="bottom"/>
            <w:tcBorders>
              <w:bottom w:val="single" w:sz="8" w:color="FB4E0B"/>
            </w:tcBorders>
          </w:tcPr>
          <w:p>
            <w:pPr>
              <w:spacing w:after="0"/>
              <w:rPr>
                <w:sz w:val="2"/>
                <w:szCs w:val="2"/>
                <w:color w:val="auto"/>
              </w:rPr>
            </w:pPr>
          </w:p>
        </w:tc>
      </w:tr>
      <w:tr>
        <w:trPr>
          <w:trHeight w:val="325"/>
        </w:trPr>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110% or more</w:t>
            </w:r>
          </w:p>
        </w:tc>
        <w:tc>
          <w:tcPr>
            <w:tcW w:w="4300" w:type="dxa"/>
            <w:vAlign w:val="bottom"/>
          </w:tcPr>
          <w:p>
            <w:pPr>
              <w:jc w:val="center"/>
              <w:ind w:left="1853"/>
              <w:spacing w:after="0"/>
              <w:rPr>
                <w:sz w:val="20"/>
                <w:szCs w:val="20"/>
                <w:color w:val="auto"/>
              </w:rPr>
            </w:pPr>
            <w:r>
              <w:rPr>
                <w:rFonts w:ascii="Arial" w:cs="Arial" w:eastAsia="Arial" w:hAnsi="Arial"/>
                <w:sz w:val="17"/>
                <w:szCs w:val="17"/>
                <w:color w:val="auto"/>
                <w:w w:val="91"/>
              </w:rPr>
              <w:t>200%</w:t>
            </w:r>
          </w:p>
        </w:tc>
      </w:tr>
      <w:tr>
        <w:trPr>
          <w:trHeight w:val="104"/>
        </w:trPr>
        <w:tc>
          <w:tcPr>
            <w:tcW w:w="5040" w:type="dxa"/>
            <w:vAlign w:val="bottom"/>
            <w:tcBorders>
              <w:bottom w:val="single" w:sz="8" w:color="auto"/>
              <w:right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r>
      <w:tr>
        <w:trPr>
          <w:trHeight w:val="292"/>
        </w:trPr>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At 100%</w:t>
            </w:r>
          </w:p>
        </w:tc>
        <w:tc>
          <w:tcPr>
            <w:tcW w:w="4300" w:type="dxa"/>
            <w:vAlign w:val="bottom"/>
          </w:tcPr>
          <w:p>
            <w:pPr>
              <w:jc w:val="center"/>
              <w:ind w:left="1853"/>
              <w:spacing w:after="0"/>
              <w:rPr>
                <w:sz w:val="20"/>
                <w:szCs w:val="20"/>
                <w:color w:val="auto"/>
              </w:rPr>
            </w:pPr>
            <w:r>
              <w:rPr>
                <w:rFonts w:ascii="Arial" w:cs="Arial" w:eastAsia="Arial" w:hAnsi="Arial"/>
                <w:sz w:val="17"/>
                <w:szCs w:val="17"/>
                <w:color w:val="auto"/>
                <w:w w:val="91"/>
              </w:rPr>
              <w:t>100%</w:t>
            </w:r>
          </w:p>
        </w:tc>
      </w:tr>
      <w:tr>
        <w:trPr>
          <w:trHeight w:val="104"/>
        </w:trPr>
        <w:tc>
          <w:tcPr>
            <w:tcW w:w="5040" w:type="dxa"/>
            <w:vAlign w:val="bottom"/>
            <w:tcBorders>
              <w:bottom w:val="single" w:sz="8" w:color="auto"/>
              <w:right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r>
      <w:tr>
        <w:trPr>
          <w:trHeight w:val="292"/>
        </w:trPr>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90%</w:t>
            </w:r>
          </w:p>
        </w:tc>
        <w:tc>
          <w:tcPr>
            <w:tcW w:w="4300" w:type="dxa"/>
            <w:vAlign w:val="bottom"/>
          </w:tcPr>
          <w:p>
            <w:pPr>
              <w:jc w:val="center"/>
              <w:ind w:left="1853"/>
              <w:spacing w:after="0"/>
              <w:rPr>
                <w:sz w:val="20"/>
                <w:szCs w:val="20"/>
                <w:color w:val="auto"/>
              </w:rPr>
            </w:pPr>
            <w:r>
              <w:rPr>
                <w:rFonts w:ascii="Arial" w:cs="Arial" w:eastAsia="Arial" w:hAnsi="Arial"/>
                <w:sz w:val="17"/>
                <w:szCs w:val="17"/>
                <w:color w:val="auto"/>
                <w:w w:val="93"/>
              </w:rPr>
              <w:t>25%</w:t>
            </w:r>
          </w:p>
        </w:tc>
      </w:tr>
      <w:tr>
        <w:trPr>
          <w:trHeight w:val="110"/>
        </w:trPr>
        <w:tc>
          <w:tcPr>
            <w:tcW w:w="5040" w:type="dxa"/>
            <w:vAlign w:val="bottom"/>
            <w:tcBorders>
              <w:bottom w:val="single" w:sz="8" w:color="FB4E0B"/>
              <w:right w:val="single" w:sz="8" w:color="auto"/>
            </w:tcBorders>
          </w:tcPr>
          <w:p>
            <w:pPr>
              <w:spacing w:after="0"/>
              <w:rPr>
                <w:sz w:val="9"/>
                <w:szCs w:val="9"/>
                <w:color w:val="auto"/>
              </w:rPr>
            </w:pPr>
          </w:p>
        </w:tc>
        <w:tc>
          <w:tcPr>
            <w:tcW w:w="4300" w:type="dxa"/>
            <w:vAlign w:val="bottom"/>
            <w:tcBorders>
              <w:bottom w:val="single" w:sz="8" w:color="FB4E0B"/>
            </w:tcBorders>
          </w:tcPr>
          <w:p>
            <w:pPr>
              <w:spacing w:after="0"/>
              <w:rPr>
                <w:sz w:val="9"/>
                <w:szCs w:val="9"/>
                <w:color w:val="auto"/>
              </w:rPr>
            </w:pPr>
          </w:p>
        </w:tc>
      </w:tr>
    </w:tbl>
    <w:p>
      <w:pPr>
        <w:spacing w:after="0" w:line="112" w:lineRule="exact"/>
        <w:rPr>
          <w:sz w:val="20"/>
          <w:szCs w:val="20"/>
          <w:color w:val="auto"/>
        </w:rPr>
      </w:pPr>
    </w:p>
    <w:p>
      <w:pPr>
        <w:ind w:left="1580" w:right="40" w:hanging="41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6"/>
          <w:szCs w:val="16"/>
          <w:b w:val="1"/>
          <w:bCs w:val="1"/>
          <w:color w:val="auto"/>
        </w:rPr>
        <w:t xml:space="preserve">Relative TSR-Linked PRSUs: </w:t>
      </w:r>
      <w:r>
        <w:rPr>
          <w:rFonts w:ascii="Arial" w:cs="Arial" w:eastAsia="Arial" w:hAnsi="Arial"/>
          <w:sz w:val="16"/>
          <w:szCs w:val="16"/>
          <w:color w:val="auto"/>
        </w:rPr>
        <w:t>The remaining 60% of the performance-based restricted stock unit awards cliff-vests on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third fiscal year in the performance period, based on the achievement of relative total stockholder return performance of the Company against a performance peer group over the grant’s three-year performance period of January 1, 2022, to December 31, 2024, and continuous employment through December 31, 2024 — we call these awards “Relative TSR-Linked PRSUs.” The Company’s TSR for the TSR performance period will be computed and then compared to the TSR of the companies in the “performance peer group,” which is comprised of the public companies traded on either the NYSE or NASDAQ stock markets in our 8-digit Global Industry Classification Standard sub-industry group. This comparator set is more appropriate than the compensation peer group for this purpose as it provides a more robust comparison of our performance to the marketplace by the inclusion of more companies and eliminating size as a selection criterion, which is more relevant for compensation than performance comparison. For the Relative TSR-Linked PRSUs granted in 2022, the Company included a negative TSR cap. Under the negative TSR cap, if the total stockholder return is negative over the course of the three-year performance period, no named executive officer may receive greater than 100% funding of the TSR-Linked PRSUs.</w:t>
      </w:r>
    </w:p>
    <w:p>
      <w:pPr>
        <w:spacing w:after="0" w:line="88"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percentage of Relative TSR-Linked PRSUs earned will be determined based on straight-line interpolation to the extent the</w:t>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Company’s TSR falls in between the 20th and 80th percentiles, as per the chart below:</w:t>
      </w:r>
    </w:p>
    <w:p>
      <w:pPr>
        <w:spacing w:after="0" w:line="228"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4080" w:type="dxa"/>
            <w:vAlign w:val="bottom"/>
          </w:tcPr>
          <w:p>
            <w:pPr>
              <w:jc w:val="center"/>
              <w:spacing w:after="0"/>
              <w:rPr>
                <w:sz w:val="20"/>
                <w:szCs w:val="20"/>
                <w:color w:val="auto"/>
              </w:rPr>
            </w:pPr>
            <w:r>
              <w:rPr>
                <w:rFonts w:ascii="Arial" w:cs="Arial" w:eastAsia="Arial" w:hAnsi="Arial"/>
                <w:sz w:val="17"/>
                <w:szCs w:val="17"/>
                <w:b w:val="1"/>
                <w:bCs w:val="1"/>
                <w:color w:val="FB4E0B"/>
                <w:w w:val="92"/>
              </w:rPr>
              <w:t>TSR peer group percentile</w:t>
            </w:r>
          </w:p>
        </w:tc>
        <w:tc>
          <w:tcPr>
            <w:tcW w:w="5260" w:type="dxa"/>
            <w:vAlign w:val="bottom"/>
          </w:tcPr>
          <w:p>
            <w:pPr>
              <w:ind w:left="1520"/>
              <w:spacing w:after="0"/>
              <w:rPr>
                <w:sz w:val="20"/>
                <w:szCs w:val="20"/>
                <w:color w:val="auto"/>
              </w:rPr>
            </w:pPr>
            <w:r>
              <w:rPr>
                <w:rFonts w:ascii="Arial" w:cs="Arial" w:eastAsia="Arial" w:hAnsi="Arial"/>
                <w:sz w:val="17"/>
                <w:szCs w:val="17"/>
                <w:b w:val="1"/>
                <w:bCs w:val="1"/>
                <w:color w:val="FB4E0B"/>
                <w:w w:val="92"/>
              </w:rPr>
              <w:t>Percentage of Relative TSR-Linked PRSUs earned</w:t>
            </w:r>
          </w:p>
        </w:tc>
      </w:tr>
      <w:tr>
        <w:trPr>
          <w:trHeight w:val="32"/>
        </w:trPr>
        <w:tc>
          <w:tcPr>
            <w:tcW w:w="4080" w:type="dxa"/>
            <w:vAlign w:val="bottom"/>
            <w:tcBorders>
              <w:bottom w:val="single" w:sz="8" w:color="FB4E0B"/>
            </w:tcBorders>
          </w:tcPr>
          <w:p>
            <w:pPr>
              <w:spacing w:after="0"/>
              <w:rPr>
                <w:sz w:val="2"/>
                <w:szCs w:val="2"/>
                <w:color w:val="auto"/>
              </w:rPr>
            </w:pPr>
          </w:p>
        </w:tc>
        <w:tc>
          <w:tcPr>
            <w:tcW w:w="5260" w:type="dxa"/>
            <w:vAlign w:val="bottom"/>
            <w:tcBorders>
              <w:bottom w:val="single" w:sz="8" w:color="FB4E0B"/>
            </w:tcBorders>
          </w:tcPr>
          <w:p>
            <w:pPr>
              <w:spacing w:after="0"/>
              <w:rPr>
                <w:sz w:val="2"/>
                <w:szCs w:val="2"/>
                <w:color w:val="auto"/>
              </w:rPr>
            </w:pPr>
          </w:p>
        </w:tc>
      </w:tr>
      <w:tr>
        <w:trPr>
          <w:trHeight w:val="325"/>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80.0 or more</w:t>
            </w:r>
          </w:p>
        </w:tc>
        <w:tc>
          <w:tcPr>
            <w:tcW w:w="5260" w:type="dxa"/>
            <w:vAlign w:val="bottom"/>
          </w:tcPr>
          <w:p>
            <w:pPr>
              <w:jc w:val="center"/>
              <w:ind w:left="1413"/>
              <w:spacing w:after="0"/>
              <w:rPr>
                <w:sz w:val="20"/>
                <w:szCs w:val="20"/>
                <w:color w:val="auto"/>
              </w:rPr>
            </w:pPr>
            <w:r>
              <w:rPr>
                <w:rFonts w:ascii="Arial" w:cs="Arial" w:eastAsia="Arial" w:hAnsi="Arial"/>
                <w:sz w:val="17"/>
                <w:szCs w:val="17"/>
                <w:color w:val="auto"/>
                <w:w w:val="91"/>
              </w:rPr>
              <w:t>200%</w:t>
            </w:r>
          </w:p>
        </w:tc>
      </w:tr>
      <w:tr>
        <w:trPr>
          <w:trHeight w:val="104"/>
        </w:trPr>
        <w:tc>
          <w:tcPr>
            <w:tcW w:w="4080" w:type="dxa"/>
            <w:vAlign w:val="bottom"/>
            <w:tcBorders>
              <w:bottom w:val="single" w:sz="8" w:color="auto"/>
              <w:right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r>
      <w:tr>
        <w:trPr>
          <w:trHeight w:val="292"/>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65.0</w:t>
            </w:r>
          </w:p>
        </w:tc>
        <w:tc>
          <w:tcPr>
            <w:tcW w:w="5260" w:type="dxa"/>
            <w:vAlign w:val="bottom"/>
          </w:tcPr>
          <w:p>
            <w:pPr>
              <w:jc w:val="center"/>
              <w:ind w:left="1413"/>
              <w:spacing w:after="0"/>
              <w:rPr>
                <w:sz w:val="20"/>
                <w:szCs w:val="20"/>
                <w:color w:val="auto"/>
              </w:rPr>
            </w:pPr>
            <w:r>
              <w:rPr>
                <w:rFonts w:ascii="Arial" w:cs="Arial" w:eastAsia="Arial" w:hAnsi="Arial"/>
                <w:sz w:val="17"/>
                <w:szCs w:val="17"/>
                <w:color w:val="auto"/>
                <w:w w:val="91"/>
              </w:rPr>
              <w:t>150%</w:t>
            </w:r>
          </w:p>
        </w:tc>
      </w:tr>
      <w:tr>
        <w:trPr>
          <w:trHeight w:val="104"/>
        </w:trPr>
        <w:tc>
          <w:tcPr>
            <w:tcW w:w="4080" w:type="dxa"/>
            <w:vAlign w:val="bottom"/>
            <w:tcBorders>
              <w:bottom w:val="single" w:sz="8" w:color="auto"/>
              <w:right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r>
      <w:tr>
        <w:trPr>
          <w:trHeight w:val="292"/>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50.0</w:t>
            </w:r>
          </w:p>
        </w:tc>
        <w:tc>
          <w:tcPr>
            <w:tcW w:w="5260" w:type="dxa"/>
            <w:vAlign w:val="bottom"/>
          </w:tcPr>
          <w:p>
            <w:pPr>
              <w:jc w:val="center"/>
              <w:ind w:left="1413"/>
              <w:spacing w:after="0"/>
              <w:rPr>
                <w:sz w:val="20"/>
                <w:szCs w:val="20"/>
                <w:color w:val="auto"/>
              </w:rPr>
            </w:pPr>
            <w:r>
              <w:rPr>
                <w:rFonts w:ascii="Arial" w:cs="Arial" w:eastAsia="Arial" w:hAnsi="Arial"/>
                <w:sz w:val="17"/>
                <w:szCs w:val="17"/>
                <w:color w:val="auto"/>
                <w:w w:val="91"/>
              </w:rPr>
              <w:t>100%</w:t>
            </w:r>
          </w:p>
        </w:tc>
      </w:tr>
      <w:tr>
        <w:trPr>
          <w:trHeight w:val="104"/>
        </w:trPr>
        <w:tc>
          <w:tcPr>
            <w:tcW w:w="4080" w:type="dxa"/>
            <w:vAlign w:val="bottom"/>
            <w:tcBorders>
              <w:bottom w:val="single" w:sz="8" w:color="auto"/>
              <w:right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r>
      <w:tr>
        <w:trPr>
          <w:trHeight w:val="292"/>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35.0</w:t>
            </w:r>
          </w:p>
        </w:tc>
        <w:tc>
          <w:tcPr>
            <w:tcW w:w="5260" w:type="dxa"/>
            <w:vAlign w:val="bottom"/>
          </w:tcPr>
          <w:p>
            <w:pPr>
              <w:jc w:val="center"/>
              <w:ind w:left="1413"/>
              <w:spacing w:after="0"/>
              <w:rPr>
                <w:sz w:val="20"/>
                <w:szCs w:val="20"/>
                <w:color w:val="auto"/>
              </w:rPr>
            </w:pPr>
            <w:r>
              <w:rPr>
                <w:rFonts w:ascii="Arial" w:cs="Arial" w:eastAsia="Arial" w:hAnsi="Arial"/>
                <w:sz w:val="17"/>
                <w:szCs w:val="17"/>
                <w:color w:val="auto"/>
                <w:w w:val="93"/>
              </w:rPr>
              <w:t>50%</w:t>
            </w:r>
          </w:p>
        </w:tc>
      </w:tr>
      <w:tr>
        <w:trPr>
          <w:trHeight w:val="104"/>
        </w:trPr>
        <w:tc>
          <w:tcPr>
            <w:tcW w:w="4080" w:type="dxa"/>
            <w:vAlign w:val="bottom"/>
            <w:tcBorders>
              <w:bottom w:val="single" w:sz="8" w:color="auto"/>
              <w:right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r>
      <w:tr>
        <w:trPr>
          <w:trHeight w:val="292"/>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20.0 or less</w:t>
            </w:r>
          </w:p>
        </w:tc>
        <w:tc>
          <w:tcPr>
            <w:tcW w:w="5260" w:type="dxa"/>
            <w:vAlign w:val="bottom"/>
          </w:tcPr>
          <w:p>
            <w:pPr>
              <w:jc w:val="center"/>
              <w:ind w:left="1413"/>
              <w:spacing w:after="0"/>
              <w:rPr>
                <w:sz w:val="20"/>
                <w:szCs w:val="20"/>
                <w:color w:val="auto"/>
              </w:rPr>
            </w:pPr>
            <w:r>
              <w:rPr>
                <w:rFonts w:ascii="Arial" w:cs="Arial" w:eastAsia="Arial" w:hAnsi="Arial"/>
                <w:sz w:val="17"/>
                <w:szCs w:val="17"/>
                <w:color w:val="auto"/>
                <w:w w:val="97"/>
              </w:rPr>
              <w:t>0%</w:t>
            </w:r>
          </w:p>
        </w:tc>
      </w:tr>
      <w:tr>
        <w:trPr>
          <w:trHeight w:val="110"/>
        </w:trPr>
        <w:tc>
          <w:tcPr>
            <w:tcW w:w="4080" w:type="dxa"/>
            <w:vAlign w:val="bottom"/>
            <w:tcBorders>
              <w:bottom w:val="single" w:sz="8" w:color="FB4E0B"/>
              <w:right w:val="single" w:sz="8" w:color="auto"/>
            </w:tcBorders>
          </w:tcPr>
          <w:p>
            <w:pPr>
              <w:spacing w:after="0"/>
              <w:rPr>
                <w:sz w:val="9"/>
                <w:szCs w:val="9"/>
                <w:color w:val="auto"/>
              </w:rPr>
            </w:pPr>
          </w:p>
        </w:tc>
        <w:tc>
          <w:tcPr>
            <w:tcW w:w="5260" w:type="dxa"/>
            <w:vAlign w:val="bottom"/>
            <w:tcBorders>
              <w:bottom w:val="single" w:sz="8" w:color="FB4E0B"/>
            </w:tcBorders>
          </w:tcPr>
          <w:p>
            <w:pPr>
              <w:spacing w:after="0"/>
              <w:rPr>
                <w:sz w:val="9"/>
                <w:szCs w:val="9"/>
                <w:color w:val="auto"/>
              </w:rPr>
            </w:pPr>
          </w:p>
        </w:tc>
      </w:tr>
    </w:tbl>
    <w:p>
      <w:pPr>
        <w:spacing w:after="0" w:line="352" w:lineRule="exact"/>
        <w:rPr>
          <w:sz w:val="20"/>
          <w:szCs w:val="20"/>
          <w:color w:val="auto"/>
        </w:rPr>
      </w:pPr>
    </w:p>
    <w:p>
      <w:pPr>
        <w:ind w:left="1580" w:right="300" w:hanging="416"/>
        <w:spacing w:after="0" w:line="286" w:lineRule="auto"/>
        <w:rPr>
          <w:sz w:val="20"/>
          <w:szCs w:val="20"/>
          <w:color w:val="auto"/>
        </w:rPr>
      </w:pPr>
      <w:r>
        <w:rPr>
          <w:rFonts w:ascii="Arial" w:cs="Arial" w:eastAsia="Arial" w:hAnsi="Arial"/>
          <w:sz w:val="17"/>
          <w:szCs w:val="17"/>
          <w:color w:val="auto"/>
        </w:rPr>
        <w:t>–The Compensation and Talent Management Committee believes the PRSUs focus our executives on key drivers of our Company’s business that will ultimately lead to creation of additional stockholder value.</w:t>
      </w:r>
    </w:p>
    <w:p>
      <w:pPr>
        <w:spacing w:after="0" w:line="159" w:lineRule="exact"/>
        <w:rPr>
          <w:sz w:val="20"/>
          <w:szCs w:val="20"/>
          <w:color w:val="auto"/>
        </w:rPr>
      </w:pPr>
    </w:p>
    <w:p>
      <w:pPr>
        <w:ind w:left="320" w:right="20"/>
        <w:spacing w:after="0" w:line="275" w:lineRule="auto"/>
        <w:rPr>
          <w:sz w:val="20"/>
          <w:szCs w:val="20"/>
          <w:color w:val="auto"/>
        </w:rPr>
      </w:pPr>
      <w:r>
        <w:rPr>
          <w:rFonts w:ascii="Arial" w:cs="Arial" w:eastAsia="Arial" w:hAnsi="Arial"/>
          <w:sz w:val="16"/>
          <w:szCs w:val="16"/>
          <w:color w:val="auto"/>
        </w:rPr>
        <w:t>In 2022, we also adopted a Share Matching Program (“SMP”) under the 2018 Plan to promote long-term ownership and alignment of executive and stockholder interest. The SMP generally entitles a participant to one restricted stock unit for every share of Company common stock newly acquired and held by the participant during a specified acquisition period, up to a pre-established maximum of $500,000. For purposes of the match, “newly acquired shares” includes the employee’s first quarter 2022 open market purchases of our common stock, and/or, to the extent elected by the employee, the after-tax value of equity vesting in the first quarter 2022, in an amount between $100,000 to $500,000 per such employee. In general, as long as a participant continues to hold his or her newly acquired shares and remains employed with the Company, the associated restricted stock units received will cliff vest in two installments with one-third vesting on the second anniversary of the grant date and the remaining two-thirds vesting on the third anniversary of the grant date. In addition, each award agreement requires the executive to hold any shares of Company stock acquired under the SMP for a period of two years following the applicable settlement date. Accordingly, participation in the SMP ties the executive’s compensation to the Company’s stock performance for a total of five years. The SMP is designed to encourage key executives to acquire a larger equity ownership interest (up to an additional $1 million of stock value that effectively must be held for five years) in the Company, thereby further aligning the interests of these key executives with the interest of stockholders.</w:t>
      </w:r>
    </w:p>
    <w:p>
      <w:pPr>
        <w:spacing w:after="0" w:line="176" w:lineRule="exact"/>
        <w:rPr>
          <w:sz w:val="20"/>
          <w:szCs w:val="20"/>
          <w:color w:val="auto"/>
        </w:rPr>
      </w:pPr>
    </w:p>
    <w:p>
      <w:pPr>
        <w:ind w:left="320" w:right="80"/>
        <w:spacing w:after="0" w:line="270" w:lineRule="auto"/>
        <w:rPr>
          <w:sz w:val="20"/>
          <w:szCs w:val="20"/>
          <w:color w:val="auto"/>
        </w:rPr>
      </w:pPr>
      <w:r>
        <w:rPr>
          <w:rFonts w:ascii="Arial" w:cs="Arial" w:eastAsia="Arial" w:hAnsi="Arial"/>
          <w:sz w:val="17"/>
          <w:szCs w:val="17"/>
          <w:color w:val="auto"/>
        </w:rPr>
        <w:t>Each of the NEOs, other than Mr. Kapoor, received a share matching award of 4,177 restricted stock units in 2022 as a result of his acquisition of shares that qualified under the SMP as newly acquired. Those NEOs took full advantage of this program and participated near the maximum limit, which shows our NEOs’ long-term commitment to the Company.</w:t>
      </w:r>
    </w:p>
    <w:p>
      <w:pPr>
        <w:spacing w:after="0" w:line="173" w:lineRule="exact"/>
        <w:rPr>
          <w:sz w:val="20"/>
          <w:szCs w:val="20"/>
          <w:color w:val="auto"/>
        </w:rPr>
      </w:pPr>
    </w:p>
    <w:p>
      <w:pPr>
        <w:ind w:left="320" w:right="100"/>
        <w:spacing w:after="0" w:line="270" w:lineRule="auto"/>
        <w:rPr>
          <w:sz w:val="20"/>
          <w:szCs w:val="20"/>
          <w:color w:val="auto"/>
        </w:rPr>
      </w:pPr>
      <w:r>
        <w:rPr>
          <w:rFonts w:ascii="Arial" w:cs="Arial" w:eastAsia="Arial" w:hAnsi="Arial"/>
          <w:sz w:val="17"/>
          <w:szCs w:val="17"/>
          <w:color w:val="auto"/>
        </w:rPr>
        <w:t>Finally, our modified executive stock ownership policy, which went into effect in 2022, doubles the amount of Company equity that each executive officer other than the CEO is expected to maintain (see “Maintain a robust stock ownership policy” on page 70), which serves to further align executive and stockholder interests.</w:t>
      </w:r>
    </w:p>
    <w:p>
      <w:pPr>
        <w:spacing w:after="0" w:line="231"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83</w:t>
      </w:r>
    </w:p>
    <w:p>
      <w:pPr>
        <w:sectPr>
          <w:pgSz w:w="11900" w:h="16838" w:orient="portrait"/>
          <w:cols w:equalWidth="0" w:num="1">
            <w:col w:w="10940"/>
          </w:cols>
          <w:pgMar w:left="320" w:top="473" w:right="6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Payout of awards granted in prior fiscal years</w:t>
      </w:r>
    </w:p>
    <w:p>
      <w:pPr>
        <w:spacing w:after="0" w:line="123" w:lineRule="exact"/>
        <w:rPr>
          <w:sz w:val="20"/>
          <w:szCs w:val="20"/>
          <w:color w:val="auto"/>
        </w:rPr>
      </w:pPr>
    </w:p>
    <w:p>
      <w:pPr>
        <w:ind w:left="320" w:right="100"/>
        <w:spacing w:after="0" w:line="263" w:lineRule="auto"/>
        <w:rPr>
          <w:sz w:val="20"/>
          <w:szCs w:val="20"/>
          <w:color w:val="auto"/>
        </w:rPr>
      </w:pPr>
      <w:r>
        <w:rPr>
          <w:rFonts w:ascii="Arial" w:cs="Arial" w:eastAsia="Arial" w:hAnsi="Arial"/>
          <w:sz w:val="17"/>
          <w:szCs w:val="17"/>
          <w:color w:val="auto"/>
        </w:rPr>
        <w:t>This was the third and final performance year for the 2020 performance-based restricted stock units. We achieved 101.6% of the revenue target for the revenue-linked restricted stock units resulting in 100% of target funding of those grants. The Company’s TSR performance was at the 97.6 percentile among its peer group, resulting in the executives earning 200% of the 2020 relative TSR-linked restricted stock units pursuant to the terms of the original grant. No adjustments were made to the 2020 performance-based restricted stock units or the associated performance targets to account for the impact of the COVID-19 pandemic in the 2020, 2021 and 2022 fiscal years.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Benefits and perquisites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offer employee benefits coverage in order to:</w:t>
      </w:r>
    </w:p>
    <w:p>
      <w:pPr>
        <w:spacing w:after="0" w:line="130" w:lineRule="exact"/>
        <w:rPr>
          <w:sz w:val="20"/>
          <w:szCs w:val="20"/>
          <w:color w:val="auto"/>
        </w:rPr>
      </w:pPr>
    </w:p>
    <w:p>
      <w:pPr>
        <w:ind w:left="1140" w:hanging="407"/>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our global workforce with a reasonable level of financial support in the event of illness or injury; and</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market-competitive benefits that enhance productivity and job satisfaction through programs that focus on work/life balance.</w:t>
      </w:r>
    </w:p>
    <w:p>
      <w:pPr>
        <w:spacing w:after="0" w:line="232"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Mr. Bhalla, is eligible to participate in the Company’s pension benefit, health and welfare and fringe benefit plans otherwise available to executive employees in India.</w:t>
      </w:r>
    </w:p>
    <w:p>
      <w:pPr>
        <w:spacing w:after="0" w:line="178" w:lineRule="exact"/>
        <w:rPr>
          <w:sz w:val="20"/>
          <w:szCs w:val="20"/>
          <w:color w:val="auto"/>
        </w:rPr>
      </w:pPr>
    </w:p>
    <w:p>
      <w:pPr>
        <w:ind w:left="320" w:right="100"/>
        <w:spacing w:after="0" w:line="265" w:lineRule="auto"/>
        <w:rPr>
          <w:sz w:val="20"/>
          <w:szCs w:val="20"/>
          <w:color w:val="auto"/>
        </w:rPr>
      </w:pPr>
      <w:r>
        <w:rPr>
          <w:rFonts w:ascii="Arial" w:cs="Arial" w:eastAsia="Arial" w:hAnsi="Arial"/>
          <w:sz w:val="17"/>
          <w:szCs w:val="17"/>
          <w:color w:val="auto"/>
        </w:rPr>
        <w:t>We generally do not provide significant perquisites or personal benefits to executive officers other than our Vice Chairman and CEO and our executive officers in India. Our Vice Chairman and CEO is provided a limited number of perquisites which we believe are reasonable and consistent with market trends, which are intended to be part of a competitive overall compensation program. A discussion of the benefits provided to our Vice Chairman and CEO is provided under “Employment agreements” beginning on page 90.</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Risk and compensation policies</w:t>
      </w:r>
    </w:p>
    <w:p>
      <w:pPr>
        <w:spacing w:after="0" w:line="117"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Our Compensation and Talent Management Committee has taken into account its discussions with management and Farient regarding our compensation practices and has concluded that any risks arising from our compensation policies and practices are not reasonably likely to have a material adverse effect on the Company. This conclusion was based on the features of our compensation programs, practices and policies set forth under “Executive compensation program, practices and policies” on page 69.</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Severance and change-in-control benefits</w:t>
      </w:r>
    </w:p>
    <w:p>
      <w:pPr>
        <w:spacing w:after="0" w:line="117"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Each named executive officer, including Mr. Bhalla and Mr. Jetley as of April 2022, is party to an employment agreement that sets forth the terms of his or her employment, including compensation, which was negotiated through arms’-length contract negotiations. Under these employment agreements or letters, we are obligated to pay severance or other enhanced benefits upon</w:t>
      </w:r>
    </w:p>
    <w:p>
      <w:pPr>
        <w:spacing w:after="0" w:line="88"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80"/>
          </w:cols>
          <w:pgMar w:left="320" w:top="473" w:right="69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color w:val="auto"/>
        </w:rPr>
        <w:t>termination of their employment. A discussion of the severance and other enhanced benefits provided to our named executive officers is provided under “Potential payments upon termination or change in control at fiscal 2022 year-end” beginning on page 95.</w:t>
      </w:r>
    </w:p>
    <w:p>
      <w:pPr>
        <w:spacing w:after="0" w:line="263" w:lineRule="exact"/>
        <w:rPr>
          <w:sz w:val="20"/>
          <w:szCs w:val="20"/>
          <w:color w:val="auto"/>
        </w:rPr>
      </w:pPr>
    </w:p>
    <w:p>
      <w:pPr>
        <w:ind w:left="320" w:right="20"/>
        <w:spacing w:after="0" w:line="306" w:lineRule="auto"/>
        <w:rPr>
          <w:sz w:val="20"/>
          <w:szCs w:val="20"/>
          <w:color w:val="auto"/>
        </w:rPr>
      </w:pPr>
      <w:r>
        <w:rPr>
          <w:rFonts w:ascii="Arial" w:cs="Arial" w:eastAsia="Arial" w:hAnsi="Arial"/>
          <w:sz w:val="15"/>
          <w:szCs w:val="15"/>
          <w:color w:val="auto"/>
        </w:rPr>
        <w:t>We have provided change-in-control severance protection for some of our executive officers, including our named executive officers. Our Compensation and Talent Management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49" w:lineRule="exact"/>
        <w:rPr>
          <w:sz w:val="20"/>
          <w:szCs w:val="20"/>
          <w:color w:val="auto"/>
        </w:rPr>
      </w:pPr>
    </w:p>
    <w:p>
      <w:pPr>
        <w:ind w:left="320" w:right="140"/>
        <w:spacing w:after="0" w:line="356" w:lineRule="auto"/>
        <w:rPr>
          <w:sz w:val="20"/>
          <w:szCs w:val="20"/>
          <w:color w:val="auto"/>
        </w:rPr>
      </w:pPr>
      <w:r>
        <w:rPr>
          <w:rFonts w:ascii="Arial" w:cs="Arial" w:eastAsia="Arial" w:hAnsi="Arial"/>
          <w:sz w:val="15"/>
          <w:szCs w:val="15"/>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Deductibility cap on executive compensation</w:t>
      </w:r>
    </w:p>
    <w:p>
      <w:pPr>
        <w:spacing w:after="0" w:line="117"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color w:val="auto"/>
        </w:rPr>
        <w:t>As in the past, our Compensation and Talent Management Committee expects to continue to take into consideration the tax deductibility of compensation, but reserves the right to authorize payments that may not be deductible if it believes that the payments are appropriate and consistent with our compensation philosophy.</w:t>
      </w:r>
    </w:p>
    <w:p>
      <w:pPr>
        <w:spacing w:after="0" w:line="173" w:lineRule="exact"/>
        <w:rPr>
          <w:sz w:val="20"/>
          <w:szCs w:val="20"/>
          <w:color w:val="auto"/>
        </w:rPr>
      </w:pPr>
    </w:p>
    <w:p>
      <w:pPr>
        <w:ind w:left="320" w:right="140"/>
        <w:spacing w:after="0" w:line="287" w:lineRule="auto"/>
        <w:rPr>
          <w:sz w:val="20"/>
          <w:szCs w:val="20"/>
          <w:color w:val="auto"/>
        </w:rPr>
      </w:pPr>
      <w:r>
        <w:rPr>
          <w:rFonts w:ascii="Arial" w:cs="Arial" w:eastAsia="Arial" w:hAnsi="Arial"/>
          <w:sz w:val="16"/>
          <w:szCs w:val="16"/>
          <w:color w:val="auto"/>
        </w:rPr>
        <w:t>Despite the limited availability of Code Section 162(m) performance-based compensation exceptions following the Tax Cuts and Jobs Act of 2017, our Compensation and Talent Management Committee does not anticipate a shift away from variable or performance-based compensation payable to our named executive officers. Similarly, we do not expect to apply less rigor in the process by which we establish performance goals or evaluate performance against pre-established goals with respect to compensation paid to our named executive officers.</w:t>
      </w:r>
    </w:p>
    <w:p>
      <w:pPr>
        <w:spacing w:after="0" w:line="219"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85</w:t>
      </w:r>
    </w:p>
    <w:p>
      <w:pPr>
        <w:sectPr>
          <w:pgSz w:w="11900" w:h="16838" w:orient="portrait"/>
          <w:cols w:equalWidth="0" w:num="1">
            <w:col w:w="10940"/>
          </w:cols>
          <w:pgMar w:left="320" w:top="473" w:right="6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Compensation and Talent Management Committee Report</w:t>
      </w:r>
    </w:p>
    <w:p>
      <w:pPr>
        <w:spacing w:after="0" w:line="221"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The Compensation and Talent Management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2022, and our Proxy Statement relating to the Annual Meeting.</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and Talent Management Committee</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Ms. Jaynie M. Studenmund (Chair)</w:t>
      </w:r>
    </w:p>
    <w:p>
      <w:pPr>
        <w:spacing w:after="0" w:line="2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Ms. Anne Minto</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Som Mittal</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Clyde W. Ostler</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Vikram Pandit</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Ms. Kristy Pipes</w:t>
      </w:r>
    </w:p>
    <w:p>
      <w:pPr>
        <w:spacing w:after="0" w:line="124"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780"/>
          </w:cols>
          <w:pgMar w:left="320" w:top="473" w:right="79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D8D8D8"/>
        </w:rPr>
        <w:t>Executive compensation</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Summary compensation table for fiscal year 2022</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for compensation earned in fiscal years 2020, 2021 and 2022 by our named executive officers: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30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w w:val="88"/>
              </w:rPr>
              <w:t>Change in</w:t>
            </w:r>
          </w:p>
        </w:tc>
        <w:tc>
          <w:tcPr>
            <w:tcW w:w="10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pension value</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Non-equity</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nonqualified</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Stock</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incentive</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deferred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020" w:type="dxa"/>
            <w:vAlign w:val="bottom"/>
            <w:vMerge w:val="restart"/>
          </w:tcPr>
          <w:p>
            <w:pPr>
              <w:ind w:left="60"/>
              <w:spacing w:after="0"/>
              <w:rPr>
                <w:sz w:val="20"/>
                <w:szCs w:val="20"/>
                <w:color w:val="auto"/>
              </w:rPr>
            </w:pPr>
            <w:r>
              <w:rPr>
                <w:rFonts w:ascii="Arial" w:cs="Arial" w:eastAsia="Arial" w:hAnsi="Arial"/>
                <w:sz w:val="14"/>
                <w:szCs w:val="14"/>
                <w:b w:val="1"/>
                <w:bCs w:val="1"/>
                <w:color w:val="FB4E0B"/>
              </w:rPr>
              <w:t>Name and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2"/>
                <w:szCs w:val="12"/>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Bonus</w:t>
            </w:r>
          </w:p>
        </w:tc>
        <w:tc>
          <w:tcPr>
            <w:tcW w:w="800" w:type="dxa"/>
            <w:vAlign w:val="bottom"/>
            <w:vMerge w:val="continue"/>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plan</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10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3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awards</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earnings</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tcPr>
          <w:p>
            <w:pPr>
              <w:ind w:left="60"/>
              <w:spacing w:after="0"/>
              <w:rPr>
                <w:sz w:val="20"/>
                <w:szCs w:val="20"/>
                <w:color w:val="auto"/>
              </w:rPr>
            </w:pPr>
            <w:r>
              <w:rPr>
                <w:rFonts w:ascii="Arial" w:cs="Arial" w:eastAsia="Arial" w:hAnsi="Arial"/>
                <w:sz w:val="14"/>
                <w:szCs w:val="14"/>
                <w:b w:val="1"/>
                <w:bCs w:val="1"/>
                <w:color w:val="FB4E0B"/>
              </w:rPr>
              <w:t>principal position</w:t>
            </w: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8"/>
              </w:rPr>
              <w:t>Year</w:t>
            </w: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(2)</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(3)</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(4)</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6"/>
                <w:szCs w:val="16"/>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8"/>
        </w:trPr>
        <w:tc>
          <w:tcPr>
            <w:tcW w:w="3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Rohit Kapoor</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766,384</w:t>
            </w:r>
          </w:p>
        </w:tc>
        <w:tc>
          <w:tcPr>
            <w:tcW w:w="4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8,356,213</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1,829,887</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58,423</w:t>
            </w: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11,010,906</w:t>
            </w:r>
          </w:p>
        </w:tc>
        <w:tc>
          <w:tcPr>
            <w:tcW w:w="0" w:type="dxa"/>
            <w:vAlign w:val="bottom"/>
          </w:tcPr>
          <w:p>
            <w:pPr>
              <w:spacing w:after="0"/>
              <w:rPr>
                <w:sz w:val="1"/>
                <w:szCs w:val="1"/>
                <w:color w:val="auto"/>
              </w:rPr>
            </w:pPr>
          </w:p>
        </w:tc>
      </w:tr>
      <w:tr>
        <w:trPr>
          <w:trHeight w:val="290"/>
        </w:trPr>
        <w:tc>
          <w:tcPr>
            <w:tcW w:w="3020" w:type="dxa"/>
            <w:vAlign w:val="bottom"/>
          </w:tcPr>
          <w:p>
            <w:pPr>
              <w:ind w:left="60"/>
              <w:spacing w:after="0"/>
              <w:rPr>
                <w:sz w:val="20"/>
                <w:szCs w:val="20"/>
                <w:color w:val="auto"/>
              </w:rPr>
            </w:pPr>
            <w:r>
              <w:rPr>
                <w:rFonts w:ascii="Arial" w:cs="Arial" w:eastAsia="Arial" w:hAnsi="Arial"/>
                <w:sz w:val="14"/>
                <w:szCs w:val="14"/>
                <w:color w:val="auto"/>
              </w:rPr>
              <w:t>Vice Chairman &amp; CEO</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742,603</w:t>
            </w:r>
          </w:p>
        </w:tc>
        <w:tc>
          <w:tcPr>
            <w:tcW w:w="40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7,209,918</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2,050,000</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31,068</w:t>
            </w:r>
          </w:p>
        </w:tc>
        <w:tc>
          <w:tcPr>
            <w:tcW w:w="3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10,033,589</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599,016</w:t>
            </w:r>
          </w:p>
        </w:tc>
        <w:tc>
          <w:tcPr>
            <w:tcW w:w="40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5,701,209</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810,000</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31,041</w:t>
            </w:r>
          </w:p>
        </w:tc>
        <w:tc>
          <w:tcPr>
            <w:tcW w:w="34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7,141,267</w:t>
            </w:r>
          </w:p>
        </w:tc>
        <w:tc>
          <w:tcPr>
            <w:tcW w:w="0" w:type="dxa"/>
            <w:vAlign w:val="bottom"/>
          </w:tcPr>
          <w:p>
            <w:pPr>
              <w:spacing w:after="0"/>
              <w:rPr>
                <w:sz w:val="1"/>
                <w:szCs w:val="1"/>
                <w:color w:val="auto"/>
              </w:rPr>
            </w:pPr>
          </w:p>
        </w:tc>
      </w:tr>
      <w:tr>
        <w:trPr>
          <w:trHeight w:val="196"/>
        </w:trPr>
        <w:tc>
          <w:tcPr>
            <w:tcW w:w="3020" w:type="dxa"/>
            <w:vAlign w:val="bottom"/>
            <w:shd w:val="clear" w:color="auto" w:fill="D8D8D8"/>
          </w:tcPr>
          <w:p>
            <w:pPr>
              <w:ind w:left="60"/>
              <w:spacing w:after="0"/>
              <w:rPr>
                <w:sz w:val="20"/>
                <w:szCs w:val="20"/>
                <w:color w:val="auto"/>
              </w:rPr>
            </w:pPr>
            <w:r>
              <w:rPr>
                <w:rFonts w:ascii="Arial" w:cs="Arial" w:eastAsia="Arial" w:hAnsi="Arial"/>
                <w:sz w:val="14"/>
                <w:szCs w:val="14"/>
                <w:b w:val="1"/>
                <w:bCs w:val="1"/>
                <w:color w:val="auto"/>
              </w:rPr>
              <w:t>Maurizio Nicolelli</w:t>
            </w:r>
          </w:p>
        </w:tc>
        <w:tc>
          <w:tcPr>
            <w:tcW w:w="5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2022</w:t>
            </w:r>
          </w:p>
        </w:tc>
        <w:tc>
          <w:tcPr>
            <w:tcW w:w="8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483,822</w:t>
            </w:r>
          </w:p>
        </w:tc>
        <w:tc>
          <w:tcPr>
            <w:tcW w:w="40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1,810,865</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554.929</w:t>
            </w:r>
          </w:p>
        </w:tc>
        <w:tc>
          <w:tcPr>
            <w:tcW w:w="1040" w:type="dxa"/>
            <w:vAlign w:val="bottom"/>
            <w:shd w:val="clear" w:color="auto" w:fill="D8D8D8"/>
          </w:tcPr>
          <w:p>
            <w:pPr>
              <w:spacing w:after="0"/>
              <w:rPr>
                <w:sz w:val="17"/>
                <w:szCs w:val="17"/>
                <w:color w:val="auto"/>
              </w:rPr>
            </w:pPr>
          </w:p>
        </w:tc>
        <w:tc>
          <w:tcPr>
            <w:tcW w:w="10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9,654</w:t>
            </w:r>
          </w:p>
        </w:tc>
        <w:tc>
          <w:tcPr>
            <w:tcW w:w="340" w:type="dxa"/>
            <w:vAlign w:val="bottom"/>
            <w:shd w:val="clear" w:color="auto" w:fill="D8D8D8"/>
          </w:tcPr>
          <w:p>
            <w:pPr>
              <w:jc w:val="right"/>
              <w:ind w:right="68"/>
              <w:spacing w:after="0"/>
              <w:rPr>
                <w:sz w:val="20"/>
                <w:szCs w:val="20"/>
                <w:color w:val="auto"/>
              </w:rPr>
            </w:pPr>
            <w:r>
              <w:rPr>
                <w:rFonts w:ascii="Arial" w:cs="Arial" w:eastAsia="Arial" w:hAnsi="Arial"/>
                <w:sz w:val="10"/>
                <w:szCs w:val="10"/>
                <w:color w:val="auto"/>
              </w:rPr>
              <w:t>(6)</w:t>
            </w:r>
          </w:p>
        </w:tc>
        <w:tc>
          <w:tcPr>
            <w:tcW w:w="8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2,859,270</w:t>
            </w:r>
          </w:p>
        </w:tc>
        <w:tc>
          <w:tcPr>
            <w:tcW w:w="0" w:type="dxa"/>
            <w:vAlign w:val="bottom"/>
          </w:tcPr>
          <w:p>
            <w:pPr>
              <w:spacing w:after="0"/>
              <w:rPr>
                <w:sz w:val="1"/>
                <w:szCs w:val="1"/>
                <w:color w:val="auto"/>
              </w:rPr>
            </w:pPr>
          </w:p>
        </w:tc>
      </w:tr>
      <w:tr>
        <w:trPr>
          <w:trHeight w:val="299"/>
        </w:trPr>
        <w:tc>
          <w:tcPr>
            <w:tcW w:w="3020" w:type="dxa"/>
            <w:vAlign w:val="bottom"/>
            <w:shd w:val="clear" w:color="auto" w:fill="D8D8D8"/>
          </w:tcPr>
          <w:p>
            <w:pPr>
              <w:ind w:left="60"/>
              <w:spacing w:after="0"/>
              <w:rPr>
                <w:sz w:val="20"/>
                <w:szCs w:val="20"/>
                <w:color w:val="auto"/>
              </w:rPr>
            </w:pPr>
            <w:r>
              <w:rPr>
                <w:rFonts w:ascii="Arial" w:cs="Arial" w:eastAsia="Arial" w:hAnsi="Arial"/>
                <w:sz w:val="14"/>
                <w:szCs w:val="14"/>
                <w:color w:val="auto"/>
              </w:rPr>
              <w:t>Executive Vice</w:t>
            </w:r>
          </w:p>
        </w:tc>
        <w:tc>
          <w:tcPr>
            <w:tcW w:w="180" w:type="dxa"/>
            <w:vAlign w:val="bottom"/>
            <w:shd w:val="clear" w:color="auto" w:fill="D8D8D8"/>
          </w:tcPr>
          <w:p>
            <w:pPr>
              <w:spacing w:after="0"/>
              <w:rPr>
                <w:sz w:val="24"/>
                <w:szCs w:val="24"/>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2021</w:t>
            </w:r>
          </w:p>
        </w:tc>
        <w:tc>
          <w:tcPr>
            <w:tcW w:w="8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475,000</w:t>
            </w:r>
          </w:p>
        </w:tc>
        <w:tc>
          <w:tcPr>
            <w:tcW w:w="400" w:type="dxa"/>
            <w:vAlign w:val="bottom"/>
            <w:shd w:val="clear" w:color="auto" w:fill="D8D8D8"/>
          </w:tcPr>
          <w:p>
            <w:pPr>
              <w:spacing w:after="0"/>
              <w:rPr>
                <w:sz w:val="24"/>
                <w:szCs w:val="24"/>
                <w:color w:val="auto"/>
              </w:rPr>
            </w:pPr>
          </w:p>
        </w:tc>
        <w:tc>
          <w:tcPr>
            <w:tcW w:w="7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100,000</w:t>
            </w:r>
          </w:p>
        </w:tc>
        <w:tc>
          <w:tcPr>
            <w:tcW w:w="80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2,220,441</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640,498</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9,204</w:t>
            </w:r>
          </w:p>
        </w:tc>
        <w:tc>
          <w:tcPr>
            <w:tcW w:w="34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3,445,143</w:t>
            </w:r>
          </w:p>
        </w:tc>
        <w:tc>
          <w:tcPr>
            <w:tcW w:w="0" w:type="dxa"/>
            <w:vAlign w:val="bottom"/>
          </w:tcPr>
          <w:p>
            <w:pPr>
              <w:spacing w:after="0"/>
              <w:rPr>
                <w:sz w:val="1"/>
                <w:szCs w:val="1"/>
                <w:color w:val="auto"/>
              </w:rPr>
            </w:pPr>
          </w:p>
        </w:tc>
      </w:tr>
      <w:tr>
        <w:trPr>
          <w:trHeight w:val="194"/>
        </w:trPr>
        <w:tc>
          <w:tcPr>
            <w:tcW w:w="3020" w:type="dxa"/>
            <w:vAlign w:val="bottom"/>
            <w:shd w:val="clear" w:color="auto" w:fill="D8D8D8"/>
          </w:tcPr>
          <w:p>
            <w:pPr>
              <w:ind w:left="60"/>
              <w:spacing w:after="0"/>
              <w:rPr>
                <w:sz w:val="20"/>
                <w:szCs w:val="20"/>
                <w:color w:val="auto"/>
              </w:rPr>
            </w:pPr>
            <w:r>
              <w:rPr>
                <w:rFonts w:ascii="Arial" w:cs="Arial" w:eastAsia="Arial" w:hAnsi="Arial"/>
                <w:sz w:val="14"/>
                <w:szCs w:val="14"/>
                <w:color w:val="auto"/>
              </w:rPr>
              <w:t>President and CFO</w:t>
            </w:r>
          </w:p>
        </w:tc>
        <w:tc>
          <w:tcPr>
            <w:tcW w:w="180" w:type="dxa"/>
            <w:vAlign w:val="bottom"/>
            <w:shd w:val="clear" w:color="auto" w:fill="D8D8D8"/>
          </w:tcPr>
          <w:p>
            <w:pPr>
              <w:spacing w:after="0"/>
              <w:rPr>
                <w:sz w:val="16"/>
                <w:szCs w:val="16"/>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2020</w:t>
            </w:r>
          </w:p>
        </w:tc>
        <w:tc>
          <w:tcPr>
            <w:tcW w:w="8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384,283</w:t>
            </w:r>
          </w:p>
        </w:tc>
        <w:tc>
          <w:tcPr>
            <w:tcW w:w="400" w:type="dxa"/>
            <w:vAlign w:val="bottom"/>
            <w:shd w:val="clear" w:color="auto" w:fill="D8D8D8"/>
          </w:tcPr>
          <w:p>
            <w:pPr>
              <w:spacing w:after="0"/>
              <w:rPr>
                <w:sz w:val="16"/>
                <w:szCs w:val="16"/>
                <w:color w:val="auto"/>
              </w:rPr>
            </w:pPr>
          </w:p>
        </w:tc>
        <w:tc>
          <w:tcPr>
            <w:tcW w:w="7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125,000</w:t>
            </w:r>
          </w:p>
        </w:tc>
        <w:tc>
          <w:tcPr>
            <w:tcW w:w="80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1,166,955</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243,097</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8,970</w:t>
            </w:r>
          </w:p>
        </w:tc>
        <w:tc>
          <w:tcPr>
            <w:tcW w:w="340" w:type="dxa"/>
            <w:vAlign w:val="bottom"/>
            <w:shd w:val="clear" w:color="auto" w:fill="D8D8D8"/>
          </w:tcPr>
          <w:p>
            <w:pPr>
              <w:spacing w:after="0"/>
              <w:rPr>
                <w:sz w:val="16"/>
                <w:szCs w:val="16"/>
                <w:color w:val="auto"/>
              </w:rPr>
            </w:pPr>
          </w:p>
        </w:tc>
        <w:tc>
          <w:tcPr>
            <w:tcW w:w="8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1,928,305</w:t>
            </w:r>
          </w:p>
        </w:tc>
        <w:tc>
          <w:tcPr>
            <w:tcW w:w="0" w:type="dxa"/>
            <w:vAlign w:val="bottom"/>
          </w:tcPr>
          <w:p>
            <w:pPr>
              <w:spacing w:after="0"/>
              <w:rPr>
                <w:sz w:val="1"/>
                <w:szCs w:val="1"/>
                <w:color w:val="auto"/>
              </w:rPr>
            </w:pPr>
          </w:p>
        </w:tc>
      </w:tr>
      <w:tr>
        <w:trPr>
          <w:trHeight w:val="196"/>
        </w:trPr>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Vikas Bhalla</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265,432</w:t>
            </w:r>
          </w:p>
        </w:tc>
        <w:tc>
          <w:tcPr>
            <w:tcW w:w="400" w:type="dxa"/>
            <w:vAlign w:val="bottom"/>
          </w:tcPr>
          <w:p>
            <w:pPr>
              <w:jc w:val="right"/>
              <w:ind w:right="88"/>
              <w:spacing w:after="0"/>
              <w:rPr>
                <w:sz w:val="20"/>
                <w:szCs w:val="20"/>
                <w:color w:val="auto"/>
              </w:rPr>
            </w:pPr>
            <w:r>
              <w:rPr>
                <w:rFonts w:ascii="Arial" w:cs="Arial" w:eastAsia="Arial" w:hAnsi="Arial"/>
                <w:sz w:val="10"/>
                <w:szCs w:val="10"/>
                <w:color w:val="auto"/>
              </w:rPr>
              <w:t>(1)</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1,964,960</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357,340</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20,200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18,233</w:t>
            </w: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(7)</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2,626,165</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4"/>
                <w:szCs w:val="14"/>
                <w:color w:val="auto"/>
              </w:rPr>
              <w:t>Executive Vice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276,716</w:t>
            </w:r>
          </w:p>
        </w:tc>
        <w:tc>
          <w:tcPr>
            <w:tcW w:w="40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2,711,454</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444,718</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16,865</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19,034</w:t>
            </w:r>
          </w:p>
        </w:tc>
        <w:tc>
          <w:tcPr>
            <w:tcW w:w="3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3,468,787</w:t>
            </w:r>
          </w:p>
        </w:tc>
        <w:tc>
          <w:tcPr>
            <w:tcW w:w="0" w:type="dxa"/>
            <w:vAlign w:val="bottom"/>
          </w:tcPr>
          <w:p>
            <w:pPr>
              <w:spacing w:after="0"/>
              <w:rPr>
                <w:sz w:val="1"/>
                <w:szCs w:val="1"/>
                <w:color w:val="auto"/>
              </w:rPr>
            </w:pPr>
          </w:p>
        </w:tc>
      </w:tr>
      <w:tr>
        <w:trPr>
          <w:trHeight w:val="176"/>
        </w:trPr>
        <w:tc>
          <w:tcPr>
            <w:tcW w:w="3020" w:type="dxa"/>
            <w:vAlign w:val="bottom"/>
          </w:tcPr>
          <w:p>
            <w:pPr>
              <w:ind w:left="60"/>
              <w:spacing w:after="0"/>
              <w:rPr>
                <w:sz w:val="20"/>
                <w:szCs w:val="20"/>
                <w:color w:val="auto"/>
              </w:rPr>
            </w:pPr>
            <w:r>
              <w:rPr>
                <w:rFonts w:ascii="Arial" w:cs="Arial" w:eastAsia="Arial" w:hAnsi="Arial"/>
                <w:sz w:val="14"/>
                <w:szCs w:val="14"/>
                <w:color w:val="auto"/>
              </w:rPr>
              <w:t>President and Business</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2020</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229,016</w:t>
            </w:r>
          </w:p>
        </w:tc>
        <w:tc>
          <w:tcPr>
            <w:tcW w:w="40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1,399,048</w:t>
            </w:r>
          </w:p>
        </w:tc>
        <w:tc>
          <w:tcPr>
            <w:tcW w:w="1040" w:type="dxa"/>
            <w:vAlign w:val="bottom"/>
            <w:vMerge w:val="restart"/>
          </w:tcPr>
          <w:p>
            <w:pPr>
              <w:jc w:val="right"/>
              <w:ind w:right="31"/>
              <w:spacing w:after="0"/>
              <w:rPr>
                <w:sz w:val="20"/>
                <w:szCs w:val="20"/>
                <w:color w:val="auto"/>
              </w:rPr>
            </w:pPr>
            <w:r>
              <w:rPr>
                <w:rFonts w:ascii="Arial" w:cs="Arial" w:eastAsia="Arial" w:hAnsi="Arial"/>
                <w:sz w:val="14"/>
                <w:szCs w:val="14"/>
                <w:color w:val="auto"/>
              </w:rPr>
              <w:t>169,370</w:t>
            </w:r>
          </w:p>
        </w:tc>
        <w:tc>
          <w:tcPr>
            <w:tcW w:w="1040" w:type="dxa"/>
            <w:vAlign w:val="bottom"/>
            <w:vMerge w:val="restart"/>
          </w:tcPr>
          <w:p>
            <w:pPr>
              <w:jc w:val="right"/>
              <w:ind w:right="31"/>
              <w:spacing w:after="0"/>
              <w:rPr>
                <w:sz w:val="20"/>
                <w:szCs w:val="20"/>
                <w:color w:val="auto"/>
              </w:rPr>
            </w:pPr>
            <w:r>
              <w:rPr>
                <w:rFonts w:ascii="Arial" w:cs="Arial" w:eastAsia="Arial" w:hAnsi="Arial"/>
                <w:sz w:val="14"/>
                <w:szCs w:val="14"/>
                <w:color w:val="auto"/>
              </w:rPr>
              <w:t>5,067</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37,962</w:t>
            </w:r>
          </w:p>
        </w:tc>
        <w:tc>
          <w:tcPr>
            <w:tcW w:w="340" w:type="dxa"/>
            <w:vAlign w:val="bottom"/>
          </w:tcPr>
          <w:p>
            <w:pPr>
              <w:spacing w:after="0"/>
              <w:rPr>
                <w:sz w:val="15"/>
                <w:szCs w:val="15"/>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1,840,463</w:t>
            </w:r>
          </w:p>
        </w:tc>
        <w:tc>
          <w:tcPr>
            <w:tcW w:w="0" w:type="dxa"/>
            <w:vAlign w:val="bottom"/>
          </w:tcPr>
          <w:p>
            <w:pPr>
              <w:spacing w:after="0"/>
              <w:rPr>
                <w:sz w:val="1"/>
                <w:szCs w:val="1"/>
                <w:color w:val="auto"/>
              </w:rPr>
            </w:pPr>
          </w:p>
        </w:tc>
      </w:tr>
      <w:tr>
        <w:trPr>
          <w:trHeight w:val="84"/>
        </w:trPr>
        <w:tc>
          <w:tcPr>
            <w:tcW w:w="3020" w:type="dxa"/>
            <w:vAlign w:val="bottom"/>
            <w:vMerge w:val="restart"/>
          </w:tcPr>
          <w:p>
            <w:pPr>
              <w:ind w:left="60"/>
              <w:spacing w:after="0"/>
              <w:rPr>
                <w:sz w:val="20"/>
                <w:szCs w:val="20"/>
                <w:color w:val="auto"/>
              </w:rPr>
            </w:pPr>
            <w:r>
              <w:rPr>
                <w:rFonts w:ascii="Arial" w:cs="Arial" w:eastAsia="Arial" w:hAnsi="Arial"/>
                <w:sz w:val="14"/>
                <w:szCs w:val="14"/>
                <w:color w:val="auto"/>
              </w:rPr>
              <w:t>Head, Insurance</w:t>
            </w:r>
          </w:p>
        </w:tc>
        <w:tc>
          <w:tcPr>
            <w:tcW w:w="56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0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D8D8D8"/>
          </w:tcPr>
          <w:p>
            <w:pPr>
              <w:ind w:left="60"/>
              <w:spacing w:after="0"/>
              <w:rPr>
                <w:sz w:val="20"/>
                <w:szCs w:val="20"/>
                <w:color w:val="auto"/>
              </w:rPr>
            </w:pPr>
            <w:r>
              <w:rPr>
                <w:rFonts w:ascii="Arial" w:cs="Arial" w:eastAsia="Arial" w:hAnsi="Arial"/>
                <w:sz w:val="14"/>
                <w:szCs w:val="14"/>
                <w:b w:val="1"/>
                <w:bCs w:val="1"/>
                <w:color w:val="auto"/>
              </w:rPr>
              <w:t>Vivek Jetley</w:t>
            </w:r>
          </w:p>
        </w:tc>
        <w:tc>
          <w:tcPr>
            <w:tcW w:w="5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2022</w:t>
            </w:r>
          </w:p>
        </w:tc>
        <w:tc>
          <w:tcPr>
            <w:tcW w:w="8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440,164</w:t>
            </w:r>
          </w:p>
        </w:tc>
        <w:tc>
          <w:tcPr>
            <w:tcW w:w="40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1,862,689</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525,488</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9,654</w:t>
            </w:r>
          </w:p>
        </w:tc>
        <w:tc>
          <w:tcPr>
            <w:tcW w:w="340" w:type="dxa"/>
            <w:vAlign w:val="bottom"/>
            <w:shd w:val="clear" w:color="auto" w:fill="D8D8D8"/>
          </w:tcPr>
          <w:p>
            <w:pPr>
              <w:jc w:val="right"/>
              <w:ind w:right="68"/>
              <w:spacing w:after="0"/>
              <w:rPr>
                <w:sz w:val="20"/>
                <w:szCs w:val="20"/>
                <w:color w:val="auto"/>
              </w:rPr>
            </w:pPr>
            <w:r>
              <w:rPr>
                <w:rFonts w:ascii="Arial" w:cs="Arial" w:eastAsia="Arial" w:hAnsi="Arial"/>
                <w:sz w:val="10"/>
                <w:szCs w:val="10"/>
                <w:color w:val="auto"/>
              </w:rPr>
              <w:t>(8)</w:t>
            </w:r>
          </w:p>
        </w:tc>
        <w:tc>
          <w:tcPr>
            <w:tcW w:w="8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2,837,996</w:t>
            </w:r>
          </w:p>
        </w:tc>
        <w:tc>
          <w:tcPr>
            <w:tcW w:w="0" w:type="dxa"/>
            <w:vAlign w:val="bottom"/>
          </w:tcPr>
          <w:p>
            <w:pPr>
              <w:spacing w:after="0"/>
              <w:rPr>
                <w:sz w:val="1"/>
                <w:szCs w:val="1"/>
                <w:color w:val="auto"/>
              </w:rPr>
            </w:pPr>
          </w:p>
        </w:tc>
      </w:tr>
      <w:tr>
        <w:trPr>
          <w:trHeight w:val="299"/>
        </w:trPr>
        <w:tc>
          <w:tcPr>
            <w:tcW w:w="3020" w:type="dxa"/>
            <w:vAlign w:val="bottom"/>
            <w:shd w:val="clear" w:color="auto" w:fill="D8D8D8"/>
          </w:tcPr>
          <w:p>
            <w:pPr>
              <w:ind w:left="60"/>
              <w:spacing w:after="0"/>
              <w:rPr>
                <w:sz w:val="20"/>
                <w:szCs w:val="20"/>
                <w:color w:val="auto"/>
              </w:rPr>
            </w:pPr>
            <w:r>
              <w:rPr>
                <w:rFonts w:ascii="Arial" w:cs="Arial" w:eastAsia="Arial" w:hAnsi="Arial"/>
                <w:sz w:val="14"/>
                <w:szCs w:val="14"/>
                <w:color w:val="auto"/>
              </w:rPr>
              <w:t>Executive Vice</w:t>
            </w:r>
          </w:p>
        </w:tc>
        <w:tc>
          <w:tcPr>
            <w:tcW w:w="180" w:type="dxa"/>
            <w:vAlign w:val="bottom"/>
            <w:shd w:val="clear" w:color="auto" w:fill="D8D8D8"/>
          </w:tcPr>
          <w:p>
            <w:pPr>
              <w:spacing w:after="0"/>
              <w:rPr>
                <w:sz w:val="24"/>
                <w:szCs w:val="24"/>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2021</w:t>
            </w:r>
          </w:p>
        </w:tc>
        <w:tc>
          <w:tcPr>
            <w:tcW w:w="8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415,068</w:t>
            </w:r>
          </w:p>
        </w:tc>
        <w:tc>
          <w:tcPr>
            <w:tcW w:w="400" w:type="dxa"/>
            <w:vAlign w:val="bottom"/>
            <w:shd w:val="clear" w:color="auto" w:fill="D8D8D8"/>
          </w:tcPr>
          <w:p>
            <w:pPr>
              <w:spacing w:after="0"/>
              <w:rPr>
                <w:sz w:val="24"/>
                <w:szCs w:val="24"/>
                <w:color w:val="auto"/>
              </w:rPr>
            </w:pPr>
          </w:p>
        </w:tc>
        <w:tc>
          <w:tcPr>
            <w:tcW w:w="70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2,429,371</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586,146</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9,204</w:t>
            </w:r>
          </w:p>
        </w:tc>
        <w:tc>
          <w:tcPr>
            <w:tcW w:w="34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3,439,789</w:t>
            </w:r>
          </w:p>
        </w:tc>
        <w:tc>
          <w:tcPr>
            <w:tcW w:w="0" w:type="dxa"/>
            <w:vAlign w:val="bottom"/>
          </w:tcPr>
          <w:p>
            <w:pPr>
              <w:spacing w:after="0"/>
              <w:rPr>
                <w:sz w:val="1"/>
                <w:szCs w:val="1"/>
                <w:color w:val="auto"/>
              </w:rPr>
            </w:pPr>
          </w:p>
        </w:tc>
      </w:tr>
      <w:tr>
        <w:trPr>
          <w:trHeight w:val="176"/>
        </w:trPr>
        <w:tc>
          <w:tcPr>
            <w:tcW w:w="3020" w:type="dxa"/>
            <w:vAlign w:val="bottom"/>
            <w:shd w:val="clear" w:color="auto" w:fill="D8D8D8"/>
          </w:tcPr>
          <w:p>
            <w:pPr>
              <w:ind w:left="60"/>
              <w:spacing w:after="0"/>
              <w:rPr>
                <w:sz w:val="20"/>
                <w:szCs w:val="20"/>
                <w:color w:val="auto"/>
              </w:rPr>
            </w:pPr>
            <w:r>
              <w:rPr>
                <w:rFonts w:ascii="Arial" w:cs="Arial" w:eastAsia="Arial" w:hAnsi="Arial"/>
                <w:sz w:val="14"/>
                <w:szCs w:val="14"/>
                <w:color w:val="auto"/>
              </w:rPr>
              <w:t>President and Business</w:t>
            </w:r>
          </w:p>
        </w:tc>
        <w:tc>
          <w:tcPr>
            <w:tcW w:w="180" w:type="dxa"/>
            <w:vAlign w:val="bottom"/>
            <w:shd w:val="clear" w:color="auto" w:fill="D8D8D8"/>
          </w:tcPr>
          <w:p>
            <w:pPr>
              <w:spacing w:after="0"/>
              <w:rPr>
                <w:sz w:val="15"/>
                <w:szCs w:val="15"/>
                <w:color w:val="auto"/>
              </w:rPr>
            </w:pPr>
          </w:p>
        </w:tc>
        <w:tc>
          <w:tcPr>
            <w:tcW w:w="38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2020</w:t>
            </w:r>
          </w:p>
        </w:tc>
        <w:tc>
          <w:tcPr>
            <w:tcW w:w="800" w:type="dxa"/>
            <w:vAlign w:val="bottom"/>
            <w:vMerge w:val="restart"/>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spacing w:after="0"/>
              <w:rPr>
                <w:sz w:val="15"/>
                <w:szCs w:val="15"/>
                <w:color w:val="auto"/>
              </w:rPr>
            </w:pPr>
          </w:p>
        </w:tc>
        <w:tc>
          <w:tcPr>
            <w:tcW w:w="700" w:type="dxa"/>
            <w:vAlign w:val="bottom"/>
            <w:vMerge w:val="restart"/>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D8D8D8"/>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15"/>
                <w:szCs w:val="15"/>
                <w:color w:val="auto"/>
              </w:rPr>
            </w:pPr>
          </w:p>
        </w:tc>
        <w:tc>
          <w:tcPr>
            <w:tcW w:w="860" w:type="dxa"/>
            <w:vAlign w:val="bottom"/>
            <w:vMerge w:val="restart"/>
            <w:shd w:val="clear" w:color="auto" w:fill="D8D8D8"/>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302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Head, Analytics</w:t>
            </w:r>
          </w:p>
        </w:tc>
        <w:tc>
          <w:tcPr>
            <w:tcW w:w="180" w:type="dxa"/>
            <w:vAlign w:val="bottom"/>
            <w:shd w:val="clear" w:color="auto" w:fill="D8D8D8"/>
          </w:tcPr>
          <w:p>
            <w:pPr>
              <w:spacing w:after="0"/>
              <w:rPr>
                <w:sz w:val="7"/>
                <w:szCs w:val="7"/>
                <w:color w:val="auto"/>
              </w:rPr>
            </w:pPr>
          </w:p>
        </w:tc>
        <w:tc>
          <w:tcPr>
            <w:tcW w:w="380" w:type="dxa"/>
            <w:vAlign w:val="bottom"/>
            <w:vMerge w:val="continue"/>
            <w:shd w:val="clear" w:color="auto" w:fill="D8D8D8"/>
          </w:tcPr>
          <w:p>
            <w:pPr>
              <w:spacing w:after="0"/>
              <w:rPr>
                <w:sz w:val="7"/>
                <w:szCs w:val="7"/>
                <w:color w:val="auto"/>
              </w:rPr>
            </w:pPr>
          </w:p>
        </w:tc>
        <w:tc>
          <w:tcPr>
            <w:tcW w:w="800" w:type="dxa"/>
            <w:vAlign w:val="bottom"/>
            <w:vMerge w:val="continue"/>
            <w:shd w:val="clear" w:color="auto" w:fill="D8D8D8"/>
          </w:tcPr>
          <w:p>
            <w:pPr>
              <w:spacing w:after="0"/>
              <w:rPr>
                <w:sz w:val="7"/>
                <w:szCs w:val="7"/>
                <w:color w:val="auto"/>
              </w:rPr>
            </w:pPr>
          </w:p>
        </w:tc>
        <w:tc>
          <w:tcPr>
            <w:tcW w:w="400" w:type="dxa"/>
            <w:vAlign w:val="bottom"/>
            <w:shd w:val="clear" w:color="auto" w:fill="D8D8D8"/>
          </w:tcPr>
          <w:p>
            <w:pPr>
              <w:spacing w:after="0"/>
              <w:rPr>
                <w:sz w:val="7"/>
                <w:szCs w:val="7"/>
                <w:color w:val="auto"/>
              </w:rPr>
            </w:pPr>
          </w:p>
        </w:tc>
        <w:tc>
          <w:tcPr>
            <w:tcW w:w="700" w:type="dxa"/>
            <w:vAlign w:val="bottom"/>
            <w:vMerge w:val="continue"/>
            <w:shd w:val="clear" w:color="auto" w:fill="D8D8D8"/>
          </w:tcPr>
          <w:p>
            <w:pPr>
              <w:spacing w:after="0"/>
              <w:rPr>
                <w:sz w:val="7"/>
                <w:szCs w:val="7"/>
                <w:color w:val="auto"/>
              </w:rPr>
            </w:pPr>
          </w:p>
        </w:tc>
        <w:tc>
          <w:tcPr>
            <w:tcW w:w="800" w:type="dxa"/>
            <w:vAlign w:val="bottom"/>
            <w:vMerge w:val="continue"/>
            <w:shd w:val="clear" w:color="auto" w:fill="D8D8D8"/>
          </w:tcPr>
          <w:p>
            <w:pPr>
              <w:spacing w:after="0"/>
              <w:rPr>
                <w:sz w:val="7"/>
                <w:szCs w:val="7"/>
                <w:color w:val="auto"/>
              </w:rPr>
            </w:pPr>
          </w:p>
        </w:tc>
        <w:tc>
          <w:tcPr>
            <w:tcW w:w="1040" w:type="dxa"/>
            <w:vAlign w:val="bottom"/>
            <w:vMerge w:val="continue"/>
            <w:shd w:val="clear" w:color="auto" w:fill="D8D8D8"/>
          </w:tcPr>
          <w:p>
            <w:pPr>
              <w:spacing w:after="0"/>
              <w:rPr>
                <w:sz w:val="7"/>
                <w:szCs w:val="7"/>
                <w:color w:val="auto"/>
              </w:rPr>
            </w:pPr>
          </w:p>
        </w:tc>
        <w:tc>
          <w:tcPr>
            <w:tcW w:w="1040" w:type="dxa"/>
            <w:vAlign w:val="bottom"/>
            <w:vMerge w:val="continue"/>
            <w:shd w:val="clear" w:color="auto" w:fill="D8D8D8"/>
          </w:tcPr>
          <w:p>
            <w:pPr>
              <w:spacing w:after="0"/>
              <w:rPr>
                <w:sz w:val="7"/>
                <w:szCs w:val="7"/>
                <w:color w:val="auto"/>
              </w:rPr>
            </w:pPr>
          </w:p>
        </w:tc>
        <w:tc>
          <w:tcPr>
            <w:tcW w:w="1060" w:type="dxa"/>
            <w:vAlign w:val="bottom"/>
            <w:vMerge w:val="continue"/>
            <w:shd w:val="clear" w:color="auto" w:fill="D8D8D8"/>
          </w:tcPr>
          <w:p>
            <w:pPr>
              <w:spacing w:after="0"/>
              <w:rPr>
                <w:sz w:val="7"/>
                <w:szCs w:val="7"/>
                <w:color w:val="auto"/>
              </w:rPr>
            </w:pPr>
          </w:p>
        </w:tc>
        <w:tc>
          <w:tcPr>
            <w:tcW w:w="340" w:type="dxa"/>
            <w:vAlign w:val="bottom"/>
            <w:shd w:val="clear" w:color="auto" w:fill="D8D8D8"/>
          </w:tcPr>
          <w:p>
            <w:pPr>
              <w:spacing w:after="0"/>
              <w:rPr>
                <w:sz w:val="7"/>
                <w:szCs w:val="7"/>
                <w:color w:val="auto"/>
              </w:rPr>
            </w:pPr>
          </w:p>
        </w:tc>
        <w:tc>
          <w:tcPr>
            <w:tcW w:w="86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020" w:type="dxa"/>
            <w:vAlign w:val="bottom"/>
            <w:vMerge w:val="continue"/>
            <w:shd w:val="clear" w:color="auto" w:fill="D8D8D8"/>
          </w:tcPr>
          <w:p>
            <w:pPr>
              <w:spacing w:after="0"/>
              <w:rPr>
                <w:sz w:val="8"/>
                <w:szCs w:val="8"/>
                <w:color w:val="auto"/>
              </w:rPr>
            </w:pPr>
          </w:p>
        </w:tc>
        <w:tc>
          <w:tcPr>
            <w:tcW w:w="180" w:type="dxa"/>
            <w:vAlign w:val="bottom"/>
            <w:shd w:val="clear" w:color="auto" w:fill="D8D8D8"/>
          </w:tcPr>
          <w:p>
            <w:pPr>
              <w:spacing w:after="0"/>
              <w:rPr>
                <w:sz w:val="8"/>
                <w:szCs w:val="8"/>
                <w:color w:val="auto"/>
              </w:rPr>
            </w:pPr>
          </w:p>
        </w:tc>
        <w:tc>
          <w:tcPr>
            <w:tcW w:w="380" w:type="dxa"/>
            <w:vAlign w:val="bottom"/>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400" w:type="dxa"/>
            <w:vAlign w:val="bottom"/>
            <w:shd w:val="clear" w:color="auto" w:fill="D8D8D8"/>
          </w:tcPr>
          <w:p>
            <w:pPr>
              <w:spacing w:after="0"/>
              <w:rPr>
                <w:sz w:val="8"/>
                <w:szCs w:val="8"/>
                <w:color w:val="auto"/>
              </w:rPr>
            </w:pPr>
          </w:p>
        </w:tc>
        <w:tc>
          <w:tcPr>
            <w:tcW w:w="700" w:type="dxa"/>
            <w:vAlign w:val="bottom"/>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1040" w:type="dxa"/>
            <w:vAlign w:val="bottom"/>
            <w:shd w:val="clear" w:color="auto" w:fill="D8D8D8"/>
          </w:tcPr>
          <w:p>
            <w:pPr>
              <w:spacing w:after="0"/>
              <w:rPr>
                <w:sz w:val="8"/>
                <w:szCs w:val="8"/>
                <w:color w:val="auto"/>
              </w:rPr>
            </w:pPr>
          </w:p>
        </w:tc>
        <w:tc>
          <w:tcPr>
            <w:tcW w:w="1040" w:type="dxa"/>
            <w:vAlign w:val="bottom"/>
            <w:shd w:val="clear" w:color="auto" w:fill="D8D8D8"/>
          </w:tcPr>
          <w:p>
            <w:pPr>
              <w:spacing w:after="0"/>
              <w:rPr>
                <w:sz w:val="8"/>
                <w:szCs w:val="8"/>
                <w:color w:val="auto"/>
              </w:rPr>
            </w:pPr>
          </w:p>
        </w:tc>
        <w:tc>
          <w:tcPr>
            <w:tcW w:w="106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86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Ankor Rai</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420,082</w:t>
            </w:r>
          </w:p>
        </w:tc>
        <w:tc>
          <w:tcPr>
            <w:tcW w:w="400" w:type="dxa"/>
            <w:vAlign w:val="bottom"/>
          </w:tcPr>
          <w:p>
            <w:pPr>
              <w:spacing w:after="0"/>
              <w:rPr>
                <w:sz w:val="17"/>
                <w:szCs w:val="17"/>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1,553,192</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481,822</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9,654</w:t>
            </w:r>
          </w:p>
        </w:tc>
        <w:tc>
          <w:tcPr>
            <w:tcW w:w="340" w:type="dxa"/>
            <w:vAlign w:val="bottom"/>
          </w:tcPr>
          <w:p>
            <w:pPr>
              <w:jc w:val="right"/>
              <w:ind w:right="68"/>
              <w:spacing w:after="0"/>
              <w:rPr>
                <w:sz w:val="20"/>
                <w:szCs w:val="20"/>
                <w:color w:val="auto"/>
              </w:rPr>
            </w:pPr>
            <w:r>
              <w:rPr>
                <w:rFonts w:ascii="Arial" w:cs="Arial" w:eastAsia="Arial" w:hAnsi="Arial"/>
                <w:sz w:val="10"/>
                <w:szCs w:val="10"/>
                <w:color w:val="auto"/>
              </w:rPr>
              <w:t>(9)</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2,464,750</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4"/>
                <w:szCs w:val="14"/>
                <w:color w:val="auto"/>
              </w:rPr>
              <w:t>Executive Vice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20" w:type="dxa"/>
            <w:vAlign w:val="bottom"/>
          </w:tcPr>
          <w:p>
            <w:pPr>
              <w:ind w:left="60"/>
              <w:spacing w:after="0"/>
              <w:rPr>
                <w:sz w:val="20"/>
                <w:szCs w:val="20"/>
                <w:color w:val="auto"/>
              </w:rPr>
            </w:pPr>
            <w:r>
              <w:rPr>
                <w:rFonts w:ascii="Arial" w:cs="Arial" w:eastAsia="Arial" w:hAnsi="Arial"/>
                <w:sz w:val="14"/>
                <w:szCs w:val="14"/>
                <w:color w:val="auto"/>
              </w:rPr>
              <w:t>President and Chief</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2020</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3020" w:type="dxa"/>
            <w:vAlign w:val="bottom"/>
            <w:vMerge w:val="restart"/>
          </w:tcPr>
          <w:p>
            <w:pPr>
              <w:ind w:left="60"/>
              <w:spacing w:after="0"/>
              <w:rPr>
                <w:sz w:val="20"/>
                <w:szCs w:val="20"/>
                <w:color w:val="auto"/>
              </w:rPr>
            </w:pPr>
            <w:r>
              <w:rPr>
                <w:rFonts w:ascii="Arial" w:cs="Arial" w:eastAsia="Arial" w:hAnsi="Arial"/>
                <w:sz w:val="14"/>
                <w:szCs w:val="14"/>
                <w:color w:val="auto"/>
              </w:rPr>
              <w:t>Digital Officer</w:t>
            </w:r>
          </w:p>
        </w:tc>
        <w:tc>
          <w:tcPr>
            <w:tcW w:w="56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20" w:right="140" w:hanging="4"/>
        <w:spacing w:after="0" w:line="281" w:lineRule="auto"/>
        <w:tabs>
          <w:tab w:leader="none" w:pos="504"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amount set forth in the “Salary” column for Mr. Bhalla includes $107,259 of base salary, $95,608 of a cash supplementary allowance, $35,496 of housing allowance (which Mr. Bhalla elected to receive instead in cash), $8,935 of travel allowance (which Mr. Bhalla elected to receive instead in cash), and $18,134 of a special car allowance (which Mr. Bhalla elected to receive instead in cash).</w:t>
      </w:r>
    </w:p>
    <w:p>
      <w:pPr>
        <w:ind w:left="320" w:right="20" w:hanging="4"/>
        <w:spacing w:after="0" w:line="280" w:lineRule="auto"/>
        <w:tabs>
          <w:tab w:leader="none" w:pos="504" w:val="left"/>
        </w:tabs>
        <w:numPr>
          <w:ilvl w:val="0"/>
          <w:numId w:val="28"/>
        </w:numPr>
        <w:rPr>
          <w:rFonts w:ascii="Arial" w:cs="Arial" w:eastAsia="Arial" w:hAnsi="Arial"/>
          <w:sz w:val="11"/>
          <w:szCs w:val="11"/>
          <w:color w:val="auto"/>
        </w:rPr>
      </w:pPr>
      <w:r>
        <w:rPr>
          <w:rFonts w:ascii="Arial" w:cs="Arial" w:eastAsia="Arial" w:hAnsi="Arial"/>
          <w:sz w:val="11"/>
          <w:szCs w:val="11"/>
          <w:color w:val="auto"/>
        </w:rPr>
        <w:t>Amounts reflect the grant date fair value of awards in accordance with FASB ASC Topic 718, recognized for financial statement reporting purposes for the fiscal years ended December 31, 2020, 2021 and 2022). Assumptions used in the calculation of these amounts are included (i) for 2022, in footnotes 2 and 23 to the audited financial statements for the fiscal year ended December 31, 2022, included in our Annual Report on Form 10-K filed with the Securities and Exchange Commission on February 23, 2023; (ii) for 2021, in footnotes 2 and 22 to the audited financial statements for the fiscal year ended December 31, 2021, included in our Annual Report on Form 10-K filed with the Securities and Exchange Commission on February 24, 2022; and (iii) for 2020, in footnotes 2 and 23 to the audited financial statements for the fiscal year ended December 31, 2020, included in our Annual Report on Form 10-K filed with the Securities and Exchange Commission on February 25, 2021. With respect to stock awards granted in 2022, the table below sets forth the value attributable to performance restricted stock units valued at target achievement. Performance restricted stock units granted in 2022 may pay out up to 200% of the target award, which would have amounted to the grant date fair values listed as the maximum total grant date fair value for each named executive officer in the table below.</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3660" w:type="dxa"/>
            <w:vAlign w:val="bottom"/>
            <w:tcBorders>
              <w:bottom w:val="single" w:sz="8" w:color="FB4E0B"/>
            </w:tcBorders>
          </w:tcPr>
          <w:p>
            <w:pPr>
              <w:ind w:left="80"/>
              <w:spacing w:after="0"/>
              <w:rPr>
                <w:sz w:val="20"/>
                <w:szCs w:val="20"/>
                <w:color w:val="auto"/>
              </w:rPr>
            </w:pPr>
            <w:r>
              <w:rPr>
                <w:rFonts w:ascii="Arial" w:cs="Arial" w:eastAsia="Arial" w:hAnsi="Arial"/>
                <w:sz w:val="14"/>
                <w:szCs w:val="14"/>
                <w:b w:val="1"/>
                <w:bCs w:val="1"/>
                <w:color w:val="FB4E0B"/>
              </w:rPr>
              <w:t>Name</w:t>
            </w:r>
          </w:p>
        </w:tc>
        <w:tc>
          <w:tcPr>
            <w:tcW w:w="2900" w:type="dxa"/>
            <w:vAlign w:val="bottom"/>
            <w:tcBorders>
              <w:bottom w:val="single" w:sz="8" w:color="FB4E0B"/>
            </w:tcBorders>
          </w:tcPr>
          <w:p>
            <w:pPr>
              <w:ind w:left="720"/>
              <w:spacing w:after="0"/>
              <w:rPr>
                <w:sz w:val="20"/>
                <w:szCs w:val="20"/>
                <w:color w:val="auto"/>
              </w:rPr>
            </w:pPr>
            <w:r>
              <w:rPr>
                <w:rFonts w:ascii="Arial" w:cs="Arial" w:eastAsia="Arial" w:hAnsi="Arial"/>
                <w:sz w:val="14"/>
                <w:szCs w:val="14"/>
                <w:b w:val="1"/>
                <w:bCs w:val="1"/>
                <w:color w:val="FB4E0B"/>
              </w:rPr>
              <w:t>Total grant date fair value ($)</w:t>
            </w:r>
          </w:p>
        </w:tc>
        <w:tc>
          <w:tcPr>
            <w:tcW w:w="3000" w:type="dxa"/>
            <w:vAlign w:val="bottom"/>
            <w:tcBorders>
              <w:bottom w:val="single" w:sz="8" w:color="FB4E0B"/>
            </w:tcBorders>
            <w:gridSpan w:val="3"/>
          </w:tcPr>
          <w:p>
            <w:pPr>
              <w:jc w:val="right"/>
              <w:ind w:right="53"/>
              <w:spacing w:after="0"/>
              <w:rPr>
                <w:sz w:val="20"/>
                <w:szCs w:val="20"/>
                <w:color w:val="auto"/>
              </w:rPr>
            </w:pPr>
            <w:r>
              <w:rPr>
                <w:rFonts w:ascii="Arial" w:cs="Arial" w:eastAsia="Arial" w:hAnsi="Arial"/>
                <w:sz w:val="14"/>
                <w:szCs w:val="14"/>
                <w:b w:val="1"/>
                <w:bCs w:val="1"/>
                <w:color w:val="FB4E0B"/>
              </w:rPr>
              <w:t>Maximum total grant date fair value ($)</w:t>
            </w:r>
          </w:p>
        </w:tc>
      </w:tr>
      <w:tr>
        <w:trPr>
          <w:trHeight w:val="209"/>
        </w:trPr>
        <w:tc>
          <w:tcPr>
            <w:tcW w:w="366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Rohit Kapoor</w:t>
            </w:r>
          </w:p>
        </w:tc>
        <w:tc>
          <w:tcPr>
            <w:tcW w:w="2900" w:type="dxa"/>
            <w:vAlign w:val="bottom"/>
            <w:tcBorders>
              <w:right w:val="single" w:sz="8" w:color="auto"/>
            </w:tcBorders>
          </w:tcPr>
          <w:p>
            <w:pPr>
              <w:jc w:val="center"/>
              <w:ind w:left="231"/>
              <w:spacing w:after="0"/>
              <w:rPr>
                <w:sz w:val="20"/>
                <w:szCs w:val="20"/>
                <w:color w:val="auto"/>
              </w:rPr>
            </w:pPr>
            <w:r>
              <w:rPr>
                <w:rFonts w:ascii="Arial" w:cs="Arial" w:eastAsia="Arial" w:hAnsi="Arial"/>
                <w:sz w:val="14"/>
                <w:szCs w:val="14"/>
                <w:color w:val="auto"/>
                <w:w w:val="89"/>
              </w:rPr>
              <w:t>5,337,037</w:t>
            </w:r>
          </w:p>
        </w:tc>
        <w:tc>
          <w:tcPr>
            <w:tcW w:w="2120" w:type="dxa"/>
            <w:vAlign w:val="bottom"/>
          </w:tcPr>
          <w:p>
            <w:pPr>
              <w:jc w:val="center"/>
              <w:ind w:left="1151"/>
              <w:spacing w:after="0"/>
              <w:rPr>
                <w:sz w:val="20"/>
                <w:szCs w:val="20"/>
                <w:color w:val="auto"/>
              </w:rPr>
            </w:pPr>
            <w:r>
              <w:rPr>
                <w:rFonts w:ascii="Arial" w:cs="Arial" w:eastAsia="Arial" w:hAnsi="Arial"/>
                <w:sz w:val="14"/>
                <w:szCs w:val="14"/>
                <w:color w:val="auto"/>
                <w:w w:val="88"/>
              </w:rPr>
              <w:t>10,674,073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90"/>
        </w:trPr>
        <w:tc>
          <w:tcPr>
            <w:tcW w:w="36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02"/>
        </w:trPr>
        <w:tc>
          <w:tcPr>
            <w:tcW w:w="366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Maurizio Nicolelli</w:t>
            </w:r>
          </w:p>
        </w:tc>
        <w:tc>
          <w:tcPr>
            <w:tcW w:w="2900" w:type="dxa"/>
            <w:vAlign w:val="bottom"/>
            <w:tcBorders>
              <w:right w:val="single" w:sz="8" w:color="auto"/>
            </w:tcBorders>
          </w:tcPr>
          <w:p>
            <w:pPr>
              <w:jc w:val="center"/>
              <w:ind w:left="231"/>
              <w:spacing w:after="0"/>
              <w:rPr>
                <w:sz w:val="20"/>
                <w:szCs w:val="20"/>
                <w:color w:val="auto"/>
              </w:rPr>
            </w:pPr>
            <w:r>
              <w:rPr>
                <w:rFonts w:ascii="Arial" w:cs="Arial" w:eastAsia="Arial" w:hAnsi="Arial"/>
                <w:sz w:val="14"/>
                <w:szCs w:val="14"/>
                <w:color w:val="auto"/>
                <w:w w:val="86"/>
              </w:rPr>
              <w:t>823,740</w:t>
            </w:r>
          </w:p>
        </w:tc>
        <w:tc>
          <w:tcPr>
            <w:tcW w:w="2120" w:type="dxa"/>
            <w:vAlign w:val="bottom"/>
          </w:tcPr>
          <w:p>
            <w:pPr>
              <w:jc w:val="center"/>
              <w:ind w:left="1151"/>
              <w:spacing w:after="0"/>
              <w:rPr>
                <w:sz w:val="20"/>
                <w:szCs w:val="20"/>
                <w:color w:val="auto"/>
              </w:rPr>
            </w:pPr>
            <w:r>
              <w:rPr>
                <w:rFonts w:ascii="Arial" w:cs="Arial" w:eastAsia="Arial" w:hAnsi="Arial"/>
                <w:sz w:val="14"/>
                <w:szCs w:val="14"/>
                <w:color w:val="auto"/>
                <w:w w:val="86"/>
              </w:rPr>
              <w:t>1,647,480</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90"/>
        </w:trPr>
        <w:tc>
          <w:tcPr>
            <w:tcW w:w="36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02"/>
        </w:trPr>
        <w:tc>
          <w:tcPr>
            <w:tcW w:w="366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Vikas Bhalla</w:t>
            </w:r>
          </w:p>
        </w:tc>
        <w:tc>
          <w:tcPr>
            <w:tcW w:w="2900" w:type="dxa"/>
            <w:vAlign w:val="bottom"/>
            <w:tcBorders>
              <w:right w:val="single" w:sz="8" w:color="auto"/>
            </w:tcBorders>
          </w:tcPr>
          <w:p>
            <w:pPr>
              <w:jc w:val="center"/>
              <w:ind w:left="231"/>
              <w:spacing w:after="0"/>
              <w:rPr>
                <w:sz w:val="20"/>
                <w:szCs w:val="20"/>
                <w:color w:val="auto"/>
              </w:rPr>
            </w:pPr>
            <w:r>
              <w:rPr>
                <w:rFonts w:ascii="Arial" w:cs="Arial" w:eastAsia="Arial" w:hAnsi="Arial"/>
                <w:sz w:val="14"/>
                <w:szCs w:val="14"/>
                <w:color w:val="auto"/>
                <w:w w:val="86"/>
              </w:rPr>
              <w:t>922,165</w:t>
            </w:r>
          </w:p>
        </w:tc>
        <w:tc>
          <w:tcPr>
            <w:tcW w:w="2120" w:type="dxa"/>
            <w:vAlign w:val="bottom"/>
          </w:tcPr>
          <w:p>
            <w:pPr>
              <w:jc w:val="center"/>
              <w:ind w:left="1151"/>
              <w:spacing w:after="0"/>
              <w:rPr>
                <w:sz w:val="20"/>
                <w:szCs w:val="20"/>
                <w:color w:val="auto"/>
              </w:rPr>
            </w:pPr>
            <w:r>
              <w:rPr>
                <w:rFonts w:ascii="Arial" w:cs="Arial" w:eastAsia="Arial" w:hAnsi="Arial"/>
                <w:sz w:val="14"/>
                <w:szCs w:val="14"/>
                <w:color w:val="auto"/>
                <w:w w:val="86"/>
              </w:rPr>
              <w:t>1,844,329</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90"/>
        </w:trPr>
        <w:tc>
          <w:tcPr>
            <w:tcW w:w="36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02"/>
        </w:trPr>
        <w:tc>
          <w:tcPr>
            <w:tcW w:w="366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Vivek Jetley</w:t>
            </w:r>
          </w:p>
        </w:tc>
        <w:tc>
          <w:tcPr>
            <w:tcW w:w="2900" w:type="dxa"/>
            <w:vAlign w:val="bottom"/>
            <w:tcBorders>
              <w:right w:val="single" w:sz="8" w:color="auto"/>
            </w:tcBorders>
          </w:tcPr>
          <w:p>
            <w:pPr>
              <w:jc w:val="center"/>
              <w:ind w:left="231"/>
              <w:spacing w:after="0"/>
              <w:rPr>
                <w:sz w:val="20"/>
                <w:szCs w:val="20"/>
                <w:color w:val="auto"/>
              </w:rPr>
            </w:pPr>
            <w:r>
              <w:rPr>
                <w:rFonts w:ascii="Arial" w:cs="Arial" w:eastAsia="Arial" w:hAnsi="Arial"/>
                <w:sz w:val="14"/>
                <w:szCs w:val="14"/>
                <w:color w:val="auto"/>
                <w:w w:val="86"/>
              </w:rPr>
              <w:t>856,848</w:t>
            </w:r>
          </w:p>
        </w:tc>
        <w:tc>
          <w:tcPr>
            <w:tcW w:w="2120" w:type="dxa"/>
            <w:vAlign w:val="bottom"/>
          </w:tcPr>
          <w:p>
            <w:pPr>
              <w:jc w:val="center"/>
              <w:ind w:left="1151"/>
              <w:spacing w:after="0"/>
              <w:rPr>
                <w:sz w:val="20"/>
                <w:szCs w:val="20"/>
                <w:color w:val="auto"/>
              </w:rPr>
            </w:pPr>
            <w:r>
              <w:rPr>
                <w:rFonts w:ascii="Arial" w:cs="Arial" w:eastAsia="Arial" w:hAnsi="Arial"/>
                <w:sz w:val="14"/>
                <w:szCs w:val="14"/>
                <w:color w:val="auto"/>
                <w:w w:val="86"/>
              </w:rPr>
              <w:t>1,713,695</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90"/>
        </w:trPr>
        <w:tc>
          <w:tcPr>
            <w:tcW w:w="366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02"/>
        </w:trPr>
        <w:tc>
          <w:tcPr>
            <w:tcW w:w="366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Ankor Rai</w:t>
            </w:r>
          </w:p>
        </w:tc>
        <w:tc>
          <w:tcPr>
            <w:tcW w:w="2900" w:type="dxa"/>
            <w:vAlign w:val="bottom"/>
            <w:tcBorders>
              <w:right w:val="single" w:sz="8" w:color="auto"/>
            </w:tcBorders>
          </w:tcPr>
          <w:p>
            <w:pPr>
              <w:jc w:val="center"/>
              <w:ind w:left="231"/>
              <w:spacing w:after="0"/>
              <w:rPr>
                <w:sz w:val="20"/>
                <w:szCs w:val="20"/>
                <w:color w:val="auto"/>
              </w:rPr>
            </w:pPr>
            <w:r>
              <w:rPr>
                <w:rFonts w:ascii="Arial" w:cs="Arial" w:eastAsia="Arial" w:hAnsi="Arial"/>
                <w:sz w:val="14"/>
                <w:szCs w:val="14"/>
                <w:color w:val="auto"/>
                <w:w w:val="86"/>
              </w:rPr>
              <w:t>659,172</w:t>
            </w:r>
          </w:p>
        </w:tc>
        <w:tc>
          <w:tcPr>
            <w:tcW w:w="2120" w:type="dxa"/>
            <w:vAlign w:val="bottom"/>
          </w:tcPr>
          <w:p>
            <w:pPr>
              <w:jc w:val="center"/>
              <w:ind w:left="1151"/>
              <w:spacing w:after="0"/>
              <w:rPr>
                <w:sz w:val="20"/>
                <w:szCs w:val="20"/>
                <w:color w:val="auto"/>
              </w:rPr>
            </w:pPr>
            <w:r>
              <w:rPr>
                <w:rFonts w:ascii="Arial" w:cs="Arial" w:eastAsia="Arial" w:hAnsi="Arial"/>
                <w:sz w:val="14"/>
                <w:szCs w:val="14"/>
                <w:color w:val="auto"/>
                <w:w w:val="86"/>
              </w:rPr>
              <w:t>1,318,343</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96"/>
        </w:trPr>
        <w:tc>
          <w:tcPr>
            <w:tcW w:w="3660" w:type="dxa"/>
            <w:vAlign w:val="bottom"/>
            <w:tcBorders>
              <w:bottom w:val="single" w:sz="8" w:color="FB4E0B"/>
              <w:right w:val="single" w:sz="8" w:color="auto"/>
            </w:tcBorders>
          </w:tcPr>
          <w:p>
            <w:pPr>
              <w:spacing w:after="0"/>
              <w:rPr>
                <w:sz w:val="8"/>
                <w:szCs w:val="8"/>
                <w:color w:val="auto"/>
              </w:rPr>
            </w:pPr>
          </w:p>
        </w:tc>
        <w:tc>
          <w:tcPr>
            <w:tcW w:w="2900" w:type="dxa"/>
            <w:vAlign w:val="bottom"/>
            <w:tcBorders>
              <w:bottom w:val="single" w:sz="8" w:color="FB4E0B"/>
              <w:right w:val="single" w:sz="8" w:color="auto"/>
            </w:tcBorders>
          </w:tcPr>
          <w:p>
            <w:pPr>
              <w:spacing w:after="0"/>
              <w:rPr>
                <w:sz w:val="8"/>
                <w:szCs w:val="8"/>
                <w:color w:val="auto"/>
              </w:rPr>
            </w:pPr>
          </w:p>
        </w:tc>
        <w:tc>
          <w:tcPr>
            <w:tcW w:w="2120" w:type="dxa"/>
            <w:vAlign w:val="bottom"/>
            <w:tcBorders>
              <w:bottom w:val="single" w:sz="8" w:color="FB4E0B"/>
            </w:tcBorders>
          </w:tcPr>
          <w:p>
            <w:pPr>
              <w:spacing w:after="0"/>
              <w:rPr>
                <w:sz w:val="8"/>
                <w:szCs w:val="8"/>
                <w:color w:val="auto"/>
              </w:rPr>
            </w:pPr>
          </w:p>
        </w:tc>
        <w:tc>
          <w:tcPr>
            <w:tcW w:w="340" w:type="dxa"/>
            <w:vAlign w:val="bottom"/>
            <w:tcBorders>
              <w:bottom w:val="single" w:sz="8" w:color="FB4E0B"/>
            </w:tcBorders>
          </w:tcPr>
          <w:p>
            <w:pPr>
              <w:spacing w:after="0"/>
              <w:rPr>
                <w:sz w:val="8"/>
                <w:szCs w:val="8"/>
                <w:color w:val="auto"/>
              </w:rPr>
            </w:pPr>
          </w:p>
        </w:tc>
        <w:tc>
          <w:tcPr>
            <w:tcW w:w="540" w:type="dxa"/>
            <w:vAlign w:val="bottom"/>
            <w:tcBorders>
              <w:bottom w:val="single" w:sz="8" w:color="FB4E0B"/>
            </w:tcBorders>
          </w:tcPr>
          <w:p>
            <w:pPr>
              <w:spacing w:after="0"/>
              <w:rPr>
                <w:sz w:val="8"/>
                <w:szCs w:val="8"/>
                <w:color w:val="auto"/>
              </w:rPr>
            </w:pPr>
          </w:p>
        </w:tc>
      </w:tr>
      <w:tr>
        <w:trPr>
          <w:trHeight w:val="615"/>
        </w:trPr>
        <w:tc>
          <w:tcPr>
            <w:tcW w:w="3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3"/>
                <w:szCs w:val="13"/>
                <w:color w:val="auto"/>
              </w:rPr>
              <w:t>EXL 2023 Proxy Statement</w:t>
            </w:r>
          </w:p>
        </w:tc>
        <w:tc>
          <w:tcPr>
            <w:tcW w:w="340" w:type="dxa"/>
            <w:vAlign w:val="bottom"/>
          </w:tcPr>
          <w:p>
            <w:pPr>
              <w:jc w:val="right"/>
              <w:ind w:right="1"/>
              <w:spacing w:after="0"/>
              <w:rPr>
                <w:sz w:val="20"/>
                <w:szCs w:val="20"/>
                <w:color w:val="auto"/>
              </w:rPr>
            </w:pPr>
            <w:r>
              <w:rPr>
                <w:rFonts w:ascii="Arial" w:cs="Arial" w:eastAsia="Arial" w:hAnsi="Arial"/>
                <w:sz w:val="28"/>
                <w:szCs w:val="28"/>
                <w:b w:val="1"/>
                <w:bCs w:val="1"/>
                <w:color w:val="FB4E0B"/>
              </w:rPr>
              <w:t>/</w:t>
            </w:r>
          </w:p>
        </w:tc>
        <w:tc>
          <w:tcPr>
            <w:tcW w:w="540" w:type="dxa"/>
            <w:vAlign w:val="bottom"/>
          </w:tcPr>
          <w:p>
            <w:pPr>
              <w:jc w:val="right"/>
              <w:ind w:right="113"/>
              <w:spacing w:after="0"/>
              <w:rPr>
                <w:sz w:val="20"/>
                <w:szCs w:val="20"/>
                <w:color w:val="auto"/>
              </w:rPr>
            </w:pPr>
            <w:r>
              <w:rPr>
                <w:rFonts w:ascii="Arial" w:cs="Arial" w:eastAsia="Arial" w:hAnsi="Arial"/>
                <w:sz w:val="17"/>
                <w:szCs w:val="17"/>
                <w:b w:val="1"/>
                <w:bCs w:val="1"/>
                <w:color w:val="auto"/>
              </w:rPr>
              <w:t>87</w:t>
            </w:r>
          </w:p>
        </w:tc>
      </w:tr>
    </w:tbl>
    <w:p>
      <w:pPr>
        <w:sectPr>
          <w:pgSz w:w="11900" w:h="16838" w:orient="portrait"/>
          <w:cols w:equalWidth="0" w:num="1">
            <w:col w:w="10940"/>
          </w:cols>
          <w:pgMar w:left="320" w:top="473" w:right="6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7" w:lineRule="exact"/>
        <w:rPr>
          <w:sz w:val="20"/>
          <w:szCs w:val="20"/>
          <w:color w:val="auto"/>
        </w:rPr>
      </w:pPr>
    </w:p>
    <w:p>
      <w:pPr>
        <w:ind w:left="320" w:right="400" w:hanging="4"/>
        <w:spacing w:after="0" w:line="222"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annual incentive awards earned in respect of 2022 and paid in 2023. For details on our annual incentive program, see “Compensation Discussion and Analysis—Annual incentives” beginning on page 76.</w:t>
      </w:r>
    </w:p>
    <w:p>
      <w:pPr>
        <w:ind w:left="320" w:right="160" w:hanging="4"/>
        <w:spacing w:after="0" w:line="213"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present value of accruals under the Gratuity Plan for Indian employees. Information regarding our Gratuity Plan (including the assumptions used to calculate these amounts) may be found under “Pension benefits for fiscal year 2022” beginning on page 95.</w:t>
      </w:r>
    </w:p>
    <w:p>
      <w:pPr>
        <w:jc w:val="both"/>
        <w:ind w:left="320" w:right="40" w:hanging="4"/>
        <w:spacing w:after="0" w:line="248" w:lineRule="auto"/>
        <w:tabs>
          <w:tab w:leader="none" w:pos="516" w:val="left"/>
        </w:tabs>
        <w:numPr>
          <w:ilvl w:val="0"/>
          <w:numId w:val="29"/>
        </w:numPr>
        <w:rPr>
          <w:rFonts w:ascii="Arial" w:cs="Arial" w:eastAsia="Arial" w:hAnsi="Arial"/>
          <w:sz w:val="12"/>
          <w:szCs w:val="12"/>
          <w:color w:val="auto"/>
        </w:rPr>
      </w:pPr>
      <w:r>
        <w:rPr>
          <w:rFonts w:ascii="Arial" w:cs="Arial" w:eastAsia="Arial" w:hAnsi="Arial"/>
          <w:sz w:val="12"/>
          <w:szCs w:val="12"/>
          <w:color w:val="auto"/>
        </w:rPr>
        <w:t>Amount for Mr. Kapoor includes the travel allowance ($43,336) provided for under his employment agreement, to be used for once-a-year business class airfare for himself and his family between the United States and India, costs associated with use of an automobile and driver ($2,021), car lease rental ($3,412), contribution to our 401(k) plan ($9,150), and Company-paid life insurance premiums ($504). In addition, certain travel expenses for Mr. Kapoor’s spouse to accompany him on business trips were provided at no incremental cost to the Company.</w:t>
      </w:r>
    </w:p>
    <w:p>
      <w:pPr>
        <w:spacing w:after="0" w:line="1" w:lineRule="exact"/>
        <w:rPr>
          <w:rFonts w:ascii="Arial" w:cs="Arial" w:eastAsia="Arial" w:hAnsi="Arial"/>
          <w:sz w:val="12"/>
          <w:szCs w:val="12"/>
          <w:color w:val="auto"/>
        </w:rPr>
      </w:pPr>
    </w:p>
    <w:p>
      <w:pPr>
        <w:ind w:left="520" w:hanging="204"/>
        <w:spacing w:after="0" w:line="213"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for Mr. Nicolelli includes contribution to our 401(k) plan ($9,150) and Company-paid Life Insurance premiums ($504).</w:t>
      </w:r>
    </w:p>
    <w:p>
      <w:pPr>
        <w:ind w:left="320" w:right="400" w:hanging="4"/>
        <w:spacing w:after="0" w:line="213"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for Mr. Bhalla includes contributions to the Employees’ Provident Fund Scheme (a statutorily required defined contribution program for Indian employees) ($12,871), costs associated with use of an automobile and driver in India ($4,860), and home internet and telephone charges ($502).</w:t>
      </w:r>
    </w:p>
    <w:p>
      <w:pPr>
        <w:ind w:left="520" w:hanging="204"/>
        <w:spacing w:after="0" w:line="213"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for Mr. Jetley includes contributions to 401(k) plan ($9,150) and Company-paid Life Insurance premiums ($504).</w:t>
      </w:r>
    </w:p>
    <w:p>
      <w:pPr>
        <w:ind w:left="520" w:hanging="204"/>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for Mr. Rai includes contributions to 401(k) plan ($9,150) and Company-paid Life Insurance premiums ($504).</w:t>
      </w:r>
    </w:p>
    <w:p>
      <w:pPr>
        <w:spacing w:after="0" w:line="392"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Unless otherwise specified, U.S. dollar figures in this Proxy Statement have been converted from Indian rupees at a rate of 82.72 Indian rupees to $1.00, the Indian rupee to U.S. dollar exchange rate in effect as of December 30, 2022. Some of the information in the Summary Compensation Tables for fiscal years 2021 and 2020 was converted using the exchange rates in effect as set forth below:</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60" w:type="dxa"/>
            <w:vAlign w:val="bottom"/>
            <w:tcBorders>
              <w:bottom w:val="single" w:sz="8" w:color="FB4E0B"/>
            </w:tcBorders>
          </w:tcPr>
          <w:p>
            <w:pPr>
              <w:spacing w:after="0"/>
              <w:rPr>
                <w:sz w:val="20"/>
                <w:szCs w:val="20"/>
                <w:color w:val="auto"/>
              </w:rPr>
            </w:pPr>
          </w:p>
        </w:tc>
        <w:tc>
          <w:tcPr>
            <w:tcW w:w="2600" w:type="dxa"/>
            <w:vAlign w:val="bottom"/>
            <w:tcBorders>
              <w:bottom w:val="single" w:sz="8" w:color="FB4E0B"/>
            </w:tcBorders>
            <w:gridSpan w:val="2"/>
          </w:tcPr>
          <w:p>
            <w:pPr>
              <w:jc w:val="center"/>
              <w:ind w:right="1640"/>
              <w:spacing w:after="0"/>
              <w:rPr>
                <w:sz w:val="20"/>
                <w:szCs w:val="20"/>
                <w:color w:val="auto"/>
              </w:rPr>
            </w:pPr>
            <w:r>
              <w:rPr>
                <w:rFonts w:ascii="Arial" w:cs="Arial" w:eastAsia="Arial" w:hAnsi="Arial"/>
                <w:sz w:val="17"/>
                <w:szCs w:val="17"/>
                <w:b w:val="1"/>
                <w:bCs w:val="1"/>
                <w:color w:val="FB4E0B"/>
                <w:w w:val="90"/>
              </w:rPr>
              <w:t>Fiscal year</w:t>
            </w:r>
          </w:p>
        </w:tc>
        <w:tc>
          <w:tcPr>
            <w:tcW w:w="2720" w:type="dxa"/>
            <w:vAlign w:val="bottom"/>
            <w:tcBorders>
              <w:bottom w:val="single" w:sz="8" w:color="FB4E0B"/>
            </w:tcBorders>
          </w:tcPr>
          <w:p>
            <w:pPr>
              <w:ind w:left="560"/>
              <w:spacing w:after="0"/>
              <w:rPr>
                <w:sz w:val="20"/>
                <w:szCs w:val="20"/>
                <w:color w:val="auto"/>
              </w:rPr>
            </w:pPr>
            <w:r>
              <w:rPr>
                <w:rFonts w:ascii="Arial" w:cs="Arial" w:eastAsia="Arial" w:hAnsi="Arial"/>
                <w:sz w:val="17"/>
                <w:szCs w:val="17"/>
                <w:b w:val="1"/>
                <w:bCs w:val="1"/>
                <w:color w:val="FB4E0B"/>
              </w:rPr>
              <w:t>Rate</w:t>
            </w:r>
          </w:p>
        </w:tc>
        <w:tc>
          <w:tcPr>
            <w:tcW w:w="4940" w:type="dxa"/>
            <w:vAlign w:val="bottom"/>
            <w:tcBorders>
              <w:bottom w:val="single" w:sz="8" w:color="FB4E0B"/>
            </w:tcBorders>
          </w:tcPr>
          <w:p>
            <w:pPr>
              <w:jc w:val="right"/>
              <w:ind w:right="793"/>
              <w:spacing w:after="0"/>
              <w:rPr>
                <w:sz w:val="20"/>
                <w:szCs w:val="20"/>
                <w:color w:val="auto"/>
              </w:rPr>
            </w:pPr>
            <w:r>
              <w:rPr>
                <w:rFonts w:ascii="Arial" w:cs="Arial" w:eastAsia="Arial" w:hAnsi="Arial"/>
                <w:sz w:val="17"/>
                <w:szCs w:val="17"/>
                <w:b w:val="1"/>
                <w:bCs w:val="1"/>
                <w:color w:val="FB4E0B"/>
              </w:rPr>
              <w:t>Exchange rate of INR per US$1</w:t>
            </w:r>
          </w:p>
        </w:tc>
      </w:tr>
      <w:tr>
        <w:trPr>
          <w:trHeight w:val="260"/>
        </w:trPr>
        <w:tc>
          <w:tcPr>
            <w:tcW w:w="360" w:type="dxa"/>
            <w:vAlign w:val="bottom"/>
          </w:tcPr>
          <w:p>
            <w:pPr>
              <w:spacing w:after="0"/>
              <w:rPr>
                <w:sz w:val="22"/>
                <w:szCs w:val="22"/>
                <w:color w:val="auto"/>
              </w:rPr>
            </w:pPr>
          </w:p>
        </w:tc>
        <w:tc>
          <w:tcPr>
            <w:tcW w:w="1340" w:type="dxa"/>
            <w:vAlign w:val="bottom"/>
            <w:tcBorders>
              <w:right w:val="single" w:sz="8" w:color="auto"/>
            </w:tcBorders>
          </w:tcPr>
          <w:p>
            <w:pPr>
              <w:jc w:val="center"/>
              <w:ind w:right="300"/>
              <w:spacing w:after="0"/>
              <w:rPr>
                <w:sz w:val="20"/>
                <w:szCs w:val="20"/>
                <w:color w:val="auto"/>
              </w:rPr>
            </w:pPr>
            <w:r>
              <w:rPr>
                <w:rFonts w:ascii="Arial" w:cs="Arial" w:eastAsia="Arial" w:hAnsi="Arial"/>
                <w:sz w:val="17"/>
                <w:szCs w:val="17"/>
                <w:color w:val="auto"/>
                <w:w w:val="89"/>
              </w:rPr>
              <w:t>2021</w:t>
            </w:r>
          </w:p>
        </w:tc>
        <w:tc>
          <w:tcPr>
            <w:tcW w:w="1260" w:type="dxa"/>
            <w:vAlign w:val="bottom"/>
          </w:tcPr>
          <w:p>
            <w:pPr>
              <w:spacing w:after="0"/>
              <w:rPr>
                <w:sz w:val="22"/>
                <w:szCs w:val="22"/>
                <w:color w:val="auto"/>
              </w:rPr>
            </w:pPr>
          </w:p>
        </w:tc>
        <w:tc>
          <w:tcPr>
            <w:tcW w:w="2720" w:type="dxa"/>
            <w:vAlign w:val="bottom"/>
            <w:tcBorders>
              <w:right w:val="single" w:sz="8" w:color="auto"/>
            </w:tcBorders>
          </w:tcPr>
          <w:p>
            <w:pPr>
              <w:ind w:left="580"/>
              <w:spacing w:after="0"/>
              <w:rPr>
                <w:sz w:val="20"/>
                <w:szCs w:val="20"/>
                <w:color w:val="auto"/>
              </w:rPr>
            </w:pPr>
            <w:r>
              <w:rPr>
                <w:rFonts w:ascii="Arial" w:cs="Arial" w:eastAsia="Arial" w:hAnsi="Arial"/>
                <w:sz w:val="17"/>
                <w:szCs w:val="17"/>
                <w:color w:val="auto"/>
              </w:rPr>
              <w:t>December 31, 2021</w:t>
            </w:r>
          </w:p>
        </w:tc>
        <w:tc>
          <w:tcPr>
            <w:tcW w:w="4940" w:type="dxa"/>
            <w:vAlign w:val="bottom"/>
          </w:tcPr>
          <w:p>
            <w:pPr>
              <w:jc w:val="right"/>
              <w:ind w:right="1733"/>
              <w:spacing w:after="0"/>
              <w:rPr>
                <w:sz w:val="20"/>
                <w:szCs w:val="20"/>
                <w:color w:val="auto"/>
              </w:rPr>
            </w:pPr>
            <w:r>
              <w:rPr>
                <w:rFonts w:ascii="Arial" w:cs="Arial" w:eastAsia="Arial" w:hAnsi="Arial"/>
                <w:sz w:val="17"/>
                <w:szCs w:val="17"/>
                <w:color w:val="auto"/>
              </w:rPr>
              <w:t>74.33</w:t>
            </w:r>
          </w:p>
        </w:tc>
      </w:tr>
      <w:tr>
        <w:trPr>
          <w:trHeight w:val="104"/>
        </w:trPr>
        <w:tc>
          <w:tcPr>
            <w:tcW w:w="36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r>
      <w:tr>
        <w:trPr>
          <w:trHeight w:val="253"/>
        </w:trPr>
        <w:tc>
          <w:tcPr>
            <w:tcW w:w="360" w:type="dxa"/>
            <w:vAlign w:val="bottom"/>
          </w:tcPr>
          <w:p>
            <w:pPr>
              <w:spacing w:after="0"/>
              <w:rPr>
                <w:sz w:val="22"/>
                <w:szCs w:val="22"/>
                <w:color w:val="auto"/>
              </w:rPr>
            </w:pPr>
          </w:p>
        </w:tc>
        <w:tc>
          <w:tcPr>
            <w:tcW w:w="1340" w:type="dxa"/>
            <w:vAlign w:val="bottom"/>
            <w:tcBorders>
              <w:right w:val="single" w:sz="8" w:color="auto"/>
            </w:tcBorders>
          </w:tcPr>
          <w:p>
            <w:pPr>
              <w:jc w:val="center"/>
              <w:ind w:right="300"/>
              <w:spacing w:after="0"/>
              <w:rPr>
                <w:sz w:val="20"/>
                <w:szCs w:val="20"/>
                <w:color w:val="auto"/>
              </w:rPr>
            </w:pPr>
            <w:r>
              <w:rPr>
                <w:rFonts w:ascii="Arial" w:cs="Arial" w:eastAsia="Arial" w:hAnsi="Arial"/>
                <w:sz w:val="17"/>
                <w:szCs w:val="17"/>
                <w:color w:val="auto"/>
                <w:w w:val="89"/>
              </w:rPr>
              <w:t>2020</w:t>
            </w:r>
          </w:p>
        </w:tc>
        <w:tc>
          <w:tcPr>
            <w:tcW w:w="1260" w:type="dxa"/>
            <w:vAlign w:val="bottom"/>
          </w:tcPr>
          <w:p>
            <w:pPr>
              <w:spacing w:after="0"/>
              <w:rPr>
                <w:sz w:val="22"/>
                <w:szCs w:val="22"/>
                <w:color w:val="auto"/>
              </w:rPr>
            </w:pPr>
          </w:p>
        </w:tc>
        <w:tc>
          <w:tcPr>
            <w:tcW w:w="2720" w:type="dxa"/>
            <w:vAlign w:val="bottom"/>
            <w:tcBorders>
              <w:right w:val="single" w:sz="8" w:color="auto"/>
            </w:tcBorders>
          </w:tcPr>
          <w:p>
            <w:pPr>
              <w:ind w:left="580"/>
              <w:spacing w:after="0"/>
              <w:rPr>
                <w:sz w:val="20"/>
                <w:szCs w:val="20"/>
                <w:color w:val="auto"/>
              </w:rPr>
            </w:pPr>
            <w:r>
              <w:rPr>
                <w:rFonts w:ascii="Arial" w:cs="Arial" w:eastAsia="Arial" w:hAnsi="Arial"/>
                <w:sz w:val="17"/>
                <w:szCs w:val="17"/>
                <w:color w:val="auto"/>
              </w:rPr>
              <w:t>December 31, 2020</w:t>
            </w:r>
          </w:p>
        </w:tc>
        <w:tc>
          <w:tcPr>
            <w:tcW w:w="4940" w:type="dxa"/>
            <w:vAlign w:val="bottom"/>
          </w:tcPr>
          <w:p>
            <w:pPr>
              <w:jc w:val="right"/>
              <w:ind w:right="1733"/>
              <w:spacing w:after="0"/>
              <w:rPr>
                <w:sz w:val="20"/>
                <w:szCs w:val="20"/>
                <w:color w:val="auto"/>
              </w:rPr>
            </w:pPr>
            <w:r>
              <w:rPr>
                <w:rFonts w:ascii="Arial" w:cs="Arial" w:eastAsia="Arial" w:hAnsi="Arial"/>
                <w:sz w:val="17"/>
                <w:szCs w:val="17"/>
                <w:color w:val="auto"/>
              </w:rPr>
              <w:t>73.065</w:t>
            </w:r>
          </w:p>
        </w:tc>
      </w:tr>
      <w:tr>
        <w:trPr>
          <w:trHeight w:val="110"/>
        </w:trPr>
        <w:tc>
          <w:tcPr>
            <w:tcW w:w="360" w:type="dxa"/>
            <w:vAlign w:val="bottom"/>
            <w:tcBorders>
              <w:bottom w:val="single" w:sz="8" w:color="FB4E0B"/>
            </w:tcBorders>
          </w:tcPr>
          <w:p>
            <w:pPr>
              <w:spacing w:after="0"/>
              <w:rPr>
                <w:sz w:val="9"/>
                <w:szCs w:val="9"/>
                <w:color w:val="auto"/>
              </w:rPr>
            </w:pPr>
          </w:p>
        </w:tc>
        <w:tc>
          <w:tcPr>
            <w:tcW w:w="1340" w:type="dxa"/>
            <w:vAlign w:val="bottom"/>
            <w:tcBorders>
              <w:bottom w:val="single" w:sz="8" w:color="FB4E0B"/>
              <w:right w:val="single" w:sz="8" w:color="auto"/>
            </w:tcBorders>
          </w:tcPr>
          <w:p>
            <w:pPr>
              <w:spacing w:after="0"/>
              <w:rPr>
                <w:sz w:val="9"/>
                <w:szCs w:val="9"/>
                <w:color w:val="auto"/>
              </w:rPr>
            </w:pPr>
          </w:p>
        </w:tc>
        <w:tc>
          <w:tcPr>
            <w:tcW w:w="1260" w:type="dxa"/>
            <w:vAlign w:val="bottom"/>
            <w:tcBorders>
              <w:bottom w:val="single" w:sz="8" w:color="FB4E0B"/>
            </w:tcBorders>
          </w:tcPr>
          <w:p>
            <w:pPr>
              <w:spacing w:after="0"/>
              <w:rPr>
                <w:sz w:val="9"/>
                <w:szCs w:val="9"/>
                <w:color w:val="auto"/>
              </w:rPr>
            </w:pPr>
          </w:p>
        </w:tc>
        <w:tc>
          <w:tcPr>
            <w:tcW w:w="2720" w:type="dxa"/>
            <w:vAlign w:val="bottom"/>
            <w:tcBorders>
              <w:bottom w:val="single" w:sz="8" w:color="FB4E0B"/>
              <w:right w:val="single" w:sz="8" w:color="auto"/>
            </w:tcBorders>
          </w:tcPr>
          <w:p>
            <w:pPr>
              <w:spacing w:after="0"/>
              <w:rPr>
                <w:sz w:val="9"/>
                <w:szCs w:val="9"/>
                <w:color w:val="auto"/>
              </w:rPr>
            </w:pPr>
          </w:p>
        </w:tc>
        <w:tc>
          <w:tcPr>
            <w:tcW w:w="4940" w:type="dxa"/>
            <w:vAlign w:val="bottom"/>
            <w:tcBorders>
              <w:bottom w:val="single" w:sz="8" w:color="FB4E0B"/>
            </w:tcBorders>
          </w:tcPr>
          <w:p>
            <w:pPr>
              <w:spacing w:after="0"/>
              <w:rPr>
                <w:sz w:val="9"/>
                <w:szCs w:val="9"/>
                <w:color w:val="auto"/>
              </w:rPr>
            </w:pPr>
          </w:p>
        </w:tc>
      </w:tr>
      <w:tr>
        <w:trPr>
          <w:trHeight w:val="472"/>
        </w:trPr>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88</w:t>
            </w:r>
          </w:p>
        </w:tc>
        <w:tc>
          <w:tcPr>
            <w:tcW w:w="2600" w:type="dxa"/>
            <w:vAlign w:val="bottom"/>
            <w:gridSpan w:val="2"/>
          </w:tcPr>
          <w:p>
            <w:pPr>
              <w:ind w:left="280"/>
              <w:spacing w:after="0"/>
              <w:rPr>
                <w:sz w:val="20"/>
                <w:szCs w:val="20"/>
                <w:color w:val="auto"/>
              </w:rPr>
            </w:pPr>
            <w:r>
              <w:rPr>
                <w:rFonts w:ascii="Arial" w:cs="Arial" w:eastAsia="Arial" w:hAnsi="Arial"/>
                <w:sz w:val="28"/>
                <w:szCs w:val="28"/>
                <w:b w:val="1"/>
                <w:bCs w:val="1"/>
                <w:color w:val="FB4E0B"/>
              </w:rPr>
              <w:t xml:space="preserve">/  </w:t>
            </w:r>
            <w:r>
              <w:rPr>
                <w:rFonts w:ascii="Arial" w:cs="Arial" w:eastAsia="Arial" w:hAnsi="Arial"/>
                <w:sz w:val="13"/>
                <w:szCs w:val="13"/>
                <w:color w:val="000000"/>
              </w:rPr>
              <w:t>EXL 2023 Proxy Statement</w:t>
            </w:r>
          </w:p>
        </w:tc>
        <w:tc>
          <w:tcPr>
            <w:tcW w:w="272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D8D8D8"/>
        </w:rPr>
        <w:t>Executive compensation</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Grants of plan-based awards table for fiscal year 2022</w:t>
      </w:r>
    </w:p>
    <w:p>
      <w:pPr>
        <w:spacing w:after="0" w:line="117" w:lineRule="exact"/>
        <w:rPr>
          <w:sz w:val="20"/>
          <w:szCs w:val="20"/>
          <w:color w:val="auto"/>
        </w:rPr>
      </w:pPr>
    </w:p>
    <w:p>
      <w:pPr>
        <w:ind w:left="320" w:right="360"/>
        <w:spacing w:after="0" w:line="286" w:lineRule="auto"/>
        <w:rPr>
          <w:sz w:val="20"/>
          <w:szCs w:val="20"/>
          <w:color w:val="auto"/>
        </w:rPr>
      </w:pPr>
      <w:r>
        <w:rPr>
          <w:rFonts w:ascii="Arial" w:cs="Arial" w:eastAsia="Arial" w:hAnsi="Arial"/>
          <w:sz w:val="17"/>
          <w:szCs w:val="17"/>
          <w:color w:val="auto"/>
        </w:rPr>
        <w:t>The following table sets forth information concerning grants of stock and option awards and non-equity incentive plan awards granted to our named executive officers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7405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320" w:type="dxa"/>
        <w:tblCellMar>
          <w:top w:w="0" w:type="dxa"/>
          <w:left w:w="0" w:type="dxa"/>
          <w:bottom w:w="0" w:type="dxa"/>
          <w:right w:w="0" w:type="dxa"/>
        </w:tblCellMar>
      </w:tblPr>
      <w:tr>
        <w:trPr>
          <w:trHeight w:val="116"/>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20" w:type="dxa"/>
            <w:vAlign w:val="bottom"/>
            <w:gridSpan w:val="2"/>
          </w:tcPr>
          <w:p>
            <w:pPr>
              <w:jc w:val="right"/>
              <w:ind w:right="616"/>
              <w:spacing w:after="0"/>
              <w:rPr>
                <w:sz w:val="20"/>
                <w:szCs w:val="20"/>
                <w:color w:val="auto"/>
              </w:rPr>
            </w:pPr>
            <w:r>
              <w:rPr>
                <w:rFonts w:ascii="Arial" w:cs="Arial" w:eastAsia="Arial" w:hAnsi="Arial"/>
                <w:sz w:val="10"/>
                <w:szCs w:val="10"/>
                <w:color w:val="auto"/>
                <w:w w:val="94"/>
              </w:rPr>
              <w:t>Estimated future payouts under</w:t>
            </w:r>
          </w:p>
        </w:tc>
        <w:tc>
          <w:tcPr>
            <w:tcW w:w="60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3"/>
              </w:rPr>
              <w:t>Estimated future payouts</w:t>
            </w: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940" w:type="dxa"/>
            <w:vAlign w:val="bottom"/>
          </w:tcPr>
          <w:p>
            <w:pPr>
              <w:ind w:left="60"/>
              <w:spacing w:after="0"/>
              <w:rPr>
                <w:sz w:val="20"/>
                <w:szCs w:val="20"/>
                <w:color w:val="auto"/>
              </w:rPr>
            </w:pPr>
            <w:r>
              <w:rPr>
                <w:rFonts w:ascii="Arial" w:cs="Arial" w:eastAsia="Arial" w:hAnsi="Arial"/>
                <w:sz w:val="14"/>
                <w:szCs w:val="14"/>
                <w:b w:val="1"/>
                <w:bCs w:val="1"/>
                <w:color w:val="FB4E0B"/>
              </w:rPr>
              <w:t>Name</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0"/>
                <w:szCs w:val="10"/>
                <w:color w:val="auto"/>
              </w:rPr>
              <w:t>non-equity incentive plan awards</w:t>
            </w:r>
            <w:r>
              <w:rPr>
                <w:rFonts w:ascii="Arial" w:cs="Arial" w:eastAsia="Arial" w:hAnsi="Arial"/>
                <w:sz w:val="15"/>
                <w:szCs w:val="15"/>
                <w:color w:val="auto"/>
                <w:vertAlign w:val="superscript"/>
              </w:rPr>
              <w:t>(1)</w:t>
            </w:r>
          </w:p>
        </w:tc>
        <w:tc>
          <w:tcPr>
            <w:tcW w:w="218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0"/>
                <w:szCs w:val="10"/>
                <w:color w:val="auto"/>
                <w:w w:val="93"/>
              </w:rPr>
              <w:t>under equity incentive plan awards</w:t>
            </w:r>
          </w:p>
        </w:tc>
        <w:tc>
          <w:tcPr>
            <w:tcW w:w="960" w:type="dxa"/>
            <w:vAlign w:val="bottom"/>
          </w:tcPr>
          <w:p>
            <w:pPr>
              <w:jc w:val="center"/>
              <w:ind w:right="98"/>
              <w:spacing w:after="0"/>
              <w:rPr>
                <w:sz w:val="20"/>
                <w:szCs w:val="20"/>
                <w:color w:val="auto"/>
              </w:rPr>
            </w:pPr>
            <w:r>
              <w:rPr>
                <w:rFonts w:ascii="Arial" w:cs="Arial" w:eastAsia="Arial" w:hAnsi="Arial"/>
                <w:sz w:val="10"/>
                <w:szCs w:val="10"/>
                <w:color w:val="auto"/>
                <w:w w:val="98"/>
              </w:rPr>
              <w:t>All other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jc w:val="center"/>
              <w:ind w:right="98"/>
              <w:spacing w:after="0" w:line="108" w:lineRule="exact"/>
              <w:rPr>
                <w:sz w:val="20"/>
                <w:szCs w:val="20"/>
                <w:color w:val="auto"/>
              </w:rPr>
            </w:pPr>
            <w:r>
              <w:rPr>
                <w:rFonts w:ascii="Arial" w:cs="Arial" w:eastAsia="Arial" w:hAnsi="Arial"/>
                <w:sz w:val="10"/>
                <w:szCs w:val="10"/>
                <w:color w:val="auto"/>
                <w:w w:val="91"/>
              </w:rPr>
              <w:t>stock awards:</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jc w:val="center"/>
              <w:ind w:right="98"/>
              <w:spacing w:after="0"/>
              <w:rPr>
                <w:sz w:val="20"/>
                <w:szCs w:val="20"/>
                <w:color w:val="auto"/>
              </w:rPr>
            </w:pPr>
            <w:r>
              <w:rPr>
                <w:rFonts w:ascii="Arial" w:cs="Arial" w:eastAsia="Arial" w:hAnsi="Arial"/>
                <w:sz w:val="10"/>
                <w:szCs w:val="10"/>
                <w:color w:val="auto"/>
                <w:w w:val="97"/>
              </w:rPr>
              <w:t>number of</w:t>
            </w:r>
          </w:p>
        </w:tc>
        <w:tc>
          <w:tcPr>
            <w:tcW w:w="1020" w:type="dxa"/>
            <w:vAlign w:val="bottom"/>
          </w:tcPr>
          <w:p>
            <w:pPr>
              <w:jc w:val="center"/>
              <w:ind w:right="14"/>
              <w:spacing w:after="0"/>
              <w:rPr>
                <w:sz w:val="20"/>
                <w:szCs w:val="20"/>
                <w:color w:val="auto"/>
              </w:rPr>
            </w:pPr>
            <w:r>
              <w:rPr>
                <w:rFonts w:ascii="Arial" w:cs="Arial" w:eastAsia="Arial" w:hAnsi="Arial"/>
                <w:sz w:val="10"/>
                <w:szCs w:val="10"/>
                <w:color w:val="auto"/>
                <w:w w:val="95"/>
              </w:rPr>
              <w:t>Grant Date Fair</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jc w:val="center"/>
              <w:ind w:right="98"/>
              <w:spacing w:after="0"/>
              <w:rPr>
                <w:sz w:val="20"/>
                <w:szCs w:val="20"/>
                <w:color w:val="auto"/>
              </w:rPr>
            </w:pPr>
            <w:r>
              <w:rPr>
                <w:rFonts w:ascii="Arial" w:cs="Arial" w:eastAsia="Arial" w:hAnsi="Arial"/>
                <w:sz w:val="10"/>
                <w:szCs w:val="10"/>
                <w:color w:val="auto"/>
                <w:w w:val="87"/>
              </w:rPr>
              <w:t>shares of</w:t>
            </w:r>
          </w:p>
        </w:tc>
        <w:tc>
          <w:tcPr>
            <w:tcW w:w="1020" w:type="dxa"/>
            <w:vAlign w:val="bottom"/>
          </w:tcPr>
          <w:p>
            <w:pPr>
              <w:jc w:val="center"/>
              <w:ind w:right="14"/>
              <w:spacing w:after="0"/>
              <w:rPr>
                <w:sz w:val="20"/>
                <w:szCs w:val="20"/>
                <w:color w:val="auto"/>
              </w:rPr>
            </w:pPr>
            <w:r>
              <w:rPr>
                <w:rFonts w:ascii="Arial" w:cs="Arial" w:eastAsia="Arial" w:hAnsi="Arial"/>
                <w:sz w:val="10"/>
                <w:szCs w:val="10"/>
                <w:color w:val="auto"/>
                <w:w w:val="96"/>
              </w:rPr>
              <w:t>Value of Stock</w:t>
            </w:r>
          </w:p>
        </w:tc>
        <w:tc>
          <w:tcPr>
            <w:tcW w:w="0" w:type="dxa"/>
            <w:vAlign w:val="bottom"/>
          </w:tcPr>
          <w:p>
            <w:pPr>
              <w:spacing w:after="0"/>
              <w:rPr>
                <w:sz w:val="1"/>
                <w:szCs w:val="1"/>
                <w:color w:val="auto"/>
              </w:rPr>
            </w:pPr>
          </w:p>
        </w:tc>
      </w:tr>
      <w:tr>
        <w:trPr>
          <w:trHeight w:val="116"/>
        </w:trPr>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0"/>
                <w:szCs w:val="10"/>
                <w:color w:val="auto"/>
              </w:rPr>
              <w:t>Grant</w:t>
            </w:r>
          </w:p>
        </w:tc>
        <w:tc>
          <w:tcPr>
            <w:tcW w:w="680" w:type="dxa"/>
            <w:vAlign w:val="bottom"/>
          </w:tcPr>
          <w:p>
            <w:pPr>
              <w:jc w:val="center"/>
              <w:ind w:left="128"/>
              <w:spacing w:after="0"/>
              <w:rPr>
                <w:sz w:val="20"/>
                <w:szCs w:val="20"/>
                <w:color w:val="auto"/>
              </w:rPr>
            </w:pPr>
            <w:r>
              <w:rPr>
                <w:rFonts w:ascii="Arial" w:cs="Arial" w:eastAsia="Arial" w:hAnsi="Arial"/>
                <w:sz w:val="10"/>
                <w:szCs w:val="10"/>
                <w:color w:val="auto"/>
                <w:w w:val="94"/>
              </w:rPr>
              <w:t>Threshold</w:t>
            </w:r>
          </w:p>
        </w:tc>
        <w:tc>
          <w:tcPr>
            <w:tcW w:w="1120" w:type="dxa"/>
            <w:vAlign w:val="bottom"/>
          </w:tcPr>
          <w:p>
            <w:pPr>
              <w:jc w:val="right"/>
              <w:ind w:right="337"/>
              <w:spacing w:after="0"/>
              <w:rPr>
                <w:sz w:val="20"/>
                <w:szCs w:val="20"/>
                <w:color w:val="auto"/>
              </w:rPr>
            </w:pPr>
            <w:r>
              <w:rPr>
                <w:rFonts w:ascii="Arial" w:cs="Arial" w:eastAsia="Arial" w:hAnsi="Arial"/>
                <w:sz w:val="10"/>
                <w:szCs w:val="10"/>
                <w:color w:val="auto"/>
              </w:rPr>
              <w:t>Target</w:t>
            </w:r>
          </w:p>
        </w:tc>
        <w:tc>
          <w:tcPr>
            <w:tcW w:w="900" w:type="dxa"/>
            <w:vAlign w:val="bottom"/>
          </w:tcPr>
          <w:p>
            <w:pPr>
              <w:jc w:val="right"/>
              <w:ind w:right="196"/>
              <w:spacing w:after="0"/>
              <w:rPr>
                <w:sz w:val="20"/>
                <w:szCs w:val="20"/>
                <w:color w:val="auto"/>
              </w:rPr>
            </w:pPr>
            <w:r>
              <w:rPr>
                <w:rFonts w:ascii="Arial" w:cs="Arial" w:eastAsia="Arial" w:hAnsi="Arial"/>
                <w:sz w:val="10"/>
                <w:szCs w:val="10"/>
                <w:color w:val="auto"/>
              </w:rPr>
              <w:t>Maximum</w:t>
            </w:r>
          </w:p>
        </w:tc>
        <w:tc>
          <w:tcPr>
            <w:tcW w:w="600" w:type="dxa"/>
            <w:vAlign w:val="bottom"/>
          </w:tcPr>
          <w:p>
            <w:pPr>
              <w:jc w:val="center"/>
              <w:ind w:left="88"/>
              <w:spacing w:after="0"/>
              <w:rPr>
                <w:sz w:val="20"/>
                <w:szCs w:val="20"/>
                <w:color w:val="auto"/>
              </w:rPr>
            </w:pPr>
            <w:r>
              <w:rPr>
                <w:rFonts w:ascii="Arial" w:cs="Arial" w:eastAsia="Arial" w:hAnsi="Arial"/>
                <w:sz w:val="10"/>
                <w:szCs w:val="10"/>
                <w:color w:val="auto"/>
                <w:w w:val="94"/>
              </w:rPr>
              <w:t>Threshold</w:t>
            </w:r>
          </w:p>
        </w:tc>
        <w:tc>
          <w:tcPr>
            <w:tcW w:w="1040" w:type="dxa"/>
            <w:vAlign w:val="bottom"/>
          </w:tcPr>
          <w:p>
            <w:pPr>
              <w:jc w:val="center"/>
              <w:spacing w:after="0"/>
              <w:rPr>
                <w:sz w:val="20"/>
                <w:szCs w:val="20"/>
                <w:color w:val="auto"/>
              </w:rPr>
            </w:pPr>
            <w:r>
              <w:rPr>
                <w:rFonts w:ascii="Arial" w:cs="Arial" w:eastAsia="Arial" w:hAnsi="Arial"/>
                <w:sz w:val="10"/>
                <w:szCs w:val="10"/>
                <w:color w:val="auto"/>
                <w:w w:val="89"/>
              </w:rPr>
              <w:t>Target</w:t>
            </w:r>
          </w:p>
        </w:tc>
        <w:tc>
          <w:tcPr>
            <w:tcW w:w="540" w:type="dxa"/>
            <w:vAlign w:val="bottom"/>
          </w:tcPr>
          <w:p>
            <w:pPr>
              <w:jc w:val="right"/>
              <w:ind w:right="34"/>
              <w:spacing w:after="0"/>
              <w:rPr>
                <w:sz w:val="20"/>
                <w:szCs w:val="20"/>
                <w:color w:val="auto"/>
              </w:rPr>
            </w:pPr>
            <w:r>
              <w:rPr>
                <w:rFonts w:ascii="Arial" w:cs="Arial" w:eastAsia="Arial" w:hAnsi="Arial"/>
                <w:sz w:val="10"/>
                <w:szCs w:val="10"/>
                <w:color w:val="auto"/>
                <w:w w:val="96"/>
              </w:rPr>
              <w:t>Maximum</w:t>
            </w:r>
          </w:p>
        </w:tc>
        <w:tc>
          <w:tcPr>
            <w:tcW w:w="960" w:type="dxa"/>
            <w:vAlign w:val="bottom"/>
          </w:tcPr>
          <w:p>
            <w:pPr>
              <w:jc w:val="center"/>
              <w:ind w:right="98"/>
              <w:spacing w:after="0"/>
              <w:rPr>
                <w:sz w:val="20"/>
                <w:szCs w:val="20"/>
                <w:color w:val="auto"/>
              </w:rPr>
            </w:pPr>
            <w:r>
              <w:rPr>
                <w:rFonts w:ascii="Arial" w:cs="Arial" w:eastAsia="Arial" w:hAnsi="Arial"/>
                <w:sz w:val="10"/>
                <w:szCs w:val="10"/>
                <w:color w:val="auto"/>
                <w:w w:val="94"/>
              </w:rPr>
              <w:t>stock or units</w:t>
            </w:r>
          </w:p>
        </w:tc>
        <w:tc>
          <w:tcPr>
            <w:tcW w:w="1020" w:type="dxa"/>
            <w:vAlign w:val="bottom"/>
          </w:tcPr>
          <w:p>
            <w:pPr>
              <w:jc w:val="center"/>
              <w:ind w:right="14"/>
              <w:spacing w:after="0"/>
              <w:rPr>
                <w:sz w:val="20"/>
                <w:szCs w:val="20"/>
                <w:color w:val="auto"/>
              </w:rPr>
            </w:pPr>
            <w:r>
              <w:rPr>
                <w:rFonts w:ascii="Arial" w:cs="Arial" w:eastAsia="Arial" w:hAnsi="Arial"/>
                <w:sz w:val="10"/>
                <w:szCs w:val="10"/>
                <w:color w:val="auto"/>
                <w:w w:val="93"/>
              </w:rPr>
              <w:t>and Option</w:t>
            </w:r>
          </w:p>
        </w:tc>
        <w:tc>
          <w:tcPr>
            <w:tcW w:w="0" w:type="dxa"/>
            <w:vAlign w:val="bottom"/>
          </w:tcPr>
          <w:p>
            <w:pPr>
              <w:spacing w:after="0"/>
              <w:rPr>
                <w:sz w:val="1"/>
                <w:szCs w:val="1"/>
                <w:color w:val="auto"/>
              </w:rPr>
            </w:pPr>
          </w:p>
        </w:tc>
      </w:tr>
      <w:tr>
        <w:trPr>
          <w:trHeight w:val="193"/>
        </w:trPr>
        <w:tc>
          <w:tcPr>
            <w:tcW w:w="2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color w:val="auto"/>
              </w:rPr>
              <w:t>date</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540" w:type="dxa"/>
            <w:vAlign w:val="bottom"/>
            <w:tcBorders>
              <w:bottom w:val="single" w:sz="8" w:color="auto"/>
            </w:tcBorders>
          </w:tcPr>
          <w:p>
            <w:pPr>
              <w:jc w:val="right"/>
              <w:ind w:right="194"/>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color w:val="auto"/>
                <w:w w:val="97"/>
              </w:rPr>
              <w:t>(#)</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0"/>
                <w:szCs w:val="10"/>
                <w:color w:val="auto"/>
                <w:w w:val="89"/>
              </w:rPr>
              <w:t>Awards</w:t>
            </w:r>
            <w:r>
              <w:rPr>
                <w:rFonts w:ascii="Arial" w:cs="Arial" w:eastAsia="Arial" w:hAnsi="Arial"/>
                <w:sz w:val="15"/>
                <w:szCs w:val="15"/>
                <w:color w:val="auto"/>
                <w:w w:val="89"/>
                <w:vertAlign w:val="superscript"/>
              </w:rPr>
              <w:t>(6)</w:t>
            </w:r>
            <w:r>
              <w:rPr>
                <w:rFonts w:ascii="Arial" w:cs="Arial" w:eastAsia="Arial" w:hAnsi="Arial"/>
                <w:sz w:val="10"/>
                <w:szCs w:val="10"/>
                <w:color w:val="auto"/>
                <w:w w:val="89"/>
              </w:rPr>
              <w:t xml:space="preserve"> ($)</w:t>
            </w:r>
          </w:p>
        </w:tc>
        <w:tc>
          <w:tcPr>
            <w:tcW w:w="0" w:type="dxa"/>
            <w:vAlign w:val="bottom"/>
          </w:tcPr>
          <w:p>
            <w:pPr>
              <w:spacing w:after="0"/>
              <w:rPr>
                <w:sz w:val="1"/>
                <w:szCs w:val="1"/>
                <w:color w:val="auto"/>
              </w:rPr>
            </w:pPr>
          </w:p>
        </w:tc>
      </w:tr>
      <w:tr>
        <w:trPr>
          <w:trHeight w:val="169"/>
        </w:trPr>
        <w:tc>
          <w:tcPr>
            <w:tcW w:w="2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Rohit</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4"/>
                <w:szCs w:val="14"/>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color w:val="auto"/>
              </w:rPr>
              <w:t>1,149,575</w:t>
            </w:r>
          </w:p>
        </w:tc>
        <w:tc>
          <w:tcPr>
            <w:tcW w:w="900" w:type="dxa"/>
            <w:vAlign w:val="bottom"/>
          </w:tcPr>
          <w:p>
            <w:pPr>
              <w:jc w:val="right"/>
              <w:ind w:right="96"/>
              <w:spacing w:after="0"/>
              <w:rPr>
                <w:sz w:val="20"/>
                <w:szCs w:val="20"/>
                <w:color w:val="auto"/>
              </w:rPr>
            </w:pPr>
            <w:r>
              <w:rPr>
                <w:rFonts w:ascii="Arial" w:cs="Arial" w:eastAsia="Arial" w:hAnsi="Arial"/>
                <w:sz w:val="14"/>
                <w:szCs w:val="14"/>
                <w:color w:val="auto"/>
              </w:rPr>
              <w:t>3,448,726</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4"/>
                <w:szCs w:val="14"/>
                <w:color w:val="auto"/>
              </w:rPr>
              <w:t>25,164</w:t>
            </w:r>
            <w:r>
              <w:rPr>
                <w:rFonts w:ascii="Arial" w:cs="Arial" w:eastAsia="Arial" w:hAnsi="Arial"/>
                <w:sz w:val="10"/>
                <w:szCs w:val="10"/>
                <w:color w:val="auto"/>
              </w:rPr>
              <w:t>(4)</w:t>
            </w: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color w:val="auto"/>
              </w:rPr>
              <w:t>3,019,177</w:t>
            </w:r>
          </w:p>
        </w:tc>
        <w:tc>
          <w:tcPr>
            <w:tcW w:w="0" w:type="dxa"/>
            <w:vAlign w:val="bottom"/>
          </w:tcPr>
          <w:p>
            <w:pPr>
              <w:spacing w:after="0"/>
              <w:rPr>
                <w:sz w:val="1"/>
                <w:szCs w:val="1"/>
                <w:color w:val="auto"/>
              </w:rPr>
            </w:pPr>
          </w:p>
        </w:tc>
      </w:tr>
      <w:tr>
        <w:trPr>
          <w:trHeight w:val="127"/>
        </w:trPr>
        <w:tc>
          <w:tcPr>
            <w:tcW w:w="294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940" w:type="dxa"/>
            <w:vAlign w:val="bottom"/>
          </w:tcPr>
          <w:p>
            <w:pPr>
              <w:ind w:left="60"/>
              <w:spacing w:after="0"/>
              <w:rPr>
                <w:sz w:val="20"/>
                <w:szCs w:val="20"/>
                <w:color w:val="auto"/>
              </w:rPr>
            </w:pPr>
            <w:r>
              <w:rPr>
                <w:rFonts w:ascii="Arial" w:cs="Arial" w:eastAsia="Arial" w:hAnsi="Arial"/>
                <w:sz w:val="14"/>
                <w:szCs w:val="14"/>
                <w:b w:val="1"/>
                <w:bCs w:val="1"/>
                <w:color w:val="auto"/>
              </w:rPr>
              <w:t>Kapoor</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15,099</w:t>
            </w:r>
            <w:r>
              <w:rPr>
                <w:rFonts w:ascii="Arial" w:cs="Arial" w:eastAsia="Arial" w:hAnsi="Arial"/>
                <w:sz w:val="10"/>
                <w:szCs w:val="10"/>
                <w:color w:val="auto"/>
              </w:rPr>
              <w:t>(2)</w:t>
            </w:r>
          </w:p>
        </w:tc>
        <w:tc>
          <w:tcPr>
            <w:tcW w:w="540" w:type="dxa"/>
            <w:vAlign w:val="bottom"/>
          </w:tcPr>
          <w:p>
            <w:pPr>
              <w:jc w:val="right"/>
              <w:ind w:right="34"/>
              <w:spacing w:after="0"/>
              <w:rPr>
                <w:sz w:val="20"/>
                <w:szCs w:val="20"/>
                <w:color w:val="auto"/>
              </w:rPr>
            </w:pPr>
            <w:r>
              <w:rPr>
                <w:rFonts w:ascii="Arial" w:cs="Arial" w:eastAsia="Arial" w:hAnsi="Arial"/>
                <w:sz w:val="14"/>
                <w:szCs w:val="14"/>
                <w:color w:val="auto"/>
                <w:w w:val="97"/>
              </w:rPr>
              <w:t>30,198</w:t>
            </w:r>
          </w:p>
        </w:tc>
        <w:tc>
          <w:tcPr>
            <w:tcW w:w="960" w:type="dxa"/>
            <w:vAlign w:val="bottom"/>
          </w:tcPr>
          <w:p>
            <w:pPr>
              <w:spacing w:after="0"/>
              <w:rPr>
                <w:sz w:val="17"/>
                <w:szCs w:val="17"/>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1,811,578</w:t>
            </w: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22,647</w:t>
            </w:r>
            <w:r>
              <w:rPr>
                <w:rFonts w:ascii="Arial" w:cs="Arial" w:eastAsia="Arial" w:hAnsi="Arial"/>
                <w:sz w:val="10"/>
                <w:szCs w:val="10"/>
                <w:color w:val="auto"/>
              </w:rPr>
              <w:t>(3)</w:t>
            </w:r>
          </w:p>
        </w:tc>
        <w:tc>
          <w:tcPr>
            <w:tcW w:w="540" w:type="dxa"/>
            <w:vAlign w:val="bottom"/>
          </w:tcPr>
          <w:p>
            <w:pPr>
              <w:jc w:val="right"/>
              <w:ind w:right="34"/>
              <w:spacing w:after="0"/>
              <w:rPr>
                <w:sz w:val="20"/>
                <w:szCs w:val="20"/>
                <w:color w:val="auto"/>
              </w:rPr>
            </w:pPr>
            <w:r>
              <w:rPr>
                <w:rFonts w:ascii="Arial" w:cs="Arial" w:eastAsia="Arial" w:hAnsi="Arial"/>
                <w:sz w:val="14"/>
                <w:szCs w:val="14"/>
                <w:color w:val="auto"/>
                <w:w w:val="97"/>
              </w:rPr>
              <w:t>45,294</w:t>
            </w:r>
          </w:p>
        </w:tc>
        <w:tc>
          <w:tcPr>
            <w:tcW w:w="960" w:type="dxa"/>
            <w:vAlign w:val="bottom"/>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3,525,458</w:t>
            </w:r>
          </w:p>
        </w:tc>
        <w:tc>
          <w:tcPr>
            <w:tcW w:w="0" w:type="dxa"/>
            <w:vAlign w:val="bottom"/>
          </w:tcPr>
          <w:p>
            <w:pPr>
              <w:spacing w:after="0"/>
              <w:rPr>
                <w:sz w:val="1"/>
                <w:szCs w:val="1"/>
                <w:color w:val="auto"/>
              </w:rPr>
            </w:pPr>
          </w:p>
        </w:tc>
      </w:tr>
      <w:tr>
        <w:trPr>
          <w:trHeight w:val="189"/>
        </w:trPr>
        <w:tc>
          <w:tcPr>
            <w:tcW w:w="294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1120" w:type="dxa"/>
            <w:vAlign w:val="bottom"/>
            <w:shd w:val="clear" w:color="auto" w:fill="D8D8D8"/>
          </w:tcPr>
          <w:p>
            <w:pPr>
              <w:jc w:val="right"/>
              <w:ind w:right="137"/>
              <w:spacing w:after="0"/>
              <w:rPr>
                <w:sz w:val="20"/>
                <w:szCs w:val="20"/>
                <w:color w:val="auto"/>
              </w:rPr>
            </w:pPr>
            <w:r>
              <w:rPr>
                <w:rFonts w:ascii="Arial" w:cs="Arial" w:eastAsia="Arial" w:hAnsi="Arial"/>
                <w:sz w:val="14"/>
                <w:szCs w:val="14"/>
                <w:color w:val="auto"/>
              </w:rPr>
              <w:t>362,866</w:t>
            </w:r>
          </w:p>
        </w:tc>
        <w:tc>
          <w:tcPr>
            <w:tcW w:w="900" w:type="dxa"/>
            <w:vAlign w:val="bottom"/>
            <w:shd w:val="clear" w:color="auto" w:fill="D8D8D8"/>
          </w:tcPr>
          <w:p>
            <w:pPr>
              <w:jc w:val="right"/>
              <w:ind w:right="96"/>
              <w:spacing w:after="0"/>
              <w:rPr>
                <w:sz w:val="20"/>
                <w:szCs w:val="20"/>
                <w:color w:val="auto"/>
              </w:rPr>
            </w:pPr>
            <w:r>
              <w:rPr>
                <w:rFonts w:ascii="Arial" w:cs="Arial" w:eastAsia="Arial" w:hAnsi="Arial"/>
                <w:sz w:val="14"/>
                <w:szCs w:val="14"/>
                <w:color w:val="auto"/>
              </w:rPr>
              <w:t>544,300</w:t>
            </w:r>
          </w:p>
        </w:tc>
        <w:tc>
          <w:tcPr>
            <w:tcW w:w="600" w:type="dxa"/>
            <w:vAlign w:val="bottom"/>
            <w:shd w:val="clear" w:color="auto" w:fill="D8D8D8"/>
          </w:tcPr>
          <w:p>
            <w:pPr>
              <w:spacing w:after="0"/>
              <w:rPr>
                <w:sz w:val="16"/>
                <w:szCs w:val="16"/>
                <w:color w:val="auto"/>
              </w:rPr>
            </w:pPr>
          </w:p>
        </w:tc>
        <w:tc>
          <w:tcPr>
            <w:tcW w:w="1040" w:type="dxa"/>
            <w:vAlign w:val="bottom"/>
            <w:shd w:val="clear" w:color="auto" w:fill="D8D8D8"/>
          </w:tcPr>
          <w:p>
            <w:pPr>
              <w:spacing w:after="0"/>
              <w:rPr>
                <w:sz w:val="16"/>
                <w:szCs w:val="16"/>
                <w:color w:val="auto"/>
              </w:rPr>
            </w:pPr>
          </w:p>
        </w:tc>
        <w:tc>
          <w:tcPr>
            <w:tcW w:w="540" w:type="dxa"/>
            <w:vAlign w:val="bottom"/>
            <w:shd w:val="clear" w:color="auto" w:fill="D8D8D8"/>
          </w:tcPr>
          <w:p>
            <w:pPr>
              <w:spacing w:after="0"/>
              <w:rPr>
                <w:sz w:val="16"/>
                <w:szCs w:val="16"/>
                <w:color w:val="auto"/>
              </w:rPr>
            </w:pPr>
          </w:p>
        </w:tc>
        <w:tc>
          <w:tcPr>
            <w:tcW w:w="960" w:type="dxa"/>
            <w:vAlign w:val="bottom"/>
            <w:vMerge w:val="restart"/>
            <w:shd w:val="clear" w:color="auto" w:fill="D8D8D8"/>
          </w:tcPr>
          <w:p>
            <w:pPr>
              <w:jc w:val="right"/>
              <w:ind w:right="98"/>
              <w:spacing w:after="0"/>
              <w:rPr>
                <w:sz w:val="20"/>
                <w:szCs w:val="20"/>
                <w:color w:val="auto"/>
              </w:rPr>
            </w:pPr>
            <w:r>
              <w:rPr>
                <w:rFonts w:ascii="Arial" w:cs="Arial" w:eastAsia="Arial" w:hAnsi="Arial"/>
                <w:sz w:val="14"/>
                <w:szCs w:val="14"/>
                <w:color w:val="auto"/>
              </w:rPr>
              <w:t>3,884</w:t>
            </w:r>
            <w:r>
              <w:rPr>
                <w:rFonts w:ascii="Arial" w:cs="Arial" w:eastAsia="Arial" w:hAnsi="Arial"/>
                <w:sz w:val="10"/>
                <w:szCs w:val="10"/>
                <w:color w:val="auto"/>
              </w:rPr>
              <w:t>(4)</w:t>
            </w:r>
          </w:p>
        </w:tc>
        <w:tc>
          <w:tcPr>
            <w:tcW w:w="1020" w:type="dxa"/>
            <w:vAlign w:val="bottom"/>
            <w:vMerge w:val="restart"/>
            <w:shd w:val="clear" w:color="auto" w:fill="D8D8D8"/>
          </w:tcPr>
          <w:p>
            <w:pPr>
              <w:jc w:val="right"/>
              <w:ind w:right="54"/>
              <w:spacing w:after="0"/>
              <w:rPr>
                <w:sz w:val="20"/>
                <w:szCs w:val="20"/>
                <w:color w:val="auto"/>
              </w:rPr>
            </w:pPr>
            <w:r>
              <w:rPr>
                <w:rFonts w:ascii="Arial" w:cs="Arial" w:eastAsia="Arial" w:hAnsi="Arial"/>
                <w:sz w:val="14"/>
                <w:szCs w:val="14"/>
                <w:color w:val="auto"/>
              </w:rPr>
              <w:t>466,002</w:t>
            </w:r>
          </w:p>
        </w:tc>
        <w:tc>
          <w:tcPr>
            <w:tcW w:w="0" w:type="dxa"/>
            <w:vAlign w:val="bottom"/>
          </w:tcPr>
          <w:p>
            <w:pPr>
              <w:spacing w:after="0"/>
              <w:rPr>
                <w:sz w:val="1"/>
                <w:szCs w:val="1"/>
                <w:color w:val="auto"/>
              </w:rPr>
            </w:pPr>
          </w:p>
        </w:tc>
      </w:tr>
      <w:tr>
        <w:trPr>
          <w:trHeight w:val="163"/>
        </w:trPr>
        <w:tc>
          <w:tcPr>
            <w:tcW w:w="2940" w:type="dxa"/>
            <w:vAlign w:val="bottom"/>
            <w:vMerge w:val="restart"/>
            <w:shd w:val="clear" w:color="auto" w:fill="D8D8D8"/>
          </w:tcPr>
          <w:p>
            <w:pPr>
              <w:ind w:left="60"/>
              <w:spacing w:after="0"/>
              <w:rPr>
                <w:sz w:val="20"/>
                <w:szCs w:val="20"/>
                <w:color w:val="auto"/>
              </w:rPr>
            </w:pPr>
            <w:r>
              <w:rPr>
                <w:rFonts w:ascii="Arial" w:cs="Arial" w:eastAsia="Arial" w:hAnsi="Arial"/>
                <w:sz w:val="14"/>
                <w:szCs w:val="14"/>
                <w:b w:val="1"/>
                <w:bCs w:val="1"/>
                <w:color w:val="auto"/>
              </w:rPr>
              <w:t>Maurizio</w:t>
            </w:r>
          </w:p>
        </w:tc>
        <w:tc>
          <w:tcPr>
            <w:tcW w:w="16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color w:val="auto"/>
                <w:w w:val="86"/>
              </w:rPr>
              <w:t>2/16/2022</w:t>
            </w:r>
          </w:p>
        </w:tc>
        <w:tc>
          <w:tcPr>
            <w:tcW w:w="680" w:type="dxa"/>
            <w:vAlign w:val="bottom"/>
            <w:shd w:val="clear" w:color="auto" w:fill="D8D8D8"/>
          </w:tcPr>
          <w:p>
            <w:pPr>
              <w:spacing w:after="0"/>
              <w:rPr>
                <w:sz w:val="14"/>
                <w:szCs w:val="14"/>
                <w:color w:val="auto"/>
              </w:rPr>
            </w:pPr>
          </w:p>
        </w:tc>
        <w:tc>
          <w:tcPr>
            <w:tcW w:w="112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60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540" w:type="dxa"/>
            <w:vAlign w:val="bottom"/>
            <w:shd w:val="clear" w:color="auto" w:fill="D8D8D8"/>
          </w:tcPr>
          <w:p>
            <w:pPr>
              <w:spacing w:after="0"/>
              <w:rPr>
                <w:sz w:val="14"/>
                <w:szCs w:val="14"/>
                <w:color w:val="auto"/>
              </w:rPr>
            </w:pPr>
          </w:p>
        </w:tc>
        <w:tc>
          <w:tcPr>
            <w:tcW w:w="960" w:type="dxa"/>
            <w:vAlign w:val="bottom"/>
            <w:vMerge w:val="continue"/>
            <w:shd w:val="clear" w:color="auto" w:fill="D8D8D8"/>
          </w:tcPr>
          <w:p>
            <w:pPr>
              <w:spacing w:after="0"/>
              <w:rPr>
                <w:sz w:val="14"/>
                <w:szCs w:val="14"/>
                <w:color w:val="auto"/>
              </w:rPr>
            </w:pPr>
          </w:p>
        </w:tc>
        <w:tc>
          <w:tcPr>
            <w:tcW w:w="102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940" w:type="dxa"/>
            <w:vAlign w:val="bottom"/>
            <w:vMerge w:val="continue"/>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56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w w:val="86"/>
              </w:rPr>
              <w:t>3/31/2022</w:t>
            </w:r>
          </w:p>
        </w:tc>
        <w:tc>
          <w:tcPr>
            <w:tcW w:w="100" w:type="dxa"/>
            <w:vAlign w:val="bottom"/>
            <w:shd w:val="clear" w:color="auto" w:fill="D8D8D8"/>
          </w:tcPr>
          <w:p>
            <w:pPr>
              <w:spacing w:after="0"/>
              <w:rPr>
                <w:sz w:val="5"/>
                <w:szCs w:val="5"/>
                <w:color w:val="auto"/>
              </w:rPr>
            </w:pPr>
          </w:p>
        </w:tc>
        <w:tc>
          <w:tcPr>
            <w:tcW w:w="680" w:type="dxa"/>
            <w:vAlign w:val="bottom"/>
            <w:shd w:val="clear" w:color="auto" w:fill="D8D8D8"/>
          </w:tcPr>
          <w:p>
            <w:pPr>
              <w:spacing w:after="0"/>
              <w:rPr>
                <w:sz w:val="5"/>
                <w:szCs w:val="5"/>
                <w:color w:val="auto"/>
              </w:rPr>
            </w:pPr>
          </w:p>
        </w:tc>
        <w:tc>
          <w:tcPr>
            <w:tcW w:w="1120" w:type="dxa"/>
            <w:vAlign w:val="bottom"/>
            <w:shd w:val="clear" w:color="auto" w:fill="D8D8D8"/>
          </w:tcPr>
          <w:p>
            <w:pPr>
              <w:spacing w:after="0"/>
              <w:rPr>
                <w:sz w:val="5"/>
                <w:szCs w:val="5"/>
                <w:color w:val="auto"/>
              </w:rPr>
            </w:pPr>
          </w:p>
        </w:tc>
        <w:tc>
          <w:tcPr>
            <w:tcW w:w="900" w:type="dxa"/>
            <w:vAlign w:val="bottom"/>
            <w:shd w:val="clear" w:color="auto" w:fill="D8D8D8"/>
          </w:tcPr>
          <w:p>
            <w:pPr>
              <w:spacing w:after="0"/>
              <w:rPr>
                <w:sz w:val="5"/>
                <w:szCs w:val="5"/>
                <w:color w:val="auto"/>
              </w:rPr>
            </w:pPr>
          </w:p>
        </w:tc>
        <w:tc>
          <w:tcPr>
            <w:tcW w:w="600" w:type="dxa"/>
            <w:vAlign w:val="bottom"/>
            <w:shd w:val="clear" w:color="auto" w:fill="D8D8D8"/>
          </w:tcPr>
          <w:p>
            <w:pPr>
              <w:spacing w:after="0"/>
              <w:rPr>
                <w:sz w:val="5"/>
                <w:szCs w:val="5"/>
                <w:color w:val="auto"/>
              </w:rPr>
            </w:pPr>
          </w:p>
        </w:tc>
        <w:tc>
          <w:tcPr>
            <w:tcW w:w="1040" w:type="dxa"/>
            <w:vAlign w:val="bottom"/>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960" w:type="dxa"/>
            <w:vAlign w:val="bottom"/>
            <w:vMerge w:val="restart"/>
            <w:shd w:val="clear" w:color="auto" w:fill="D8D8D8"/>
          </w:tcPr>
          <w:p>
            <w:pPr>
              <w:jc w:val="right"/>
              <w:ind w:right="98"/>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(5)</w:t>
            </w:r>
          </w:p>
        </w:tc>
        <w:tc>
          <w:tcPr>
            <w:tcW w:w="1020" w:type="dxa"/>
            <w:vAlign w:val="bottom"/>
            <w:vMerge w:val="restart"/>
            <w:shd w:val="clear" w:color="auto" w:fill="D8D8D8"/>
          </w:tcPr>
          <w:p>
            <w:pPr>
              <w:jc w:val="right"/>
              <w:ind w:right="54"/>
              <w:spacing w:after="0"/>
              <w:rPr>
                <w:sz w:val="20"/>
                <w:szCs w:val="20"/>
                <w:color w:val="auto"/>
              </w:rPr>
            </w:pPr>
            <w:r>
              <w:rPr>
                <w:rFonts w:ascii="Arial" w:cs="Arial" w:eastAsia="Arial" w:hAnsi="Arial"/>
                <w:sz w:val="14"/>
                <w:szCs w:val="14"/>
                <w:color w:val="auto"/>
              </w:rPr>
              <w:t>521,123</w:t>
            </w:r>
          </w:p>
        </w:tc>
        <w:tc>
          <w:tcPr>
            <w:tcW w:w="0" w:type="dxa"/>
            <w:vAlign w:val="bottom"/>
          </w:tcPr>
          <w:p>
            <w:pPr>
              <w:spacing w:after="0"/>
              <w:rPr>
                <w:sz w:val="1"/>
                <w:szCs w:val="1"/>
                <w:color w:val="auto"/>
              </w:rPr>
            </w:pPr>
          </w:p>
        </w:tc>
      </w:tr>
      <w:tr>
        <w:trPr>
          <w:trHeight w:val="108"/>
        </w:trPr>
        <w:tc>
          <w:tcPr>
            <w:tcW w:w="2940" w:type="dxa"/>
            <w:vAlign w:val="bottom"/>
            <w:vMerge w:val="restart"/>
            <w:shd w:val="clear" w:color="auto" w:fill="D8D8D8"/>
          </w:tcPr>
          <w:p>
            <w:pPr>
              <w:ind w:left="60"/>
              <w:spacing w:after="0"/>
              <w:rPr>
                <w:sz w:val="20"/>
                <w:szCs w:val="20"/>
                <w:color w:val="auto"/>
              </w:rPr>
            </w:pPr>
            <w:r>
              <w:rPr>
                <w:rFonts w:ascii="Arial" w:cs="Arial" w:eastAsia="Arial" w:hAnsi="Arial"/>
                <w:sz w:val="14"/>
                <w:szCs w:val="14"/>
                <w:b w:val="1"/>
                <w:bCs w:val="1"/>
                <w:color w:val="auto"/>
              </w:rPr>
              <w:t>Nicolelli</w:t>
            </w:r>
          </w:p>
        </w:tc>
        <w:tc>
          <w:tcPr>
            <w:tcW w:w="160" w:type="dxa"/>
            <w:vAlign w:val="bottom"/>
            <w:shd w:val="clear" w:color="auto" w:fill="D8D8D8"/>
          </w:tcPr>
          <w:p>
            <w:pPr>
              <w:spacing w:after="0"/>
              <w:rPr>
                <w:sz w:val="9"/>
                <w:szCs w:val="9"/>
                <w:color w:val="auto"/>
              </w:rPr>
            </w:pPr>
          </w:p>
        </w:tc>
        <w:tc>
          <w:tcPr>
            <w:tcW w:w="560" w:type="dxa"/>
            <w:vAlign w:val="bottom"/>
            <w:vMerge w:val="continue"/>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680" w:type="dxa"/>
            <w:vAlign w:val="bottom"/>
            <w:shd w:val="clear" w:color="auto" w:fill="D8D8D8"/>
          </w:tcPr>
          <w:p>
            <w:pPr>
              <w:spacing w:after="0"/>
              <w:rPr>
                <w:sz w:val="9"/>
                <w:szCs w:val="9"/>
                <w:color w:val="auto"/>
              </w:rPr>
            </w:pPr>
          </w:p>
        </w:tc>
        <w:tc>
          <w:tcPr>
            <w:tcW w:w="1120" w:type="dxa"/>
            <w:vAlign w:val="bottom"/>
            <w:shd w:val="clear" w:color="auto" w:fill="D8D8D8"/>
          </w:tcPr>
          <w:p>
            <w:pPr>
              <w:spacing w:after="0"/>
              <w:rPr>
                <w:sz w:val="9"/>
                <w:szCs w:val="9"/>
                <w:color w:val="auto"/>
              </w:rPr>
            </w:pPr>
          </w:p>
        </w:tc>
        <w:tc>
          <w:tcPr>
            <w:tcW w:w="900" w:type="dxa"/>
            <w:vAlign w:val="bottom"/>
            <w:shd w:val="clear" w:color="auto" w:fill="D8D8D8"/>
          </w:tcPr>
          <w:p>
            <w:pPr>
              <w:spacing w:after="0"/>
              <w:rPr>
                <w:sz w:val="9"/>
                <w:szCs w:val="9"/>
                <w:color w:val="auto"/>
              </w:rPr>
            </w:pPr>
          </w:p>
        </w:tc>
        <w:tc>
          <w:tcPr>
            <w:tcW w:w="600" w:type="dxa"/>
            <w:vAlign w:val="bottom"/>
            <w:shd w:val="clear" w:color="auto" w:fill="D8D8D8"/>
          </w:tcPr>
          <w:p>
            <w:pPr>
              <w:spacing w:after="0"/>
              <w:rPr>
                <w:sz w:val="9"/>
                <w:szCs w:val="9"/>
                <w:color w:val="auto"/>
              </w:rPr>
            </w:pPr>
          </w:p>
        </w:tc>
        <w:tc>
          <w:tcPr>
            <w:tcW w:w="1040" w:type="dxa"/>
            <w:vAlign w:val="bottom"/>
            <w:shd w:val="clear" w:color="auto" w:fill="D8D8D8"/>
          </w:tcPr>
          <w:p>
            <w:pPr>
              <w:spacing w:after="0"/>
              <w:rPr>
                <w:sz w:val="9"/>
                <w:szCs w:val="9"/>
                <w:color w:val="auto"/>
              </w:rPr>
            </w:pPr>
          </w:p>
        </w:tc>
        <w:tc>
          <w:tcPr>
            <w:tcW w:w="540" w:type="dxa"/>
            <w:vAlign w:val="bottom"/>
            <w:shd w:val="clear" w:color="auto" w:fill="D8D8D8"/>
          </w:tcPr>
          <w:p>
            <w:pPr>
              <w:spacing w:after="0"/>
              <w:rPr>
                <w:sz w:val="9"/>
                <w:szCs w:val="9"/>
                <w:color w:val="auto"/>
              </w:rPr>
            </w:pPr>
          </w:p>
        </w:tc>
        <w:tc>
          <w:tcPr>
            <w:tcW w:w="960" w:type="dxa"/>
            <w:vAlign w:val="bottom"/>
            <w:vMerge w:val="continue"/>
            <w:shd w:val="clear" w:color="auto" w:fill="D8D8D8"/>
          </w:tcPr>
          <w:p>
            <w:pPr>
              <w:spacing w:after="0"/>
              <w:rPr>
                <w:sz w:val="9"/>
                <w:szCs w:val="9"/>
                <w:color w:val="auto"/>
              </w:rPr>
            </w:pPr>
          </w:p>
        </w:tc>
        <w:tc>
          <w:tcPr>
            <w:tcW w:w="10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940" w:type="dxa"/>
            <w:vAlign w:val="bottom"/>
            <w:vMerge w:val="continue"/>
            <w:shd w:val="clear" w:color="auto" w:fill="D8D8D8"/>
          </w:tcPr>
          <w:p>
            <w:pPr>
              <w:spacing w:after="0"/>
              <w:rPr>
                <w:sz w:val="6"/>
                <w:szCs w:val="6"/>
                <w:color w:val="auto"/>
              </w:rPr>
            </w:pPr>
          </w:p>
        </w:tc>
        <w:tc>
          <w:tcPr>
            <w:tcW w:w="160" w:type="dxa"/>
            <w:vAlign w:val="bottom"/>
            <w:shd w:val="clear" w:color="auto" w:fill="D8D8D8"/>
          </w:tcPr>
          <w:p>
            <w:pPr>
              <w:spacing w:after="0"/>
              <w:rPr>
                <w:sz w:val="6"/>
                <w:szCs w:val="6"/>
                <w:color w:val="auto"/>
              </w:rPr>
            </w:pPr>
          </w:p>
        </w:tc>
        <w:tc>
          <w:tcPr>
            <w:tcW w:w="56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w w:val="86"/>
              </w:rPr>
              <w:t>2/16/2022</w:t>
            </w:r>
          </w:p>
        </w:tc>
        <w:tc>
          <w:tcPr>
            <w:tcW w:w="100" w:type="dxa"/>
            <w:vAlign w:val="bottom"/>
            <w:shd w:val="clear" w:color="auto" w:fill="D8D8D8"/>
          </w:tcPr>
          <w:p>
            <w:pPr>
              <w:spacing w:after="0"/>
              <w:rPr>
                <w:sz w:val="6"/>
                <w:szCs w:val="6"/>
                <w:color w:val="auto"/>
              </w:rPr>
            </w:pPr>
          </w:p>
        </w:tc>
        <w:tc>
          <w:tcPr>
            <w:tcW w:w="680" w:type="dxa"/>
            <w:vAlign w:val="bottom"/>
            <w:shd w:val="clear" w:color="auto" w:fill="D8D8D8"/>
          </w:tcPr>
          <w:p>
            <w:pPr>
              <w:spacing w:after="0"/>
              <w:rPr>
                <w:sz w:val="6"/>
                <w:szCs w:val="6"/>
                <w:color w:val="auto"/>
              </w:rPr>
            </w:pPr>
          </w:p>
        </w:tc>
        <w:tc>
          <w:tcPr>
            <w:tcW w:w="1120" w:type="dxa"/>
            <w:vAlign w:val="bottom"/>
            <w:shd w:val="clear" w:color="auto" w:fill="D8D8D8"/>
          </w:tcPr>
          <w:p>
            <w:pPr>
              <w:spacing w:after="0"/>
              <w:rPr>
                <w:sz w:val="6"/>
                <w:szCs w:val="6"/>
                <w:color w:val="auto"/>
              </w:rPr>
            </w:pPr>
          </w:p>
        </w:tc>
        <w:tc>
          <w:tcPr>
            <w:tcW w:w="900" w:type="dxa"/>
            <w:vAlign w:val="bottom"/>
            <w:shd w:val="clear" w:color="auto" w:fill="D8D8D8"/>
          </w:tcPr>
          <w:p>
            <w:pPr>
              <w:spacing w:after="0"/>
              <w:rPr>
                <w:sz w:val="6"/>
                <w:szCs w:val="6"/>
                <w:color w:val="auto"/>
              </w:rPr>
            </w:pPr>
          </w:p>
        </w:tc>
        <w:tc>
          <w:tcPr>
            <w:tcW w:w="600" w:type="dxa"/>
            <w:vAlign w:val="bottom"/>
            <w:shd w:val="clear" w:color="auto" w:fill="D8D8D8"/>
          </w:tcPr>
          <w:p>
            <w:pPr>
              <w:spacing w:after="0"/>
              <w:rPr>
                <w:sz w:val="6"/>
                <w:szCs w:val="6"/>
                <w:color w:val="auto"/>
              </w:rPr>
            </w:pPr>
          </w:p>
        </w:tc>
        <w:tc>
          <w:tcPr>
            <w:tcW w:w="1040" w:type="dxa"/>
            <w:vAlign w:val="bottom"/>
            <w:vMerge w:val="restart"/>
            <w:shd w:val="clear" w:color="auto" w:fill="D8D8D8"/>
          </w:tcPr>
          <w:p>
            <w:pPr>
              <w:jc w:val="right"/>
              <w:ind w:right="115"/>
              <w:spacing w:after="0"/>
              <w:rPr>
                <w:sz w:val="20"/>
                <w:szCs w:val="20"/>
                <w:color w:val="auto"/>
              </w:rPr>
            </w:pPr>
            <w:r>
              <w:rPr>
                <w:rFonts w:ascii="Arial" w:cs="Arial" w:eastAsia="Arial" w:hAnsi="Arial"/>
                <w:sz w:val="14"/>
                <w:szCs w:val="14"/>
                <w:color w:val="auto"/>
              </w:rPr>
              <w:t>2,331</w:t>
            </w:r>
            <w:r>
              <w:rPr>
                <w:rFonts w:ascii="Arial" w:cs="Arial" w:eastAsia="Arial" w:hAnsi="Arial"/>
                <w:sz w:val="10"/>
                <w:szCs w:val="10"/>
                <w:color w:val="auto"/>
              </w:rPr>
              <w:t>(2)</w:t>
            </w:r>
          </w:p>
        </w:tc>
        <w:tc>
          <w:tcPr>
            <w:tcW w:w="540" w:type="dxa"/>
            <w:vAlign w:val="bottom"/>
            <w:vMerge w:val="restart"/>
            <w:shd w:val="clear" w:color="auto" w:fill="D8D8D8"/>
          </w:tcPr>
          <w:p>
            <w:pPr>
              <w:jc w:val="right"/>
              <w:ind w:right="34"/>
              <w:spacing w:after="0"/>
              <w:rPr>
                <w:sz w:val="20"/>
                <w:szCs w:val="20"/>
                <w:color w:val="auto"/>
              </w:rPr>
            </w:pPr>
            <w:r>
              <w:rPr>
                <w:rFonts w:ascii="Arial" w:cs="Arial" w:eastAsia="Arial" w:hAnsi="Arial"/>
                <w:sz w:val="14"/>
                <w:szCs w:val="14"/>
                <w:color w:val="auto"/>
              </w:rPr>
              <w:t>4,662</w:t>
            </w:r>
          </w:p>
        </w:tc>
        <w:tc>
          <w:tcPr>
            <w:tcW w:w="960" w:type="dxa"/>
            <w:vAlign w:val="bottom"/>
            <w:shd w:val="clear" w:color="auto" w:fill="D8D8D8"/>
          </w:tcPr>
          <w:p>
            <w:pPr>
              <w:spacing w:after="0"/>
              <w:rPr>
                <w:sz w:val="6"/>
                <w:szCs w:val="6"/>
                <w:color w:val="auto"/>
              </w:rPr>
            </w:pPr>
          </w:p>
        </w:tc>
        <w:tc>
          <w:tcPr>
            <w:tcW w:w="1020" w:type="dxa"/>
            <w:vAlign w:val="bottom"/>
            <w:vMerge w:val="restart"/>
            <w:shd w:val="clear" w:color="auto" w:fill="D8D8D8"/>
          </w:tcPr>
          <w:p>
            <w:pPr>
              <w:jc w:val="right"/>
              <w:ind w:right="54"/>
              <w:spacing w:after="0"/>
              <w:rPr>
                <w:sz w:val="20"/>
                <w:szCs w:val="20"/>
                <w:color w:val="auto"/>
              </w:rPr>
            </w:pPr>
            <w:r>
              <w:rPr>
                <w:rFonts w:ascii="Arial" w:cs="Arial" w:eastAsia="Arial" w:hAnsi="Arial"/>
                <w:sz w:val="14"/>
                <w:szCs w:val="14"/>
                <w:color w:val="auto"/>
              </w:rPr>
              <w:t>279,673</w:t>
            </w:r>
          </w:p>
        </w:tc>
        <w:tc>
          <w:tcPr>
            <w:tcW w:w="0" w:type="dxa"/>
            <w:vAlign w:val="bottom"/>
          </w:tcPr>
          <w:p>
            <w:pPr>
              <w:spacing w:after="0"/>
              <w:rPr>
                <w:sz w:val="1"/>
                <w:szCs w:val="1"/>
                <w:color w:val="auto"/>
              </w:rPr>
            </w:pPr>
          </w:p>
        </w:tc>
      </w:tr>
      <w:tr>
        <w:trPr>
          <w:trHeight w:val="98"/>
        </w:trPr>
        <w:tc>
          <w:tcPr>
            <w:tcW w:w="2940" w:type="dxa"/>
            <w:vAlign w:val="bottom"/>
            <w:shd w:val="clear" w:color="auto" w:fill="D8D8D8"/>
          </w:tcPr>
          <w:p>
            <w:pPr>
              <w:spacing w:after="0"/>
              <w:rPr>
                <w:sz w:val="8"/>
                <w:szCs w:val="8"/>
                <w:color w:val="auto"/>
              </w:rPr>
            </w:pPr>
          </w:p>
        </w:tc>
        <w:tc>
          <w:tcPr>
            <w:tcW w:w="160" w:type="dxa"/>
            <w:vAlign w:val="bottom"/>
            <w:shd w:val="clear" w:color="auto" w:fill="D8D8D8"/>
          </w:tcPr>
          <w:p>
            <w:pPr>
              <w:spacing w:after="0"/>
              <w:rPr>
                <w:sz w:val="8"/>
                <w:szCs w:val="8"/>
                <w:color w:val="auto"/>
              </w:rPr>
            </w:pPr>
          </w:p>
        </w:tc>
        <w:tc>
          <w:tcPr>
            <w:tcW w:w="560" w:type="dxa"/>
            <w:vAlign w:val="bottom"/>
            <w:vMerge w:val="continue"/>
            <w:shd w:val="clear" w:color="auto" w:fill="D8D8D8"/>
          </w:tcPr>
          <w:p>
            <w:pPr>
              <w:spacing w:after="0"/>
              <w:rPr>
                <w:sz w:val="8"/>
                <w:szCs w:val="8"/>
                <w:color w:val="auto"/>
              </w:rPr>
            </w:pPr>
          </w:p>
        </w:tc>
        <w:tc>
          <w:tcPr>
            <w:tcW w:w="100" w:type="dxa"/>
            <w:vAlign w:val="bottom"/>
            <w:shd w:val="clear" w:color="auto" w:fill="D8D8D8"/>
          </w:tcPr>
          <w:p>
            <w:pPr>
              <w:spacing w:after="0"/>
              <w:rPr>
                <w:sz w:val="8"/>
                <w:szCs w:val="8"/>
                <w:color w:val="auto"/>
              </w:rPr>
            </w:pPr>
          </w:p>
        </w:tc>
        <w:tc>
          <w:tcPr>
            <w:tcW w:w="680" w:type="dxa"/>
            <w:vAlign w:val="bottom"/>
            <w:shd w:val="clear" w:color="auto" w:fill="D8D8D8"/>
          </w:tcPr>
          <w:p>
            <w:pPr>
              <w:spacing w:after="0"/>
              <w:rPr>
                <w:sz w:val="8"/>
                <w:szCs w:val="8"/>
                <w:color w:val="auto"/>
              </w:rPr>
            </w:pPr>
          </w:p>
        </w:tc>
        <w:tc>
          <w:tcPr>
            <w:tcW w:w="1120" w:type="dxa"/>
            <w:vAlign w:val="bottom"/>
            <w:shd w:val="clear" w:color="auto" w:fill="D8D8D8"/>
          </w:tcPr>
          <w:p>
            <w:pPr>
              <w:spacing w:after="0"/>
              <w:rPr>
                <w:sz w:val="8"/>
                <w:szCs w:val="8"/>
                <w:color w:val="auto"/>
              </w:rPr>
            </w:pPr>
          </w:p>
        </w:tc>
        <w:tc>
          <w:tcPr>
            <w:tcW w:w="900" w:type="dxa"/>
            <w:vAlign w:val="bottom"/>
            <w:shd w:val="clear" w:color="auto" w:fill="D8D8D8"/>
          </w:tcPr>
          <w:p>
            <w:pPr>
              <w:spacing w:after="0"/>
              <w:rPr>
                <w:sz w:val="8"/>
                <w:szCs w:val="8"/>
                <w:color w:val="auto"/>
              </w:rPr>
            </w:pPr>
          </w:p>
        </w:tc>
        <w:tc>
          <w:tcPr>
            <w:tcW w:w="600" w:type="dxa"/>
            <w:vAlign w:val="bottom"/>
            <w:shd w:val="clear" w:color="auto" w:fill="D8D8D8"/>
          </w:tcPr>
          <w:p>
            <w:pPr>
              <w:spacing w:after="0"/>
              <w:rPr>
                <w:sz w:val="8"/>
                <w:szCs w:val="8"/>
                <w:color w:val="auto"/>
              </w:rPr>
            </w:pPr>
          </w:p>
        </w:tc>
        <w:tc>
          <w:tcPr>
            <w:tcW w:w="1040" w:type="dxa"/>
            <w:vAlign w:val="bottom"/>
            <w:vMerge w:val="continue"/>
            <w:shd w:val="clear" w:color="auto" w:fill="D8D8D8"/>
          </w:tcPr>
          <w:p>
            <w:pPr>
              <w:spacing w:after="0"/>
              <w:rPr>
                <w:sz w:val="8"/>
                <w:szCs w:val="8"/>
                <w:color w:val="auto"/>
              </w:rPr>
            </w:pPr>
          </w:p>
        </w:tc>
        <w:tc>
          <w:tcPr>
            <w:tcW w:w="540" w:type="dxa"/>
            <w:vAlign w:val="bottom"/>
            <w:vMerge w:val="continue"/>
            <w:shd w:val="clear" w:color="auto" w:fill="D8D8D8"/>
          </w:tcPr>
          <w:p>
            <w:pPr>
              <w:spacing w:after="0"/>
              <w:rPr>
                <w:sz w:val="8"/>
                <w:szCs w:val="8"/>
                <w:color w:val="auto"/>
              </w:rPr>
            </w:pPr>
          </w:p>
        </w:tc>
        <w:tc>
          <w:tcPr>
            <w:tcW w:w="960" w:type="dxa"/>
            <w:vAlign w:val="bottom"/>
            <w:shd w:val="clear" w:color="auto" w:fill="D8D8D8"/>
          </w:tcPr>
          <w:p>
            <w:pPr>
              <w:spacing w:after="0"/>
              <w:rPr>
                <w:sz w:val="8"/>
                <w:szCs w:val="8"/>
                <w:color w:val="auto"/>
              </w:rPr>
            </w:pPr>
          </w:p>
        </w:tc>
        <w:tc>
          <w:tcPr>
            <w:tcW w:w="102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94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4"/>
                <w:szCs w:val="14"/>
                <w:color w:val="auto"/>
                <w:w w:val="86"/>
              </w:rPr>
              <w:t>2/16/2022</w:t>
            </w:r>
          </w:p>
        </w:tc>
        <w:tc>
          <w:tcPr>
            <w:tcW w:w="10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112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1040" w:type="dxa"/>
            <w:vAlign w:val="bottom"/>
            <w:shd w:val="clear" w:color="auto" w:fill="D8D8D8"/>
          </w:tcPr>
          <w:p>
            <w:pPr>
              <w:jc w:val="right"/>
              <w:ind w:right="115"/>
              <w:spacing w:after="0"/>
              <w:rPr>
                <w:sz w:val="20"/>
                <w:szCs w:val="20"/>
                <w:color w:val="auto"/>
              </w:rPr>
            </w:pPr>
            <w:r>
              <w:rPr>
                <w:rFonts w:ascii="Arial" w:cs="Arial" w:eastAsia="Arial" w:hAnsi="Arial"/>
                <w:sz w:val="14"/>
                <w:szCs w:val="14"/>
                <w:color w:val="auto"/>
              </w:rPr>
              <w:t>3,495</w:t>
            </w:r>
            <w:r>
              <w:rPr>
                <w:rFonts w:ascii="Arial" w:cs="Arial" w:eastAsia="Arial" w:hAnsi="Arial"/>
                <w:sz w:val="10"/>
                <w:szCs w:val="10"/>
                <w:color w:val="auto"/>
              </w:rPr>
              <w:t>(3)</w:t>
            </w:r>
          </w:p>
        </w:tc>
        <w:tc>
          <w:tcPr>
            <w:tcW w:w="540" w:type="dxa"/>
            <w:vAlign w:val="bottom"/>
            <w:shd w:val="clear" w:color="auto" w:fill="D8D8D8"/>
          </w:tcPr>
          <w:p>
            <w:pPr>
              <w:jc w:val="right"/>
              <w:ind w:right="34"/>
              <w:spacing w:after="0"/>
              <w:rPr>
                <w:sz w:val="20"/>
                <w:szCs w:val="20"/>
                <w:color w:val="auto"/>
              </w:rPr>
            </w:pPr>
            <w:r>
              <w:rPr>
                <w:rFonts w:ascii="Arial" w:cs="Arial" w:eastAsia="Arial" w:hAnsi="Arial"/>
                <w:sz w:val="14"/>
                <w:szCs w:val="14"/>
                <w:color w:val="auto"/>
              </w:rPr>
              <w:t>6,990</w:t>
            </w:r>
          </w:p>
        </w:tc>
        <w:tc>
          <w:tcPr>
            <w:tcW w:w="9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54"/>
              <w:spacing w:after="0"/>
              <w:rPr>
                <w:sz w:val="20"/>
                <w:szCs w:val="20"/>
                <w:color w:val="auto"/>
              </w:rPr>
            </w:pPr>
            <w:r>
              <w:rPr>
                <w:rFonts w:ascii="Arial" w:cs="Arial" w:eastAsia="Arial" w:hAnsi="Arial"/>
                <w:sz w:val="14"/>
                <w:szCs w:val="14"/>
                <w:color w:val="auto"/>
              </w:rPr>
              <w:t>544,067</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5"/>
                <w:szCs w:val="15"/>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color w:val="auto"/>
              </w:rPr>
              <w:t>229,905</w:t>
            </w:r>
          </w:p>
        </w:tc>
        <w:tc>
          <w:tcPr>
            <w:tcW w:w="900" w:type="dxa"/>
            <w:vAlign w:val="bottom"/>
          </w:tcPr>
          <w:p>
            <w:pPr>
              <w:jc w:val="right"/>
              <w:ind w:right="96"/>
              <w:spacing w:after="0"/>
              <w:rPr>
                <w:sz w:val="20"/>
                <w:szCs w:val="20"/>
                <w:color w:val="auto"/>
              </w:rPr>
            </w:pPr>
            <w:r>
              <w:rPr>
                <w:rFonts w:ascii="Arial" w:cs="Arial" w:eastAsia="Arial" w:hAnsi="Arial"/>
                <w:sz w:val="14"/>
                <w:szCs w:val="14"/>
                <w:color w:val="auto"/>
              </w:rPr>
              <w:t>344,857</w:t>
            </w: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4"/>
                <w:szCs w:val="14"/>
                <w:color w:val="auto"/>
              </w:rPr>
              <w:t>4,348</w:t>
            </w:r>
            <w:r>
              <w:rPr>
                <w:rFonts w:ascii="Arial" w:cs="Arial" w:eastAsia="Arial" w:hAnsi="Arial"/>
                <w:sz w:val="10"/>
                <w:szCs w:val="10"/>
                <w:color w:val="auto"/>
              </w:rPr>
              <w:t>(4)</w:t>
            </w: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color w:val="auto"/>
              </w:rPr>
              <w:t>521,673</w:t>
            </w:r>
          </w:p>
        </w:tc>
        <w:tc>
          <w:tcPr>
            <w:tcW w:w="0" w:type="dxa"/>
            <w:vAlign w:val="bottom"/>
          </w:tcPr>
          <w:p>
            <w:pPr>
              <w:spacing w:after="0"/>
              <w:rPr>
                <w:sz w:val="1"/>
                <w:szCs w:val="1"/>
                <w:color w:val="auto"/>
              </w:rPr>
            </w:pPr>
          </w:p>
        </w:tc>
      </w:tr>
      <w:tr>
        <w:trPr>
          <w:trHeight w:val="163"/>
        </w:trPr>
        <w:tc>
          <w:tcPr>
            <w:tcW w:w="2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Vikas</w:t>
            </w:r>
          </w:p>
        </w:tc>
        <w:tc>
          <w:tcPr>
            <w:tcW w:w="8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940" w:type="dxa"/>
            <w:vAlign w:val="bottom"/>
            <w:vMerge w:val="continue"/>
          </w:tcPr>
          <w:p>
            <w:pPr>
              <w:spacing w:after="0"/>
              <w:rPr>
                <w:sz w:val="5"/>
                <w:szCs w:val="5"/>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3/31/2022</w:t>
            </w: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(5)</w:t>
            </w: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color w:val="auto"/>
              </w:rPr>
              <w:t>521,123</w:t>
            </w:r>
          </w:p>
        </w:tc>
        <w:tc>
          <w:tcPr>
            <w:tcW w:w="0" w:type="dxa"/>
            <w:vAlign w:val="bottom"/>
          </w:tcPr>
          <w:p>
            <w:pPr>
              <w:spacing w:after="0"/>
              <w:rPr>
                <w:sz w:val="1"/>
                <w:szCs w:val="1"/>
                <w:color w:val="auto"/>
              </w:rPr>
            </w:pPr>
          </w:p>
        </w:tc>
      </w:tr>
      <w:tr>
        <w:trPr>
          <w:trHeight w:val="108"/>
        </w:trPr>
        <w:tc>
          <w:tcPr>
            <w:tcW w:w="2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Bhalla</w:t>
            </w:r>
          </w:p>
        </w:tc>
        <w:tc>
          <w:tcPr>
            <w:tcW w:w="82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940" w:type="dxa"/>
            <w:vAlign w:val="bottom"/>
            <w:vMerge w:val="continue"/>
          </w:tcPr>
          <w:p>
            <w:pPr>
              <w:spacing w:after="0"/>
              <w:rPr>
                <w:sz w:val="6"/>
                <w:szCs w:val="6"/>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vMerge w:val="restart"/>
          </w:tcPr>
          <w:p>
            <w:pPr>
              <w:jc w:val="right"/>
              <w:ind w:right="115"/>
              <w:spacing w:after="0"/>
              <w:rPr>
                <w:sz w:val="20"/>
                <w:szCs w:val="20"/>
                <w:color w:val="auto"/>
              </w:rPr>
            </w:pPr>
            <w:r>
              <w:rPr>
                <w:rFonts w:ascii="Arial" w:cs="Arial" w:eastAsia="Arial" w:hAnsi="Arial"/>
                <w:sz w:val="14"/>
                <w:szCs w:val="14"/>
                <w:color w:val="auto"/>
              </w:rPr>
              <w:t>2,609</w:t>
            </w:r>
            <w:r>
              <w:rPr>
                <w:rFonts w:ascii="Arial" w:cs="Arial" w:eastAsia="Arial" w:hAnsi="Arial"/>
                <w:sz w:val="10"/>
                <w:szCs w:val="10"/>
                <w:color w:val="auto"/>
              </w:rPr>
              <w:t>(2)</w:t>
            </w:r>
          </w:p>
        </w:tc>
        <w:tc>
          <w:tcPr>
            <w:tcW w:w="540" w:type="dxa"/>
            <w:vAlign w:val="bottom"/>
            <w:vMerge w:val="restart"/>
          </w:tcPr>
          <w:p>
            <w:pPr>
              <w:jc w:val="right"/>
              <w:ind w:right="34"/>
              <w:spacing w:after="0"/>
              <w:rPr>
                <w:sz w:val="20"/>
                <w:szCs w:val="20"/>
                <w:color w:val="auto"/>
              </w:rPr>
            </w:pPr>
            <w:r>
              <w:rPr>
                <w:rFonts w:ascii="Arial" w:cs="Arial" w:eastAsia="Arial" w:hAnsi="Arial"/>
                <w:sz w:val="14"/>
                <w:szCs w:val="14"/>
                <w:color w:val="auto"/>
              </w:rPr>
              <w:t>5,218</w:t>
            </w:r>
          </w:p>
        </w:tc>
        <w:tc>
          <w:tcPr>
            <w:tcW w:w="960" w:type="dxa"/>
            <w:vAlign w:val="bottom"/>
          </w:tcPr>
          <w:p>
            <w:pPr>
              <w:spacing w:after="0"/>
              <w:rPr>
                <w:sz w:val="6"/>
                <w:szCs w:val="6"/>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color w:val="auto"/>
              </w:rPr>
              <w:t>313,028</w:t>
            </w:r>
          </w:p>
        </w:tc>
        <w:tc>
          <w:tcPr>
            <w:tcW w:w="0" w:type="dxa"/>
            <w:vAlign w:val="bottom"/>
          </w:tcPr>
          <w:p>
            <w:pPr>
              <w:spacing w:after="0"/>
              <w:rPr>
                <w:sz w:val="1"/>
                <w:szCs w:val="1"/>
                <w:color w:val="auto"/>
              </w:rPr>
            </w:pPr>
          </w:p>
        </w:tc>
      </w:tr>
      <w:tr>
        <w:trPr>
          <w:trHeight w:val="98"/>
        </w:trPr>
        <w:tc>
          <w:tcPr>
            <w:tcW w:w="2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3,913</w:t>
            </w:r>
            <w:r>
              <w:rPr>
                <w:rFonts w:ascii="Arial" w:cs="Arial" w:eastAsia="Arial" w:hAnsi="Arial"/>
                <w:sz w:val="10"/>
                <w:szCs w:val="10"/>
                <w:color w:val="auto"/>
              </w:rPr>
              <w:t>(3)</w:t>
            </w: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7,826</w:t>
            </w:r>
          </w:p>
        </w:tc>
        <w:tc>
          <w:tcPr>
            <w:tcW w:w="960" w:type="dxa"/>
            <w:vAlign w:val="bottom"/>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609,137</w:t>
            </w:r>
          </w:p>
        </w:tc>
        <w:tc>
          <w:tcPr>
            <w:tcW w:w="0" w:type="dxa"/>
            <w:vAlign w:val="bottom"/>
          </w:tcPr>
          <w:p>
            <w:pPr>
              <w:spacing w:after="0"/>
              <w:rPr>
                <w:sz w:val="1"/>
                <w:szCs w:val="1"/>
                <w:color w:val="auto"/>
              </w:rPr>
            </w:pPr>
          </w:p>
        </w:tc>
      </w:tr>
      <w:tr>
        <w:trPr>
          <w:trHeight w:val="189"/>
        </w:trPr>
        <w:tc>
          <w:tcPr>
            <w:tcW w:w="294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660" w:type="dxa"/>
            <w:vAlign w:val="bottom"/>
            <w:gridSpan w:val="2"/>
            <w:vMerge w:val="restart"/>
            <w:shd w:val="clear" w:color="auto" w:fill="D8D8D8"/>
          </w:tcPr>
          <w:p>
            <w:pPr>
              <w:jc w:val="right"/>
              <w:ind w:right="100"/>
              <w:spacing w:after="0"/>
              <w:rPr>
                <w:sz w:val="20"/>
                <w:szCs w:val="20"/>
                <w:color w:val="auto"/>
              </w:rPr>
            </w:pPr>
            <w:r>
              <w:rPr>
                <w:rFonts w:ascii="Arial" w:cs="Arial" w:eastAsia="Arial" w:hAnsi="Arial"/>
                <w:sz w:val="14"/>
                <w:szCs w:val="14"/>
                <w:color w:val="auto"/>
                <w:w w:val="86"/>
              </w:rPr>
              <w:t>2/16/2022</w:t>
            </w:r>
          </w:p>
        </w:tc>
        <w:tc>
          <w:tcPr>
            <w:tcW w:w="680" w:type="dxa"/>
            <w:vAlign w:val="bottom"/>
            <w:shd w:val="clear" w:color="auto" w:fill="D8D8D8"/>
          </w:tcPr>
          <w:p>
            <w:pPr>
              <w:spacing w:after="0"/>
              <w:rPr>
                <w:sz w:val="16"/>
                <w:szCs w:val="16"/>
                <w:color w:val="auto"/>
              </w:rPr>
            </w:pPr>
          </w:p>
        </w:tc>
        <w:tc>
          <w:tcPr>
            <w:tcW w:w="1120" w:type="dxa"/>
            <w:vAlign w:val="bottom"/>
            <w:shd w:val="clear" w:color="auto" w:fill="D8D8D8"/>
          </w:tcPr>
          <w:p>
            <w:pPr>
              <w:jc w:val="right"/>
              <w:ind w:right="137"/>
              <w:spacing w:after="0"/>
              <w:rPr>
                <w:sz w:val="20"/>
                <w:szCs w:val="20"/>
                <w:color w:val="auto"/>
              </w:rPr>
            </w:pPr>
            <w:r>
              <w:rPr>
                <w:rFonts w:ascii="Arial" w:cs="Arial" w:eastAsia="Arial" w:hAnsi="Arial"/>
                <w:sz w:val="14"/>
                <w:szCs w:val="14"/>
                <w:color w:val="auto"/>
              </w:rPr>
              <w:t>330,123</w:t>
            </w:r>
          </w:p>
        </w:tc>
        <w:tc>
          <w:tcPr>
            <w:tcW w:w="900" w:type="dxa"/>
            <w:vAlign w:val="bottom"/>
            <w:shd w:val="clear" w:color="auto" w:fill="D8D8D8"/>
          </w:tcPr>
          <w:p>
            <w:pPr>
              <w:jc w:val="right"/>
              <w:ind w:right="96"/>
              <w:spacing w:after="0"/>
              <w:rPr>
                <w:sz w:val="20"/>
                <w:szCs w:val="20"/>
                <w:color w:val="auto"/>
              </w:rPr>
            </w:pPr>
            <w:r>
              <w:rPr>
                <w:rFonts w:ascii="Arial" w:cs="Arial" w:eastAsia="Arial" w:hAnsi="Arial"/>
                <w:sz w:val="14"/>
                <w:szCs w:val="14"/>
                <w:color w:val="auto"/>
              </w:rPr>
              <w:t>495,185</w:t>
            </w:r>
          </w:p>
        </w:tc>
        <w:tc>
          <w:tcPr>
            <w:tcW w:w="600" w:type="dxa"/>
            <w:vAlign w:val="bottom"/>
            <w:shd w:val="clear" w:color="auto" w:fill="D8D8D8"/>
          </w:tcPr>
          <w:p>
            <w:pPr>
              <w:spacing w:after="0"/>
              <w:rPr>
                <w:sz w:val="16"/>
                <w:szCs w:val="16"/>
                <w:color w:val="auto"/>
              </w:rPr>
            </w:pPr>
          </w:p>
        </w:tc>
        <w:tc>
          <w:tcPr>
            <w:tcW w:w="1040" w:type="dxa"/>
            <w:vAlign w:val="bottom"/>
            <w:shd w:val="clear" w:color="auto" w:fill="D8D8D8"/>
          </w:tcPr>
          <w:p>
            <w:pPr>
              <w:spacing w:after="0"/>
              <w:rPr>
                <w:sz w:val="16"/>
                <w:szCs w:val="16"/>
                <w:color w:val="auto"/>
              </w:rPr>
            </w:pPr>
          </w:p>
        </w:tc>
        <w:tc>
          <w:tcPr>
            <w:tcW w:w="540" w:type="dxa"/>
            <w:vAlign w:val="bottom"/>
            <w:shd w:val="clear" w:color="auto" w:fill="D8D8D8"/>
          </w:tcPr>
          <w:p>
            <w:pPr>
              <w:spacing w:after="0"/>
              <w:rPr>
                <w:sz w:val="16"/>
                <w:szCs w:val="16"/>
                <w:color w:val="auto"/>
              </w:rPr>
            </w:pPr>
          </w:p>
        </w:tc>
        <w:tc>
          <w:tcPr>
            <w:tcW w:w="960" w:type="dxa"/>
            <w:vAlign w:val="bottom"/>
            <w:vMerge w:val="restart"/>
            <w:shd w:val="clear" w:color="auto" w:fill="D8D8D8"/>
          </w:tcPr>
          <w:p>
            <w:pPr>
              <w:jc w:val="right"/>
              <w:ind w:right="98"/>
              <w:spacing w:after="0"/>
              <w:rPr>
                <w:sz w:val="20"/>
                <w:szCs w:val="20"/>
                <w:color w:val="auto"/>
              </w:rPr>
            </w:pPr>
            <w:r>
              <w:rPr>
                <w:rFonts w:ascii="Arial" w:cs="Arial" w:eastAsia="Arial" w:hAnsi="Arial"/>
                <w:sz w:val="14"/>
                <w:szCs w:val="14"/>
                <w:color w:val="auto"/>
              </w:rPr>
              <w:t>4,040</w:t>
            </w:r>
            <w:r>
              <w:rPr>
                <w:rFonts w:ascii="Arial" w:cs="Arial" w:eastAsia="Arial" w:hAnsi="Arial"/>
                <w:sz w:val="10"/>
                <w:szCs w:val="10"/>
                <w:color w:val="auto"/>
              </w:rPr>
              <w:t>(4)</w:t>
            </w:r>
          </w:p>
        </w:tc>
        <w:tc>
          <w:tcPr>
            <w:tcW w:w="1020" w:type="dxa"/>
            <w:vAlign w:val="bottom"/>
            <w:vMerge w:val="restart"/>
            <w:shd w:val="clear" w:color="auto" w:fill="D8D8D8"/>
          </w:tcPr>
          <w:p>
            <w:pPr>
              <w:jc w:val="right"/>
              <w:ind w:right="54"/>
              <w:spacing w:after="0"/>
              <w:rPr>
                <w:sz w:val="20"/>
                <w:szCs w:val="20"/>
                <w:color w:val="auto"/>
              </w:rPr>
            </w:pPr>
            <w:r>
              <w:rPr>
                <w:rFonts w:ascii="Arial" w:cs="Arial" w:eastAsia="Arial" w:hAnsi="Arial"/>
                <w:sz w:val="14"/>
                <w:szCs w:val="14"/>
                <w:color w:val="auto"/>
              </w:rPr>
              <w:t>484,719</w:t>
            </w:r>
          </w:p>
        </w:tc>
        <w:tc>
          <w:tcPr>
            <w:tcW w:w="0" w:type="dxa"/>
            <w:vAlign w:val="bottom"/>
          </w:tcPr>
          <w:p>
            <w:pPr>
              <w:spacing w:after="0"/>
              <w:rPr>
                <w:sz w:val="1"/>
                <w:szCs w:val="1"/>
                <w:color w:val="auto"/>
              </w:rPr>
            </w:pPr>
          </w:p>
        </w:tc>
      </w:tr>
      <w:tr>
        <w:trPr>
          <w:trHeight w:val="163"/>
        </w:trPr>
        <w:tc>
          <w:tcPr>
            <w:tcW w:w="2940" w:type="dxa"/>
            <w:vAlign w:val="bottom"/>
            <w:vMerge w:val="restart"/>
            <w:shd w:val="clear" w:color="auto" w:fill="D8D8D8"/>
          </w:tcPr>
          <w:p>
            <w:pPr>
              <w:ind w:left="60"/>
              <w:spacing w:after="0"/>
              <w:rPr>
                <w:sz w:val="20"/>
                <w:szCs w:val="20"/>
                <w:color w:val="auto"/>
              </w:rPr>
            </w:pPr>
            <w:r>
              <w:rPr>
                <w:rFonts w:ascii="Arial" w:cs="Arial" w:eastAsia="Arial" w:hAnsi="Arial"/>
                <w:sz w:val="14"/>
                <w:szCs w:val="14"/>
                <w:b w:val="1"/>
                <w:bCs w:val="1"/>
                <w:color w:val="auto"/>
              </w:rPr>
              <w:t>Vivek</w:t>
            </w:r>
          </w:p>
        </w:tc>
        <w:tc>
          <w:tcPr>
            <w:tcW w:w="160" w:type="dxa"/>
            <w:vAlign w:val="bottom"/>
            <w:shd w:val="clear" w:color="auto" w:fill="D8D8D8"/>
          </w:tcPr>
          <w:p>
            <w:pPr>
              <w:spacing w:after="0"/>
              <w:rPr>
                <w:sz w:val="14"/>
                <w:szCs w:val="14"/>
                <w:color w:val="auto"/>
              </w:rPr>
            </w:pPr>
          </w:p>
        </w:tc>
        <w:tc>
          <w:tcPr>
            <w:tcW w:w="660" w:type="dxa"/>
            <w:vAlign w:val="bottom"/>
            <w:gridSpan w:val="2"/>
            <w:vMerge w:val="continue"/>
            <w:shd w:val="clear" w:color="auto" w:fill="D8D8D8"/>
          </w:tcPr>
          <w:p>
            <w:pPr>
              <w:spacing w:after="0"/>
              <w:rPr>
                <w:sz w:val="14"/>
                <w:szCs w:val="14"/>
                <w:color w:val="auto"/>
              </w:rPr>
            </w:pPr>
          </w:p>
        </w:tc>
        <w:tc>
          <w:tcPr>
            <w:tcW w:w="680" w:type="dxa"/>
            <w:vAlign w:val="bottom"/>
            <w:shd w:val="clear" w:color="auto" w:fill="D8D8D8"/>
          </w:tcPr>
          <w:p>
            <w:pPr>
              <w:spacing w:after="0"/>
              <w:rPr>
                <w:sz w:val="14"/>
                <w:szCs w:val="14"/>
                <w:color w:val="auto"/>
              </w:rPr>
            </w:pPr>
          </w:p>
        </w:tc>
        <w:tc>
          <w:tcPr>
            <w:tcW w:w="112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60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540" w:type="dxa"/>
            <w:vAlign w:val="bottom"/>
            <w:shd w:val="clear" w:color="auto" w:fill="D8D8D8"/>
          </w:tcPr>
          <w:p>
            <w:pPr>
              <w:spacing w:after="0"/>
              <w:rPr>
                <w:sz w:val="14"/>
                <w:szCs w:val="14"/>
                <w:color w:val="auto"/>
              </w:rPr>
            </w:pPr>
          </w:p>
        </w:tc>
        <w:tc>
          <w:tcPr>
            <w:tcW w:w="960" w:type="dxa"/>
            <w:vAlign w:val="bottom"/>
            <w:vMerge w:val="continue"/>
            <w:shd w:val="clear" w:color="auto" w:fill="D8D8D8"/>
          </w:tcPr>
          <w:p>
            <w:pPr>
              <w:spacing w:after="0"/>
              <w:rPr>
                <w:sz w:val="14"/>
                <w:szCs w:val="14"/>
                <w:color w:val="auto"/>
              </w:rPr>
            </w:pPr>
          </w:p>
        </w:tc>
        <w:tc>
          <w:tcPr>
            <w:tcW w:w="102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940" w:type="dxa"/>
            <w:vAlign w:val="bottom"/>
            <w:vMerge w:val="continue"/>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56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w w:val="86"/>
              </w:rPr>
              <w:t>3/31/2022</w:t>
            </w:r>
          </w:p>
        </w:tc>
        <w:tc>
          <w:tcPr>
            <w:tcW w:w="100" w:type="dxa"/>
            <w:vAlign w:val="bottom"/>
            <w:shd w:val="clear" w:color="auto" w:fill="D8D8D8"/>
          </w:tcPr>
          <w:p>
            <w:pPr>
              <w:spacing w:after="0"/>
              <w:rPr>
                <w:sz w:val="5"/>
                <w:szCs w:val="5"/>
                <w:color w:val="auto"/>
              </w:rPr>
            </w:pPr>
          </w:p>
        </w:tc>
        <w:tc>
          <w:tcPr>
            <w:tcW w:w="680" w:type="dxa"/>
            <w:vAlign w:val="bottom"/>
            <w:shd w:val="clear" w:color="auto" w:fill="D8D8D8"/>
          </w:tcPr>
          <w:p>
            <w:pPr>
              <w:spacing w:after="0"/>
              <w:rPr>
                <w:sz w:val="5"/>
                <w:szCs w:val="5"/>
                <w:color w:val="auto"/>
              </w:rPr>
            </w:pPr>
          </w:p>
        </w:tc>
        <w:tc>
          <w:tcPr>
            <w:tcW w:w="1120" w:type="dxa"/>
            <w:vAlign w:val="bottom"/>
            <w:shd w:val="clear" w:color="auto" w:fill="D8D8D8"/>
          </w:tcPr>
          <w:p>
            <w:pPr>
              <w:spacing w:after="0"/>
              <w:rPr>
                <w:sz w:val="5"/>
                <w:szCs w:val="5"/>
                <w:color w:val="auto"/>
              </w:rPr>
            </w:pPr>
          </w:p>
        </w:tc>
        <w:tc>
          <w:tcPr>
            <w:tcW w:w="900" w:type="dxa"/>
            <w:vAlign w:val="bottom"/>
            <w:shd w:val="clear" w:color="auto" w:fill="D8D8D8"/>
          </w:tcPr>
          <w:p>
            <w:pPr>
              <w:spacing w:after="0"/>
              <w:rPr>
                <w:sz w:val="5"/>
                <w:szCs w:val="5"/>
                <w:color w:val="auto"/>
              </w:rPr>
            </w:pPr>
          </w:p>
        </w:tc>
        <w:tc>
          <w:tcPr>
            <w:tcW w:w="600" w:type="dxa"/>
            <w:vAlign w:val="bottom"/>
            <w:shd w:val="clear" w:color="auto" w:fill="D8D8D8"/>
          </w:tcPr>
          <w:p>
            <w:pPr>
              <w:spacing w:after="0"/>
              <w:rPr>
                <w:sz w:val="5"/>
                <w:szCs w:val="5"/>
                <w:color w:val="auto"/>
              </w:rPr>
            </w:pPr>
          </w:p>
        </w:tc>
        <w:tc>
          <w:tcPr>
            <w:tcW w:w="1040" w:type="dxa"/>
            <w:vAlign w:val="bottom"/>
            <w:shd w:val="clear" w:color="auto" w:fill="D8D8D8"/>
          </w:tcPr>
          <w:p>
            <w:pPr>
              <w:spacing w:after="0"/>
              <w:rPr>
                <w:sz w:val="5"/>
                <w:szCs w:val="5"/>
                <w:color w:val="auto"/>
              </w:rPr>
            </w:pPr>
          </w:p>
        </w:tc>
        <w:tc>
          <w:tcPr>
            <w:tcW w:w="540" w:type="dxa"/>
            <w:vAlign w:val="bottom"/>
            <w:shd w:val="clear" w:color="auto" w:fill="D8D8D8"/>
          </w:tcPr>
          <w:p>
            <w:pPr>
              <w:spacing w:after="0"/>
              <w:rPr>
                <w:sz w:val="5"/>
                <w:szCs w:val="5"/>
                <w:color w:val="auto"/>
              </w:rPr>
            </w:pPr>
          </w:p>
        </w:tc>
        <w:tc>
          <w:tcPr>
            <w:tcW w:w="960" w:type="dxa"/>
            <w:vAlign w:val="bottom"/>
            <w:vMerge w:val="restart"/>
            <w:shd w:val="clear" w:color="auto" w:fill="D8D8D8"/>
          </w:tcPr>
          <w:p>
            <w:pPr>
              <w:jc w:val="right"/>
              <w:ind w:right="98"/>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(5)</w:t>
            </w:r>
          </w:p>
        </w:tc>
        <w:tc>
          <w:tcPr>
            <w:tcW w:w="1020" w:type="dxa"/>
            <w:vAlign w:val="bottom"/>
            <w:vMerge w:val="restart"/>
            <w:shd w:val="clear" w:color="auto" w:fill="D8D8D8"/>
          </w:tcPr>
          <w:p>
            <w:pPr>
              <w:jc w:val="right"/>
              <w:ind w:right="54"/>
              <w:spacing w:after="0"/>
              <w:rPr>
                <w:sz w:val="20"/>
                <w:szCs w:val="20"/>
                <w:color w:val="auto"/>
              </w:rPr>
            </w:pPr>
            <w:r>
              <w:rPr>
                <w:rFonts w:ascii="Arial" w:cs="Arial" w:eastAsia="Arial" w:hAnsi="Arial"/>
                <w:sz w:val="14"/>
                <w:szCs w:val="14"/>
                <w:color w:val="auto"/>
              </w:rPr>
              <w:t>521,123</w:t>
            </w:r>
          </w:p>
        </w:tc>
        <w:tc>
          <w:tcPr>
            <w:tcW w:w="0" w:type="dxa"/>
            <w:vAlign w:val="bottom"/>
          </w:tcPr>
          <w:p>
            <w:pPr>
              <w:spacing w:after="0"/>
              <w:rPr>
                <w:sz w:val="1"/>
                <w:szCs w:val="1"/>
                <w:color w:val="auto"/>
              </w:rPr>
            </w:pPr>
          </w:p>
        </w:tc>
      </w:tr>
      <w:tr>
        <w:trPr>
          <w:trHeight w:val="108"/>
        </w:trPr>
        <w:tc>
          <w:tcPr>
            <w:tcW w:w="2940" w:type="dxa"/>
            <w:vAlign w:val="bottom"/>
            <w:vMerge w:val="restart"/>
            <w:shd w:val="clear" w:color="auto" w:fill="D8D8D8"/>
          </w:tcPr>
          <w:p>
            <w:pPr>
              <w:ind w:left="60"/>
              <w:spacing w:after="0"/>
              <w:rPr>
                <w:sz w:val="20"/>
                <w:szCs w:val="20"/>
                <w:color w:val="auto"/>
              </w:rPr>
            </w:pPr>
            <w:r>
              <w:rPr>
                <w:rFonts w:ascii="Arial" w:cs="Arial" w:eastAsia="Arial" w:hAnsi="Arial"/>
                <w:sz w:val="14"/>
                <w:szCs w:val="14"/>
                <w:b w:val="1"/>
                <w:bCs w:val="1"/>
                <w:color w:val="auto"/>
              </w:rPr>
              <w:t>Jetley</w:t>
            </w:r>
          </w:p>
        </w:tc>
        <w:tc>
          <w:tcPr>
            <w:tcW w:w="160" w:type="dxa"/>
            <w:vAlign w:val="bottom"/>
            <w:shd w:val="clear" w:color="auto" w:fill="D8D8D8"/>
          </w:tcPr>
          <w:p>
            <w:pPr>
              <w:spacing w:after="0"/>
              <w:rPr>
                <w:sz w:val="9"/>
                <w:szCs w:val="9"/>
                <w:color w:val="auto"/>
              </w:rPr>
            </w:pPr>
          </w:p>
        </w:tc>
        <w:tc>
          <w:tcPr>
            <w:tcW w:w="560" w:type="dxa"/>
            <w:vAlign w:val="bottom"/>
            <w:vMerge w:val="continue"/>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680" w:type="dxa"/>
            <w:vAlign w:val="bottom"/>
            <w:shd w:val="clear" w:color="auto" w:fill="D8D8D8"/>
          </w:tcPr>
          <w:p>
            <w:pPr>
              <w:spacing w:after="0"/>
              <w:rPr>
                <w:sz w:val="9"/>
                <w:szCs w:val="9"/>
                <w:color w:val="auto"/>
              </w:rPr>
            </w:pPr>
          </w:p>
        </w:tc>
        <w:tc>
          <w:tcPr>
            <w:tcW w:w="1120" w:type="dxa"/>
            <w:vAlign w:val="bottom"/>
            <w:shd w:val="clear" w:color="auto" w:fill="D8D8D8"/>
          </w:tcPr>
          <w:p>
            <w:pPr>
              <w:spacing w:after="0"/>
              <w:rPr>
                <w:sz w:val="9"/>
                <w:szCs w:val="9"/>
                <w:color w:val="auto"/>
              </w:rPr>
            </w:pPr>
          </w:p>
        </w:tc>
        <w:tc>
          <w:tcPr>
            <w:tcW w:w="900" w:type="dxa"/>
            <w:vAlign w:val="bottom"/>
            <w:shd w:val="clear" w:color="auto" w:fill="D8D8D8"/>
          </w:tcPr>
          <w:p>
            <w:pPr>
              <w:spacing w:after="0"/>
              <w:rPr>
                <w:sz w:val="9"/>
                <w:szCs w:val="9"/>
                <w:color w:val="auto"/>
              </w:rPr>
            </w:pPr>
          </w:p>
        </w:tc>
        <w:tc>
          <w:tcPr>
            <w:tcW w:w="600" w:type="dxa"/>
            <w:vAlign w:val="bottom"/>
            <w:shd w:val="clear" w:color="auto" w:fill="D8D8D8"/>
          </w:tcPr>
          <w:p>
            <w:pPr>
              <w:spacing w:after="0"/>
              <w:rPr>
                <w:sz w:val="9"/>
                <w:szCs w:val="9"/>
                <w:color w:val="auto"/>
              </w:rPr>
            </w:pPr>
          </w:p>
        </w:tc>
        <w:tc>
          <w:tcPr>
            <w:tcW w:w="1040" w:type="dxa"/>
            <w:vAlign w:val="bottom"/>
            <w:shd w:val="clear" w:color="auto" w:fill="D8D8D8"/>
          </w:tcPr>
          <w:p>
            <w:pPr>
              <w:spacing w:after="0"/>
              <w:rPr>
                <w:sz w:val="9"/>
                <w:szCs w:val="9"/>
                <w:color w:val="auto"/>
              </w:rPr>
            </w:pPr>
          </w:p>
        </w:tc>
        <w:tc>
          <w:tcPr>
            <w:tcW w:w="540" w:type="dxa"/>
            <w:vAlign w:val="bottom"/>
            <w:shd w:val="clear" w:color="auto" w:fill="D8D8D8"/>
          </w:tcPr>
          <w:p>
            <w:pPr>
              <w:spacing w:after="0"/>
              <w:rPr>
                <w:sz w:val="9"/>
                <w:szCs w:val="9"/>
                <w:color w:val="auto"/>
              </w:rPr>
            </w:pPr>
          </w:p>
        </w:tc>
        <w:tc>
          <w:tcPr>
            <w:tcW w:w="960" w:type="dxa"/>
            <w:vAlign w:val="bottom"/>
            <w:vMerge w:val="continue"/>
            <w:shd w:val="clear" w:color="auto" w:fill="D8D8D8"/>
          </w:tcPr>
          <w:p>
            <w:pPr>
              <w:spacing w:after="0"/>
              <w:rPr>
                <w:sz w:val="9"/>
                <w:szCs w:val="9"/>
                <w:color w:val="auto"/>
              </w:rPr>
            </w:pPr>
          </w:p>
        </w:tc>
        <w:tc>
          <w:tcPr>
            <w:tcW w:w="10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940" w:type="dxa"/>
            <w:vAlign w:val="bottom"/>
            <w:vMerge w:val="continue"/>
            <w:shd w:val="clear" w:color="auto" w:fill="D8D8D8"/>
          </w:tcPr>
          <w:p>
            <w:pPr>
              <w:spacing w:after="0"/>
              <w:rPr>
                <w:sz w:val="6"/>
                <w:szCs w:val="6"/>
                <w:color w:val="auto"/>
              </w:rPr>
            </w:pPr>
          </w:p>
        </w:tc>
        <w:tc>
          <w:tcPr>
            <w:tcW w:w="160" w:type="dxa"/>
            <w:vAlign w:val="bottom"/>
            <w:shd w:val="clear" w:color="auto" w:fill="D8D8D8"/>
          </w:tcPr>
          <w:p>
            <w:pPr>
              <w:spacing w:after="0"/>
              <w:rPr>
                <w:sz w:val="6"/>
                <w:szCs w:val="6"/>
                <w:color w:val="auto"/>
              </w:rPr>
            </w:pPr>
          </w:p>
        </w:tc>
        <w:tc>
          <w:tcPr>
            <w:tcW w:w="56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w w:val="86"/>
              </w:rPr>
              <w:t>2/16/2022</w:t>
            </w:r>
          </w:p>
        </w:tc>
        <w:tc>
          <w:tcPr>
            <w:tcW w:w="100" w:type="dxa"/>
            <w:vAlign w:val="bottom"/>
            <w:shd w:val="clear" w:color="auto" w:fill="D8D8D8"/>
          </w:tcPr>
          <w:p>
            <w:pPr>
              <w:spacing w:after="0"/>
              <w:rPr>
                <w:sz w:val="6"/>
                <w:szCs w:val="6"/>
                <w:color w:val="auto"/>
              </w:rPr>
            </w:pPr>
          </w:p>
        </w:tc>
        <w:tc>
          <w:tcPr>
            <w:tcW w:w="680" w:type="dxa"/>
            <w:vAlign w:val="bottom"/>
            <w:shd w:val="clear" w:color="auto" w:fill="D8D8D8"/>
          </w:tcPr>
          <w:p>
            <w:pPr>
              <w:spacing w:after="0"/>
              <w:rPr>
                <w:sz w:val="6"/>
                <w:szCs w:val="6"/>
                <w:color w:val="auto"/>
              </w:rPr>
            </w:pPr>
          </w:p>
        </w:tc>
        <w:tc>
          <w:tcPr>
            <w:tcW w:w="1120" w:type="dxa"/>
            <w:vAlign w:val="bottom"/>
            <w:shd w:val="clear" w:color="auto" w:fill="D8D8D8"/>
          </w:tcPr>
          <w:p>
            <w:pPr>
              <w:spacing w:after="0"/>
              <w:rPr>
                <w:sz w:val="6"/>
                <w:szCs w:val="6"/>
                <w:color w:val="auto"/>
              </w:rPr>
            </w:pPr>
          </w:p>
        </w:tc>
        <w:tc>
          <w:tcPr>
            <w:tcW w:w="900" w:type="dxa"/>
            <w:vAlign w:val="bottom"/>
            <w:shd w:val="clear" w:color="auto" w:fill="D8D8D8"/>
          </w:tcPr>
          <w:p>
            <w:pPr>
              <w:spacing w:after="0"/>
              <w:rPr>
                <w:sz w:val="6"/>
                <w:szCs w:val="6"/>
                <w:color w:val="auto"/>
              </w:rPr>
            </w:pPr>
          </w:p>
        </w:tc>
        <w:tc>
          <w:tcPr>
            <w:tcW w:w="600" w:type="dxa"/>
            <w:vAlign w:val="bottom"/>
            <w:shd w:val="clear" w:color="auto" w:fill="D8D8D8"/>
          </w:tcPr>
          <w:p>
            <w:pPr>
              <w:spacing w:after="0"/>
              <w:rPr>
                <w:sz w:val="6"/>
                <w:szCs w:val="6"/>
                <w:color w:val="auto"/>
              </w:rPr>
            </w:pPr>
          </w:p>
        </w:tc>
        <w:tc>
          <w:tcPr>
            <w:tcW w:w="1040" w:type="dxa"/>
            <w:vAlign w:val="bottom"/>
            <w:vMerge w:val="restart"/>
            <w:shd w:val="clear" w:color="auto" w:fill="D8D8D8"/>
          </w:tcPr>
          <w:p>
            <w:pPr>
              <w:jc w:val="right"/>
              <w:ind w:right="115"/>
              <w:spacing w:after="0"/>
              <w:rPr>
                <w:sz w:val="20"/>
                <w:szCs w:val="20"/>
                <w:color w:val="auto"/>
              </w:rPr>
            </w:pPr>
            <w:r>
              <w:rPr>
                <w:rFonts w:ascii="Arial" w:cs="Arial" w:eastAsia="Arial" w:hAnsi="Arial"/>
                <w:sz w:val="14"/>
                <w:szCs w:val="14"/>
                <w:color w:val="auto"/>
              </w:rPr>
              <w:t>2,424</w:t>
            </w:r>
            <w:r>
              <w:rPr>
                <w:rFonts w:ascii="Arial" w:cs="Arial" w:eastAsia="Arial" w:hAnsi="Arial"/>
                <w:sz w:val="10"/>
                <w:szCs w:val="10"/>
                <w:color w:val="auto"/>
              </w:rPr>
              <w:t>(2)</w:t>
            </w:r>
          </w:p>
        </w:tc>
        <w:tc>
          <w:tcPr>
            <w:tcW w:w="540" w:type="dxa"/>
            <w:vAlign w:val="bottom"/>
            <w:vMerge w:val="restart"/>
            <w:shd w:val="clear" w:color="auto" w:fill="D8D8D8"/>
          </w:tcPr>
          <w:p>
            <w:pPr>
              <w:jc w:val="right"/>
              <w:ind w:right="34"/>
              <w:spacing w:after="0"/>
              <w:rPr>
                <w:sz w:val="20"/>
                <w:szCs w:val="20"/>
                <w:color w:val="auto"/>
              </w:rPr>
            </w:pPr>
            <w:r>
              <w:rPr>
                <w:rFonts w:ascii="Arial" w:cs="Arial" w:eastAsia="Arial" w:hAnsi="Arial"/>
                <w:sz w:val="14"/>
                <w:szCs w:val="14"/>
                <w:color w:val="auto"/>
              </w:rPr>
              <w:t>4,848</w:t>
            </w:r>
          </w:p>
        </w:tc>
        <w:tc>
          <w:tcPr>
            <w:tcW w:w="960" w:type="dxa"/>
            <w:vAlign w:val="bottom"/>
            <w:shd w:val="clear" w:color="auto" w:fill="D8D8D8"/>
          </w:tcPr>
          <w:p>
            <w:pPr>
              <w:spacing w:after="0"/>
              <w:rPr>
                <w:sz w:val="6"/>
                <w:szCs w:val="6"/>
                <w:color w:val="auto"/>
              </w:rPr>
            </w:pPr>
          </w:p>
        </w:tc>
        <w:tc>
          <w:tcPr>
            <w:tcW w:w="1020" w:type="dxa"/>
            <w:vAlign w:val="bottom"/>
            <w:vMerge w:val="restart"/>
            <w:shd w:val="clear" w:color="auto" w:fill="D8D8D8"/>
          </w:tcPr>
          <w:p>
            <w:pPr>
              <w:jc w:val="right"/>
              <w:ind w:right="54"/>
              <w:spacing w:after="0"/>
              <w:rPr>
                <w:sz w:val="20"/>
                <w:szCs w:val="20"/>
                <w:color w:val="auto"/>
              </w:rPr>
            </w:pPr>
            <w:r>
              <w:rPr>
                <w:rFonts w:ascii="Arial" w:cs="Arial" w:eastAsia="Arial" w:hAnsi="Arial"/>
                <w:sz w:val="14"/>
                <w:szCs w:val="14"/>
                <w:color w:val="auto"/>
              </w:rPr>
              <w:t>290,832</w:t>
            </w:r>
          </w:p>
        </w:tc>
        <w:tc>
          <w:tcPr>
            <w:tcW w:w="0" w:type="dxa"/>
            <w:vAlign w:val="bottom"/>
          </w:tcPr>
          <w:p>
            <w:pPr>
              <w:spacing w:after="0"/>
              <w:rPr>
                <w:sz w:val="1"/>
                <w:szCs w:val="1"/>
                <w:color w:val="auto"/>
              </w:rPr>
            </w:pPr>
          </w:p>
        </w:tc>
      </w:tr>
      <w:tr>
        <w:trPr>
          <w:trHeight w:val="98"/>
        </w:trPr>
        <w:tc>
          <w:tcPr>
            <w:tcW w:w="2940" w:type="dxa"/>
            <w:vAlign w:val="bottom"/>
            <w:shd w:val="clear" w:color="auto" w:fill="D8D8D8"/>
          </w:tcPr>
          <w:p>
            <w:pPr>
              <w:spacing w:after="0"/>
              <w:rPr>
                <w:sz w:val="8"/>
                <w:szCs w:val="8"/>
                <w:color w:val="auto"/>
              </w:rPr>
            </w:pPr>
          </w:p>
        </w:tc>
        <w:tc>
          <w:tcPr>
            <w:tcW w:w="160" w:type="dxa"/>
            <w:vAlign w:val="bottom"/>
            <w:shd w:val="clear" w:color="auto" w:fill="D8D8D8"/>
          </w:tcPr>
          <w:p>
            <w:pPr>
              <w:spacing w:after="0"/>
              <w:rPr>
                <w:sz w:val="8"/>
                <w:szCs w:val="8"/>
                <w:color w:val="auto"/>
              </w:rPr>
            </w:pPr>
          </w:p>
        </w:tc>
        <w:tc>
          <w:tcPr>
            <w:tcW w:w="560" w:type="dxa"/>
            <w:vAlign w:val="bottom"/>
            <w:vMerge w:val="continue"/>
            <w:shd w:val="clear" w:color="auto" w:fill="D8D8D8"/>
          </w:tcPr>
          <w:p>
            <w:pPr>
              <w:spacing w:after="0"/>
              <w:rPr>
                <w:sz w:val="8"/>
                <w:szCs w:val="8"/>
                <w:color w:val="auto"/>
              </w:rPr>
            </w:pPr>
          </w:p>
        </w:tc>
        <w:tc>
          <w:tcPr>
            <w:tcW w:w="100" w:type="dxa"/>
            <w:vAlign w:val="bottom"/>
            <w:shd w:val="clear" w:color="auto" w:fill="D8D8D8"/>
          </w:tcPr>
          <w:p>
            <w:pPr>
              <w:spacing w:after="0"/>
              <w:rPr>
                <w:sz w:val="8"/>
                <w:szCs w:val="8"/>
                <w:color w:val="auto"/>
              </w:rPr>
            </w:pPr>
          </w:p>
        </w:tc>
        <w:tc>
          <w:tcPr>
            <w:tcW w:w="680" w:type="dxa"/>
            <w:vAlign w:val="bottom"/>
            <w:shd w:val="clear" w:color="auto" w:fill="D8D8D8"/>
          </w:tcPr>
          <w:p>
            <w:pPr>
              <w:spacing w:after="0"/>
              <w:rPr>
                <w:sz w:val="8"/>
                <w:szCs w:val="8"/>
                <w:color w:val="auto"/>
              </w:rPr>
            </w:pPr>
          </w:p>
        </w:tc>
        <w:tc>
          <w:tcPr>
            <w:tcW w:w="1120" w:type="dxa"/>
            <w:vAlign w:val="bottom"/>
            <w:shd w:val="clear" w:color="auto" w:fill="D8D8D8"/>
          </w:tcPr>
          <w:p>
            <w:pPr>
              <w:spacing w:after="0"/>
              <w:rPr>
                <w:sz w:val="8"/>
                <w:szCs w:val="8"/>
                <w:color w:val="auto"/>
              </w:rPr>
            </w:pPr>
          </w:p>
        </w:tc>
        <w:tc>
          <w:tcPr>
            <w:tcW w:w="900" w:type="dxa"/>
            <w:vAlign w:val="bottom"/>
            <w:shd w:val="clear" w:color="auto" w:fill="D8D8D8"/>
          </w:tcPr>
          <w:p>
            <w:pPr>
              <w:spacing w:after="0"/>
              <w:rPr>
                <w:sz w:val="8"/>
                <w:szCs w:val="8"/>
                <w:color w:val="auto"/>
              </w:rPr>
            </w:pPr>
          </w:p>
        </w:tc>
        <w:tc>
          <w:tcPr>
            <w:tcW w:w="600" w:type="dxa"/>
            <w:vAlign w:val="bottom"/>
            <w:shd w:val="clear" w:color="auto" w:fill="D8D8D8"/>
          </w:tcPr>
          <w:p>
            <w:pPr>
              <w:spacing w:after="0"/>
              <w:rPr>
                <w:sz w:val="8"/>
                <w:szCs w:val="8"/>
                <w:color w:val="auto"/>
              </w:rPr>
            </w:pPr>
          </w:p>
        </w:tc>
        <w:tc>
          <w:tcPr>
            <w:tcW w:w="1040" w:type="dxa"/>
            <w:vAlign w:val="bottom"/>
            <w:vMerge w:val="continue"/>
            <w:shd w:val="clear" w:color="auto" w:fill="D8D8D8"/>
          </w:tcPr>
          <w:p>
            <w:pPr>
              <w:spacing w:after="0"/>
              <w:rPr>
                <w:sz w:val="8"/>
                <w:szCs w:val="8"/>
                <w:color w:val="auto"/>
              </w:rPr>
            </w:pPr>
          </w:p>
        </w:tc>
        <w:tc>
          <w:tcPr>
            <w:tcW w:w="540" w:type="dxa"/>
            <w:vAlign w:val="bottom"/>
            <w:vMerge w:val="continue"/>
            <w:shd w:val="clear" w:color="auto" w:fill="D8D8D8"/>
          </w:tcPr>
          <w:p>
            <w:pPr>
              <w:spacing w:after="0"/>
              <w:rPr>
                <w:sz w:val="8"/>
                <w:szCs w:val="8"/>
                <w:color w:val="auto"/>
              </w:rPr>
            </w:pPr>
          </w:p>
        </w:tc>
        <w:tc>
          <w:tcPr>
            <w:tcW w:w="960" w:type="dxa"/>
            <w:vAlign w:val="bottom"/>
            <w:shd w:val="clear" w:color="auto" w:fill="D8D8D8"/>
          </w:tcPr>
          <w:p>
            <w:pPr>
              <w:spacing w:after="0"/>
              <w:rPr>
                <w:sz w:val="8"/>
                <w:szCs w:val="8"/>
                <w:color w:val="auto"/>
              </w:rPr>
            </w:pPr>
          </w:p>
        </w:tc>
        <w:tc>
          <w:tcPr>
            <w:tcW w:w="102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94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4"/>
                <w:szCs w:val="14"/>
                <w:color w:val="auto"/>
                <w:w w:val="86"/>
              </w:rPr>
              <w:t>2/16/2022</w:t>
            </w:r>
          </w:p>
        </w:tc>
        <w:tc>
          <w:tcPr>
            <w:tcW w:w="10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112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1040" w:type="dxa"/>
            <w:vAlign w:val="bottom"/>
            <w:shd w:val="clear" w:color="auto" w:fill="D8D8D8"/>
          </w:tcPr>
          <w:p>
            <w:pPr>
              <w:jc w:val="right"/>
              <w:ind w:right="115"/>
              <w:spacing w:after="0"/>
              <w:rPr>
                <w:sz w:val="20"/>
                <w:szCs w:val="20"/>
                <w:color w:val="auto"/>
              </w:rPr>
            </w:pPr>
            <w:r>
              <w:rPr>
                <w:rFonts w:ascii="Arial" w:cs="Arial" w:eastAsia="Arial" w:hAnsi="Arial"/>
                <w:sz w:val="14"/>
                <w:szCs w:val="14"/>
                <w:color w:val="auto"/>
              </w:rPr>
              <w:t>3,636</w:t>
            </w:r>
            <w:r>
              <w:rPr>
                <w:rFonts w:ascii="Arial" w:cs="Arial" w:eastAsia="Arial" w:hAnsi="Arial"/>
                <w:sz w:val="10"/>
                <w:szCs w:val="10"/>
                <w:color w:val="auto"/>
              </w:rPr>
              <w:t>(3)</w:t>
            </w:r>
          </w:p>
        </w:tc>
        <w:tc>
          <w:tcPr>
            <w:tcW w:w="540" w:type="dxa"/>
            <w:vAlign w:val="bottom"/>
            <w:shd w:val="clear" w:color="auto" w:fill="D8D8D8"/>
          </w:tcPr>
          <w:p>
            <w:pPr>
              <w:jc w:val="right"/>
              <w:ind w:right="34"/>
              <w:spacing w:after="0"/>
              <w:rPr>
                <w:sz w:val="20"/>
                <w:szCs w:val="20"/>
                <w:color w:val="auto"/>
              </w:rPr>
            </w:pPr>
            <w:r>
              <w:rPr>
                <w:rFonts w:ascii="Arial" w:cs="Arial" w:eastAsia="Arial" w:hAnsi="Arial"/>
                <w:sz w:val="14"/>
                <w:szCs w:val="14"/>
                <w:color w:val="auto"/>
              </w:rPr>
              <w:t>7,272</w:t>
            </w:r>
          </w:p>
        </w:tc>
        <w:tc>
          <w:tcPr>
            <w:tcW w:w="9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54"/>
              <w:spacing w:after="0"/>
              <w:rPr>
                <w:sz w:val="20"/>
                <w:szCs w:val="20"/>
                <w:color w:val="auto"/>
              </w:rPr>
            </w:pPr>
            <w:r>
              <w:rPr>
                <w:rFonts w:ascii="Arial" w:cs="Arial" w:eastAsia="Arial" w:hAnsi="Arial"/>
                <w:sz w:val="14"/>
                <w:szCs w:val="14"/>
                <w:color w:val="auto"/>
              </w:rPr>
              <w:t>566,016</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5"/>
                <w:szCs w:val="15"/>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color w:val="auto"/>
              </w:rPr>
              <w:t>315,062</w:t>
            </w:r>
          </w:p>
        </w:tc>
        <w:tc>
          <w:tcPr>
            <w:tcW w:w="900" w:type="dxa"/>
            <w:vAlign w:val="bottom"/>
          </w:tcPr>
          <w:p>
            <w:pPr>
              <w:jc w:val="right"/>
              <w:ind w:right="96"/>
              <w:spacing w:after="0"/>
              <w:rPr>
                <w:sz w:val="20"/>
                <w:szCs w:val="20"/>
                <w:color w:val="auto"/>
              </w:rPr>
            </w:pPr>
            <w:r>
              <w:rPr>
                <w:rFonts w:ascii="Arial" w:cs="Arial" w:eastAsia="Arial" w:hAnsi="Arial"/>
                <w:sz w:val="14"/>
                <w:szCs w:val="14"/>
                <w:color w:val="auto"/>
              </w:rPr>
              <w:t>472,592</w:t>
            </w: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4"/>
                <w:szCs w:val="14"/>
                <w:color w:val="auto"/>
              </w:rPr>
              <w:t>3,108</w:t>
            </w:r>
            <w:r>
              <w:rPr>
                <w:rFonts w:ascii="Arial" w:cs="Arial" w:eastAsia="Arial" w:hAnsi="Arial"/>
                <w:sz w:val="10"/>
                <w:szCs w:val="10"/>
                <w:color w:val="auto"/>
              </w:rPr>
              <w:t>(4)</w:t>
            </w: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color w:val="auto"/>
              </w:rPr>
              <w:t>372,898</w:t>
            </w:r>
          </w:p>
        </w:tc>
        <w:tc>
          <w:tcPr>
            <w:tcW w:w="0" w:type="dxa"/>
            <w:vAlign w:val="bottom"/>
          </w:tcPr>
          <w:p>
            <w:pPr>
              <w:spacing w:after="0"/>
              <w:rPr>
                <w:sz w:val="1"/>
                <w:szCs w:val="1"/>
                <w:color w:val="auto"/>
              </w:rPr>
            </w:pPr>
          </w:p>
        </w:tc>
      </w:tr>
      <w:tr>
        <w:trPr>
          <w:trHeight w:val="163"/>
        </w:trPr>
        <w:tc>
          <w:tcPr>
            <w:tcW w:w="2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Ankor Rai</w:t>
            </w:r>
          </w:p>
        </w:tc>
        <w:tc>
          <w:tcPr>
            <w:tcW w:w="8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vMerge w:val="continue"/>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3/31/2022</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98"/>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(5)</w:t>
            </w: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521,123</w:t>
            </w: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1,865</w:t>
            </w:r>
            <w:r>
              <w:rPr>
                <w:rFonts w:ascii="Arial" w:cs="Arial" w:eastAsia="Arial" w:hAnsi="Arial"/>
                <w:sz w:val="10"/>
                <w:szCs w:val="10"/>
                <w:color w:val="auto"/>
              </w:rPr>
              <w:t>(2)</w:t>
            </w: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3,730</w:t>
            </w:r>
          </w:p>
        </w:tc>
        <w:tc>
          <w:tcPr>
            <w:tcW w:w="960" w:type="dxa"/>
            <w:vAlign w:val="bottom"/>
          </w:tcPr>
          <w:p>
            <w:pPr>
              <w:spacing w:after="0"/>
              <w:rPr>
                <w:sz w:val="14"/>
                <w:szCs w:val="14"/>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223,763</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2/16/2022</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2,797</w:t>
            </w:r>
            <w:r>
              <w:rPr>
                <w:rFonts w:ascii="Arial" w:cs="Arial" w:eastAsia="Arial" w:hAnsi="Arial"/>
                <w:sz w:val="10"/>
                <w:szCs w:val="10"/>
                <w:color w:val="auto"/>
              </w:rPr>
              <w:t>(3)</w:t>
            </w: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5,594</w:t>
            </w:r>
          </w:p>
        </w:tc>
        <w:tc>
          <w:tcPr>
            <w:tcW w:w="960" w:type="dxa"/>
            <w:vAlign w:val="bottom"/>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435,409</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right="200" w:hanging="4"/>
        <w:spacing w:after="0" w:line="237" w:lineRule="auto"/>
        <w:tabs>
          <w:tab w:leader="none" w:pos="504"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These amounts reflect the target and maximum annual incentive awards set for 2022. For details of our annual incentive program, see “Compensation Discussion and Analysis – Annual incentives” beginning on page 80.</w:t>
      </w:r>
    </w:p>
    <w:p>
      <w:pPr>
        <w:ind w:left="500" w:hanging="184"/>
        <w:spacing w:after="0" w:line="229"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annual awards of Revenue-Linked PRSUs granted under the 2018 Plan, subject to the vesting set forth in footnote 7.</w:t>
      </w:r>
    </w:p>
    <w:p>
      <w:pPr>
        <w:ind w:left="500" w:hanging="184"/>
        <w:spacing w:after="0" w:line="229"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annual awards of Relative TSR-Linked PRSUs granted under the 2018 Plan, subject to the vesting set forth in footnote 7.</w:t>
      </w:r>
    </w:p>
    <w:p>
      <w:pPr>
        <w:ind w:left="500" w:hanging="184"/>
        <w:spacing w:after="0" w:line="229"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annual awards of time-vested restricted stock units granted to all named executive officers under the 2018 Plan, subject to the vesting set forth in footnote 7.</w:t>
      </w:r>
    </w:p>
    <w:p>
      <w:pPr>
        <w:ind w:left="500" w:hanging="184"/>
        <w:spacing w:after="0" w:line="229" w:lineRule="auto"/>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share matching awards granted under the 2018 Plan pursuant to the SMP and subject to the vesting set forth in footnote 7.</w:t>
      </w:r>
    </w:p>
    <w:p>
      <w:pPr>
        <w:ind w:left="500" w:hanging="184"/>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grant date fair value reflects valuation based on the grant date of awards in accordance with FASB ASC Topic 718.</w:t>
      </w:r>
    </w:p>
    <w:p>
      <w:pPr>
        <w:spacing w:after="0" w:line="24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89</w:t>
      </w:r>
    </w:p>
    <w:p>
      <w:pPr>
        <w:sectPr>
          <w:pgSz w:w="11900" w:h="16838" w:orient="portrait"/>
          <w:cols w:equalWidth="0" w:num="1">
            <w:col w:w="10940"/>
          </w:cols>
          <w:pgMar w:left="320" w:top="473" w:right="6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(7) The vesting schedules of the stock grants mentioned in the table below are as follows for each named executive officer (subject to continued employment through each applicable vesting date):</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400" w:type="dxa"/>
            <w:vAlign w:val="bottom"/>
            <w:tcBorders>
              <w:bottom w:val="single" w:sz="8" w:color="FB4E0B"/>
            </w:tcBorders>
          </w:tcPr>
          <w:p>
            <w:pPr>
              <w:ind w:left="80"/>
              <w:spacing w:after="0"/>
              <w:rPr>
                <w:sz w:val="20"/>
                <w:szCs w:val="20"/>
                <w:color w:val="auto"/>
              </w:rPr>
            </w:pPr>
            <w:r>
              <w:rPr>
                <w:rFonts w:ascii="Arial" w:cs="Arial" w:eastAsia="Arial" w:hAnsi="Arial"/>
                <w:sz w:val="17"/>
                <w:szCs w:val="17"/>
                <w:b w:val="1"/>
                <w:bCs w:val="1"/>
                <w:color w:val="FB4E0B"/>
              </w:rPr>
              <w:t>Grant date and vesting start date</w:t>
            </w:r>
          </w:p>
        </w:tc>
        <w:tc>
          <w:tcPr>
            <w:tcW w:w="722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87"/>
              </w:rPr>
              <w:t>Vesting schedule</w:t>
            </w:r>
          </w:p>
        </w:tc>
        <w:tc>
          <w:tcPr>
            <w:tcW w:w="0" w:type="dxa"/>
            <w:vAlign w:val="bottom"/>
          </w:tcPr>
          <w:p>
            <w:pPr>
              <w:spacing w:after="0"/>
              <w:rPr>
                <w:sz w:val="1"/>
                <w:szCs w:val="1"/>
                <w:color w:val="auto"/>
              </w:rPr>
            </w:pPr>
          </w:p>
        </w:tc>
      </w:tr>
      <w:tr>
        <w:trPr>
          <w:trHeight w:val="248"/>
        </w:trPr>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rPr>
              <w:t>2/16/2022</w:t>
            </w:r>
          </w:p>
        </w:tc>
        <w:tc>
          <w:tcPr>
            <w:tcW w:w="7220" w:type="dxa"/>
            <w:vAlign w:val="bottom"/>
          </w:tcPr>
          <w:p>
            <w:pPr>
              <w:jc w:val="center"/>
              <w:ind w:left="13"/>
              <w:spacing w:after="0"/>
              <w:rPr>
                <w:sz w:val="20"/>
                <w:szCs w:val="20"/>
                <w:color w:val="auto"/>
              </w:rPr>
            </w:pPr>
            <w:r>
              <w:rPr>
                <w:rFonts w:ascii="Arial" w:cs="Arial" w:eastAsia="Arial" w:hAnsi="Arial"/>
                <w:sz w:val="17"/>
                <w:szCs w:val="17"/>
                <w:color w:val="auto"/>
                <w:w w:val="94"/>
              </w:rPr>
              <w:t>Relative TSR-Linked PRSUs:</w:t>
            </w:r>
          </w:p>
        </w:tc>
        <w:tc>
          <w:tcPr>
            <w:tcW w:w="0" w:type="dxa"/>
            <w:vAlign w:val="bottom"/>
          </w:tcPr>
          <w:p>
            <w:pPr>
              <w:spacing w:after="0"/>
              <w:rPr>
                <w:sz w:val="1"/>
                <w:szCs w:val="1"/>
                <w:color w:val="auto"/>
              </w:rPr>
            </w:pPr>
          </w:p>
        </w:tc>
      </w:tr>
      <w:tr>
        <w:trPr>
          <w:trHeight w:val="116"/>
        </w:trPr>
        <w:tc>
          <w:tcPr>
            <w:tcW w:w="3400" w:type="dxa"/>
            <w:vAlign w:val="bottom"/>
            <w:tcBorders>
              <w:right w:val="single" w:sz="8" w:color="auto"/>
            </w:tcBorders>
            <w:vMerge w:val="continue"/>
          </w:tcPr>
          <w:p>
            <w:pPr>
              <w:spacing w:after="0"/>
              <w:rPr>
                <w:sz w:val="10"/>
                <w:szCs w:val="10"/>
                <w:color w:val="auto"/>
              </w:rPr>
            </w:pPr>
          </w:p>
        </w:tc>
        <w:tc>
          <w:tcPr>
            <w:tcW w:w="7220" w:type="dxa"/>
            <w:vAlign w:val="bottom"/>
            <w:vMerge w:val="restart"/>
          </w:tcPr>
          <w:p>
            <w:pPr>
              <w:jc w:val="center"/>
              <w:ind w:left="13"/>
              <w:spacing w:after="0"/>
              <w:rPr>
                <w:sz w:val="20"/>
                <w:szCs w:val="20"/>
                <w:color w:val="auto"/>
              </w:rPr>
            </w:pPr>
            <w:r>
              <w:rPr>
                <w:rFonts w:ascii="Arial" w:cs="Arial" w:eastAsia="Arial" w:hAnsi="Arial"/>
                <w:sz w:val="17"/>
                <w:szCs w:val="17"/>
                <w:color w:val="auto"/>
                <w:w w:val="92"/>
              </w:rPr>
              <w:t>100% vesting on 12/31/2024</w:t>
            </w:r>
          </w:p>
        </w:tc>
        <w:tc>
          <w:tcPr>
            <w:tcW w:w="0" w:type="dxa"/>
            <w:vAlign w:val="bottom"/>
          </w:tcPr>
          <w:p>
            <w:pPr>
              <w:spacing w:after="0"/>
              <w:rPr>
                <w:sz w:val="1"/>
                <w:szCs w:val="1"/>
                <w:color w:val="auto"/>
              </w:rPr>
            </w:pPr>
          </w:p>
        </w:tc>
      </w:tr>
      <w:tr>
        <w:trPr>
          <w:trHeight w:val="104"/>
        </w:trPr>
        <w:tc>
          <w:tcPr>
            <w:tcW w:w="3400" w:type="dxa"/>
            <w:vAlign w:val="bottom"/>
            <w:tcBorders>
              <w:right w:val="single" w:sz="8" w:color="auto"/>
            </w:tcBorders>
          </w:tcPr>
          <w:p>
            <w:pPr>
              <w:spacing w:after="0"/>
              <w:rPr>
                <w:sz w:val="9"/>
                <w:szCs w:val="9"/>
                <w:color w:val="auto"/>
              </w:rPr>
            </w:pPr>
          </w:p>
        </w:tc>
        <w:tc>
          <w:tcPr>
            <w:tcW w:w="7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400" w:type="dxa"/>
            <w:vAlign w:val="bottom"/>
            <w:tcBorders>
              <w:bottom w:val="single" w:sz="8" w:color="auto"/>
              <w:right w:val="single" w:sz="8" w:color="auto"/>
            </w:tcBorders>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rPr>
              <w:t>2/16/2022</w:t>
            </w:r>
          </w:p>
        </w:tc>
        <w:tc>
          <w:tcPr>
            <w:tcW w:w="7220" w:type="dxa"/>
            <w:vAlign w:val="bottom"/>
          </w:tcPr>
          <w:p>
            <w:pPr>
              <w:jc w:val="center"/>
              <w:spacing w:after="0"/>
              <w:rPr>
                <w:sz w:val="20"/>
                <w:szCs w:val="20"/>
                <w:color w:val="auto"/>
              </w:rPr>
            </w:pPr>
            <w:r>
              <w:rPr>
                <w:rFonts w:ascii="Arial" w:cs="Arial" w:eastAsia="Arial" w:hAnsi="Arial"/>
                <w:sz w:val="17"/>
                <w:szCs w:val="17"/>
                <w:color w:val="auto"/>
                <w:w w:val="92"/>
              </w:rPr>
              <w:t>Revenue-Linked PRSUs:</w:t>
            </w:r>
          </w:p>
        </w:tc>
        <w:tc>
          <w:tcPr>
            <w:tcW w:w="0" w:type="dxa"/>
            <w:vAlign w:val="bottom"/>
          </w:tcPr>
          <w:p>
            <w:pPr>
              <w:spacing w:after="0"/>
              <w:rPr>
                <w:sz w:val="1"/>
                <w:szCs w:val="1"/>
                <w:color w:val="auto"/>
              </w:rPr>
            </w:pPr>
          </w:p>
        </w:tc>
      </w:tr>
      <w:tr>
        <w:trPr>
          <w:trHeight w:val="116"/>
        </w:trPr>
        <w:tc>
          <w:tcPr>
            <w:tcW w:w="3400" w:type="dxa"/>
            <w:vAlign w:val="bottom"/>
            <w:tcBorders>
              <w:right w:val="single" w:sz="8" w:color="auto"/>
            </w:tcBorders>
            <w:vMerge w:val="continue"/>
          </w:tcPr>
          <w:p>
            <w:pPr>
              <w:spacing w:after="0"/>
              <w:rPr>
                <w:sz w:val="10"/>
                <w:szCs w:val="10"/>
                <w:color w:val="auto"/>
              </w:rPr>
            </w:pPr>
          </w:p>
        </w:tc>
        <w:tc>
          <w:tcPr>
            <w:tcW w:w="7220" w:type="dxa"/>
            <w:vAlign w:val="bottom"/>
            <w:vMerge w:val="restart"/>
          </w:tcPr>
          <w:p>
            <w:pPr>
              <w:jc w:val="center"/>
              <w:ind w:left="13"/>
              <w:spacing w:after="0"/>
              <w:rPr>
                <w:sz w:val="20"/>
                <w:szCs w:val="20"/>
                <w:color w:val="auto"/>
              </w:rPr>
            </w:pPr>
            <w:r>
              <w:rPr>
                <w:rFonts w:ascii="Arial" w:cs="Arial" w:eastAsia="Arial" w:hAnsi="Arial"/>
                <w:sz w:val="17"/>
                <w:szCs w:val="17"/>
                <w:color w:val="auto"/>
                <w:w w:val="92"/>
              </w:rPr>
              <w:t>100% vesting on 12/31/2024</w:t>
            </w:r>
          </w:p>
        </w:tc>
        <w:tc>
          <w:tcPr>
            <w:tcW w:w="0" w:type="dxa"/>
            <w:vAlign w:val="bottom"/>
          </w:tcPr>
          <w:p>
            <w:pPr>
              <w:spacing w:after="0"/>
              <w:rPr>
                <w:sz w:val="1"/>
                <w:szCs w:val="1"/>
                <w:color w:val="auto"/>
              </w:rPr>
            </w:pPr>
          </w:p>
        </w:tc>
      </w:tr>
      <w:tr>
        <w:trPr>
          <w:trHeight w:val="104"/>
        </w:trPr>
        <w:tc>
          <w:tcPr>
            <w:tcW w:w="3400" w:type="dxa"/>
            <w:vAlign w:val="bottom"/>
            <w:tcBorders>
              <w:right w:val="single" w:sz="8" w:color="auto"/>
            </w:tcBorders>
          </w:tcPr>
          <w:p>
            <w:pPr>
              <w:spacing w:after="0"/>
              <w:rPr>
                <w:sz w:val="9"/>
                <w:szCs w:val="9"/>
                <w:color w:val="auto"/>
              </w:rPr>
            </w:pPr>
          </w:p>
        </w:tc>
        <w:tc>
          <w:tcPr>
            <w:tcW w:w="7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400" w:type="dxa"/>
            <w:vAlign w:val="bottom"/>
            <w:tcBorders>
              <w:bottom w:val="single" w:sz="8" w:color="auto"/>
              <w:right w:val="single" w:sz="8" w:color="auto"/>
            </w:tcBorders>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rPr>
              <w:t>2/16/2022</w:t>
            </w:r>
          </w:p>
        </w:tc>
        <w:tc>
          <w:tcPr>
            <w:tcW w:w="7220" w:type="dxa"/>
            <w:vAlign w:val="bottom"/>
          </w:tcPr>
          <w:p>
            <w:pPr>
              <w:jc w:val="center"/>
              <w:spacing w:after="0"/>
              <w:rPr>
                <w:sz w:val="20"/>
                <w:szCs w:val="20"/>
                <w:color w:val="auto"/>
              </w:rPr>
            </w:pPr>
            <w:r>
              <w:rPr>
                <w:rFonts w:ascii="Arial" w:cs="Arial" w:eastAsia="Arial" w:hAnsi="Arial"/>
                <w:sz w:val="17"/>
                <w:szCs w:val="17"/>
                <w:color w:val="auto"/>
                <w:w w:val="93"/>
              </w:rPr>
              <w:t>Time-Vested Restricted Stock Units:</w:t>
            </w:r>
          </w:p>
        </w:tc>
        <w:tc>
          <w:tcPr>
            <w:tcW w:w="0" w:type="dxa"/>
            <w:vAlign w:val="bottom"/>
          </w:tcPr>
          <w:p>
            <w:pPr>
              <w:spacing w:after="0"/>
              <w:rPr>
                <w:sz w:val="1"/>
                <w:szCs w:val="1"/>
                <w:color w:val="auto"/>
              </w:rPr>
            </w:pPr>
          </w:p>
        </w:tc>
      </w:tr>
      <w:tr>
        <w:trPr>
          <w:trHeight w:val="103"/>
        </w:trPr>
        <w:tc>
          <w:tcPr>
            <w:tcW w:w="3400" w:type="dxa"/>
            <w:vAlign w:val="bottom"/>
            <w:tcBorders>
              <w:right w:val="single" w:sz="8" w:color="auto"/>
            </w:tcBorders>
            <w:vMerge w:val="continue"/>
          </w:tcPr>
          <w:p>
            <w:pPr>
              <w:spacing w:after="0"/>
              <w:rPr>
                <w:sz w:val="8"/>
                <w:szCs w:val="8"/>
                <w:color w:val="auto"/>
              </w:rPr>
            </w:pPr>
          </w:p>
        </w:tc>
        <w:tc>
          <w:tcPr>
            <w:tcW w:w="7220" w:type="dxa"/>
            <w:vAlign w:val="bottom"/>
            <w:vMerge w:val="restart"/>
          </w:tcPr>
          <w:p>
            <w:pPr>
              <w:jc w:val="center"/>
              <w:spacing w:after="0"/>
              <w:rPr>
                <w:sz w:val="20"/>
                <w:szCs w:val="20"/>
                <w:color w:val="auto"/>
              </w:rPr>
            </w:pPr>
            <w:r>
              <w:rPr>
                <w:rFonts w:ascii="Arial" w:cs="Arial" w:eastAsia="Arial" w:hAnsi="Arial"/>
                <w:sz w:val="17"/>
                <w:szCs w:val="17"/>
                <w:color w:val="auto"/>
                <w:w w:val="90"/>
              </w:rPr>
              <w:t>Vesting over 4 Years – 25% each year</w:t>
            </w:r>
          </w:p>
        </w:tc>
        <w:tc>
          <w:tcPr>
            <w:tcW w:w="0" w:type="dxa"/>
            <w:vAlign w:val="bottom"/>
          </w:tcPr>
          <w:p>
            <w:pPr>
              <w:spacing w:after="0"/>
              <w:rPr>
                <w:sz w:val="1"/>
                <w:szCs w:val="1"/>
                <w:color w:val="auto"/>
              </w:rPr>
            </w:pPr>
          </w:p>
        </w:tc>
      </w:tr>
      <w:tr>
        <w:trPr>
          <w:trHeight w:val="117"/>
        </w:trPr>
        <w:tc>
          <w:tcPr>
            <w:tcW w:w="3400" w:type="dxa"/>
            <w:vAlign w:val="bottom"/>
            <w:tcBorders>
              <w:right w:val="single" w:sz="8" w:color="auto"/>
            </w:tcBorders>
          </w:tcPr>
          <w:p>
            <w:pPr>
              <w:spacing w:after="0"/>
              <w:rPr>
                <w:sz w:val="10"/>
                <w:szCs w:val="10"/>
                <w:color w:val="auto"/>
              </w:rPr>
            </w:pPr>
          </w:p>
        </w:tc>
        <w:tc>
          <w:tcPr>
            <w:tcW w:w="7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3400" w:type="dxa"/>
            <w:vAlign w:val="bottom"/>
            <w:tcBorders>
              <w:bottom w:val="single" w:sz="8" w:color="auto"/>
              <w:right w:val="single" w:sz="8" w:color="auto"/>
            </w:tcBorders>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rPr>
              <w:t>3/31/2022</w:t>
            </w:r>
          </w:p>
        </w:tc>
        <w:tc>
          <w:tcPr>
            <w:tcW w:w="7220" w:type="dxa"/>
            <w:vAlign w:val="bottom"/>
          </w:tcPr>
          <w:p>
            <w:pPr>
              <w:jc w:val="center"/>
              <w:ind w:left="13"/>
              <w:spacing w:after="0"/>
              <w:rPr>
                <w:sz w:val="20"/>
                <w:szCs w:val="20"/>
                <w:color w:val="auto"/>
              </w:rPr>
            </w:pPr>
            <w:r>
              <w:rPr>
                <w:rFonts w:ascii="Arial" w:cs="Arial" w:eastAsia="Arial" w:hAnsi="Arial"/>
                <w:sz w:val="17"/>
                <w:szCs w:val="17"/>
                <w:color w:val="auto"/>
                <w:w w:val="93"/>
              </w:rPr>
              <w:t>Share Matching Restricted Stock Units:</w:t>
            </w:r>
          </w:p>
        </w:tc>
        <w:tc>
          <w:tcPr>
            <w:tcW w:w="0" w:type="dxa"/>
            <w:vAlign w:val="bottom"/>
          </w:tcPr>
          <w:p>
            <w:pPr>
              <w:spacing w:after="0"/>
              <w:rPr>
                <w:sz w:val="1"/>
                <w:szCs w:val="1"/>
                <w:color w:val="auto"/>
              </w:rPr>
            </w:pPr>
          </w:p>
        </w:tc>
      </w:tr>
      <w:tr>
        <w:trPr>
          <w:trHeight w:val="116"/>
        </w:trPr>
        <w:tc>
          <w:tcPr>
            <w:tcW w:w="3400" w:type="dxa"/>
            <w:vAlign w:val="bottom"/>
            <w:tcBorders>
              <w:right w:val="single" w:sz="8" w:color="auto"/>
            </w:tcBorders>
            <w:vMerge w:val="continue"/>
          </w:tcPr>
          <w:p>
            <w:pPr>
              <w:spacing w:after="0"/>
              <w:rPr>
                <w:sz w:val="10"/>
                <w:szCs w:val="10"/>
                <w:color w:val="auto"/>
              </w:rPr>
            </w:pPr>
          </w:p>
        </w:tc>
        <w:tc>
          <w:tcPr>
            <w:tcW w:w="7220" w:type="dxa"/>
            <w:vAlign w:val="bottom"/>
            <w:vMerge w:val="restart"/>
          </w:tcPr>
          <w:p>
            <w:pPr>
              <w:jc w:val="center"/>
              <w:spacing w:after="0"/>
              <w:rPr>
                <w:sz w:val="20"/>
                <w:szCs w:val="20"/>
                <w:color w:val="auto"/>
              </w:rPr>
            </w:pPr>
            <w:r>
              <w:rPr>
                <w:rFonts w:ascii="Arial" w:cs="Arial" w:eastAsia="Arial" w:hAnsi="Arial"/>
                <w:sz w:val="17"/>
                <w:szCs w:val="17"/>
                <w:color w:val="auto"/>
                <w:w w:val="91"/>
              </w:rPr>
              <w:t>Vesting over 3 Years – 1/3 on the second anniversary and 2/3 on the third anniversary of the grant date</w:t>
            </w:r>
          </w:p>
        </w:tc>
        <w:tc>
          <w:tcPr>
            <w:tcW w:w="0" w:type="dxa"/>
            <w:vAlign w:val="bottom"/>
          </w:tcPr>
          <w:p>
            <w:pPr>
              <w:spacing w:after="0"/>
              <w:rPr>
                <w:sz w:val="1"/>
                <w:szCs w:val="1"/>
                <w:color w:val="auto"/>
              </w:rPr>
            </w:pPr>
          </w:p>
        </w:tc>
      </w:tr>
      <w:tr>
        <w:trPr>
          <w:trHeight w:val="104"/>
        </w:trPr>
        <w:tc>
          <w:tcPr>
            <w:tcW w:w="3400" w:type="dxa"/>
            <w:vAlign w:val="bottom"/>
            <w:tcBorders>
              <w:right w:val="single" w:sz="8" w:color="auto"/>
            </w:tcBorders>
          </w:tcPr>
          <w:p>
            <w:pPr>
              <w:spacing w:after="0"/>
              <w:rPr>
                <w:sz w:val="9"/>
                <w:szCs w:val="9"/>
                <w:color w:val="auto"/>
              </w:rPr>
            </w:pPr>
          </w:p>
        </w:tc>
        <w:tc>
          <w:tcPr>
            <w:tcW w:w="7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400" w:type="dxa"/>
            <w:vAlign w:val="bottom"/>
            <w:tcBorders>
              <w:bottom w:val="single" w:sz="8" w:color="FB4E0B"/>
              <w:right w:val="single" w:sz="8" w:color="auto"/>
            </w:tcBorders>
          </w:tcPr>
          <w:p>
            <w:pPr>
              <w:spacing w:after="0"/>
              <w:rPr>
                <w:sz w:val="6"/>
                <w:szCs w:val="6"/>
                <w:color w:val="auto"/>
              </w:rPr>
            </w:pPr>
          </w:p>
        </w:tc>
        <w:tc>
          <w:tcPr>
            <w:tcW w:w="7220" w:type="dxa"/>
            <w:vAlign w:val="bottom"/>
            <w:tcBorders>
              <w:bottom w:val="single" w:sz="8" w:color="FB4E0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20"/>
        <w:spacing w:after="0"/>
        <w:rPr>
          <w:sz w:val="20"/>
          <w:szCs w:val="20"/>
          <w:color w:val="auto"/>
        </w:rPr>
      </w:pPr>
      <w:r>
        <w:rPr>
          <w:rFonts w:ascii="Arial" w:cs="Arial" w:eastAsia="Arial" w:hAnsi="Arial"/>
          <w:sz w:val="24"/>
          <w:szCs w:val="24"/>
          <w:color w:val="auto"/>
        </w:rPr>
        <w:t>Employment agreements</w:t>
      </w:r>
    </w:p>
    <w:p>
      <w:pPr>
        <w:spacing w:after="0" w:line="117" w:lineRule="exact"/>
        <w:rPr>
          <w:sz w:val="20"/>
          <w:szCs w:val="20"/>
          <w:color w:val="auto"/>
        </w:rPr>
      </w:pPr>
    </w:p>
    <w:p>
      <w:pPr>
        <w:ind w:left="320" w:right="360"/>
        <w:spacing w:after="0" w:line="295" w:lineRule="auto"/>
        <w:rPr>
          <w:sz w:val="20"/>
          <w:szCs w:val="20"/>
          <w:color w:val="auto"/>
        </w:rPr>
      </w:pPr>
      <w:r>
        <w:rPr>
          <w:rFonts w:ascii="Arial" w:cs="Arial" w:eastAsia="Arial" w:hAnsi="Arial"/>
          <w:sz w:val="16"/>
          <w:szCs w:val="16"/>
          <w:color w:val="auto"/>
        </w:rPr>
        <w:t>In addition to the terms described below, the employment and severance agreements for each of our named executive officers include severance, termination and/or noncompetition provisions, which are described below under “Potential payments upon termination or change in control at fiscal 2022 year-end” beginning on page 95. In 2022, we entered into employment agreements with Messrs. Bhalla and Jetley.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Rohit Kapoor</w:t>
      </w:r>
    </w:p>
    <w:p>
      <w:pPr>
        <w:spacing w:after="0" w:line="117" w:lineRule="exact"/>
        <w:rPr>
          <w:sz w:val="20"/>
          <w:szCs w:val="20"/>
          <w:color w:val="auto"/>
        </w:rPr>
      </w:pPr>
    </w:p>
    <w:p>
      <w:pPr>
        <w:jc w:val="both"/>
        <w:ind w:left="320" w:right="480"/>
        <w:spacing w:after="0" w:line="265" w:lineRule="auto"/>
        <w:rPr>
          <w:sz w:val="20"/>
          <w:szCs w:val="20"/>
          <w:color w:val="auto"/>
        </w:rPr>
      </w:pPr>
      <w:r>
        <w:rPr>
          <w:rFonts w:ascii="Arial" w:cs="Arial" w:eastAsia="Arial" w:hAnsi="Arial"/>
          <w:sz w:val="17"/>
          <w:szCs w:val="17"/>
          <w:color w:val="auto"/>
        </w:rPr>
        <w:t>Mr. Kapoor serves as our Vice Chairman and CEO, and is based in the United States. Our engagement of Mr. Kapoor has been under the terms of employment agreements for over 15 years. Effective as of August 3, 2020, the Company entered into a second amended and restated employment agreement with Mr. Kapoor (the “Kapoor Agreement”). The Kapoor Agreement provides for an employment term that extends until Mr. Kapoor’s termination or resignation.</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Salary, bonus and equity</w:t>
      </w:r>
    </w:p>
    <w:p>
      <w:pPr>
        <w:spacing w:after="0" w:line="123" w:lineRule="exact"/>
        <w:rPr>
          <w:sz w:val="20"/>
          <w:szCs w:val="20"/>
          <w:color w:val="auto"/>
        </w:rPr>
      </w:pPr>
    </w:p>
    <w:p>
      <w:pPr>
        <w:ind w:left="320" w:right="20"/>
        <w:spacing w:after="0" w:line="283" w:lineRule="auto"/>
        <w:rPr>
          <w:sz w:val="20"/>
          <w:szCs w:val="20"/>
          <w:color w:val="auto"/>
        </w:rPr>
      </w:pPr>
      <w:r>
        <w:rPr>
          <w:rFonts w:ascii="Arial" w:cs="Arial" w:eastAsia="Arial" w:hAnsi="Arial"/>
          <w:sz w:val="16"/>
          <w:szCs w:val="16"/>
          <w:color w:val="auto"/>
        </w:rPr>
        <w:t>The Kapoor Agreement provides for a base salary of $750,000. Mr. Kapoor’s base salary can be increased at our sole discretion and cannot be decreased unless a Company-wide decrease in pay is implemented. Mr. Kapoor can earn an annual cash bonus, with a target of 150% of base salary and a maximum payout of no greater than 310% of base salary, based upon the attainment of performance criteria determined by our Compensation and Talent Management Committee. Mr. Kapoor remains eligible to receive equity-based awards annually during the term, in amounts and forms determined by the Compensation and Talent Management Committee but with terms no less favorable than his direct reports.</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Personal benefits</w:t>
      </w:r>
    </w:p>
    <w:p>
      <w:pPr>
        <w:spacing w:after="0" w:line="123" w:lineRule="exact"/>
        <w:rPr>
          <w:sz w:val="20"/>
          <w:szCs w:val="20"/>
          <w:color w:val="auto"/>
        </w:rPr>
      </w:pPr>
    </w:p>
    <w:p>
      <w:pPr>
        <w:ind w:left="320" w:right="60"/>
        <w:spacing w:after="0" w:line="286" w:lineRule="auto"/>
        <w:rPr>
          <w:sz w:val="20"/>
          <w:szCs w:val="20"/>
          <w:color w:val="auto"/>
        </w:rPr>
      </w:pPr>
      <w:r>
        <w:rPr>
          <w:rFonts w:ascii="Arial" w:cs="Arial" w:eastAsia="Arial" w:hAnsi="Arial"/>
          <w:sz w:val="17"/>
          <w:szCs w:val="17"/>
          <w:color w:val="auto"/>
        </w:rPr>
        <w:t>We provide Mr. Kapoor with certain personal benefits, including certain club memberships, home office supplies, term life insurance policy (with a face value of $500,000), once-a-year business class airfare between the United States and India for the</w:t>
      </w:r>
    </w:p>
    <w:p>
      <w:pPr>
        <w:spacing w:after="0" w:line="74"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90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100"/>
        <w:spacing w:after="0" w:line="287" w:lineRule="auto"/>
        <w:rPr>
          <w:sz w:val="20"/>
          <w:szCs w:val="20"/>
          <w:color w:val="auto"/>
        </w:rPr>
      </w:pPr>
      <w:r>
        <w:rPr>
          <w:rFonts w:ascii="Arial" w:cs="Arial" w:eastAsia="Arial" w:hAnsi="Arial"/>
          <w:sz w:val="16"/>
          <w:szCs w:val="16"/>
          <w:color w:val="auto"/>
        </w:rPr>
        <w:t>executive and his family, up to $30,000 for personal tax and estate planning expenses, up to $2,067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61" w:lineRule="exact"/>
        <w:rPr>
          <w:sz w:val="20"/>
          <w:szCs w:val="20"/>
          <w:color w:val="auto"/>
        </w:rPr>
      </w:pPr>
    </w:p>
    <w:p>
      <w:pPr>
        <w:ind w:left="320" w:right="160"/>
        <w:spacing w:after="0" w:line="286" w:lineRule="auto"/>
        <w:rPr>
          <w:sz w:val="20"/>
          <w:szCs w:val="20"/>
          <w:color w:val="auto"/>
        </w:rPr>
      </w:pPr>
      <w:r>
        <w:rPr>
          <w:rFonts w:ascii="Arial" w:cs="Arial" w:eastAsia="Arial" w:hAnsi="Arial"/>
          <w:sz w:val="17"/>
          <w:szCs w:val="17"/>
          <w:color w:val="auto"/>
        </w:rPr>
        <w:t>Mr. Kapoor’s employment agreement also includes severance, termination and noncompetition provisions, which are described below under “Potential payments upon termination or change in control at fiscal 2022 year-end” beginning on page 95.</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Maurizio Nicolelli</w:t>
      </w:r>
    </w:p>
    <w:p>
      <w:pPr>
        <w:spacing w:after="0" w:line="117" w:lineRule="exact"/>
        <w:rPr>
          <w:sz w:val="20"/>
          <w:szCs w:val="20"/>
          <w:color w:val="auto"/>
        </w:rPr>
      </w:pPr>
    </w:p>
    <w:p>
      <w:pPr>
        <w:ind w:left="320" w:right="260"/>
        <w:spacing w:after="0" w:line="279" w:lineRule="auto"/>
        <w:rPr>
          <w:sz w:val="20"/>
          <w:szCs w:val="20"/>
          <w:color w:val="auto"/>
        </w:rPr>
      </w:pPr>
      <w:r>
        <w:rPr>
          <w:rFonts w:ascii="Arial" w:cs="Arial" w:eastAsia="Arial" w:hAnsi="Arial"/>
          <w:sz w:val="16"/>
          <w:szCs w:val="16"/>
          <w:color w:val="auto"/>
        </w:rPr>
        <w:t>Mr. Nicolelli serves as our Executive Vice President and CFO and is based in the United States. We entered into an employment agreement with him, effective February 3, 2020, which will continue throughout Mr. Nicolelli’s employment with the Company. In connection with his appointment,</w:t>
      </w:r>
    </w:p>
    <w:p>
      <w:pPr>
        <w:spacing w:after="0" w:line="1" w:lineRule="exact"/>
        <w:rPr>
          <w:sz w:val="20"/>
          <w:szCs w:val="20"/>
          <w:color w:val="auto"/>
        </w:rPr>
      </w:pPr>
    </w:p>
    <w:p>
      <w:pPr>
        <w:jc w:val="both"/>
        <w:ind w:left="320" w:right="140"/>
        <w:spacing w:after="0" w:line="339" w:lineRule="auto"/>
        <w:rPr>
          <w:sz w:val="20"/>
          <w:szCs w:val="20"/>
          <w:color w:val="auto"/>
        </w:rPr>
      </w:pPr>
      <w:r>
        <w:rPr>
          <w:rFonts w:ascii="Arial" w:cs="Arial" w:eastAsia="Arial" w:hAnsi="Arial"/>
          <w:sz w:val="15"/>
          <w:szCs w:val="15"/>
          <w:color w:val="auto"/>
        </w:rPr>
        <w:t>Mr. Nicolelli received a joining bonus of $225,000, payable in two installments, and an initial grant of restricted stock units of the Company’s common stock with a fair market value of $425,000, which will vest in four equal, annual installments beginning on the first anniversary of the grant date.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Salary, bonus and equity</w:t>
      </w:r>
    </w:p>
    <w:p>
      <w:pPr>
        <w:spacing w:after="0" w:line="136" w:lineRule="exact"/>
        <w:rPr>
          <w:sz w:val="20"/>
          <w:szCs w:val="20"/>
          <w:color w:val="auto"/>
        </w:rPr>
      </w:pPr>
    </w:p>
    <w:p>
      <w:pPr>
        <w:jc w:val="both"/>
        <w:ind w:left="320" w:right="120"/>
        <w:spacing w:after="0" w:line="265" w:lineRule="auto"/>
        <w:rPr>
          <w:sz w:val="20"/>
          <w:szCs w:val="20"/>
          <w:color w:val="auto"/>
        </w:rPr>
      </w:pPr>
      <w:r>
        <w:rPr>
          <w:rFonts w:ascii="Arial" w:cs="Arial" w:eastAsia="Arial" w:hAnsi="Arial"/>
          <w:sz w:val="17"/>
          <w:szCs w:val="17"/>
          <w:color w:val="auto"/>
        </w:rPr>
        <w:t>Mr. Nicolelli’s base salary was set at $475,000 upon his hire in 2020 and is subject to review on an annual basis. In addition, Mr. Nicolelli can earn an annual cash bonus, with a target of 75% of base salary, based upon the attainment of performance criteria determined by our Compensation and Talent Management Committee. Mr. Nicolelli is also eligible, subject to performance and other conditions, to receive annual equity awards at the discretion of the Compensation and Talent Management Committee.</w:t>
      </w:r>
    </w:p>
    <w:p>
      <w:pPr>
        <w:spacing w:after="0" w:line="73" w:lineRule="exact"/>
        <w:rPr>
          <w:sz w:val="20"/>
          <w:szCs w:val="20"/>
          <w:color w:val="auto"/>
        </w:rPr>
      </w:pPr>
    </w:p>
    <w:p>
      <w:pPr>
        <w:ind w:left="320" w:right="280"/>
        <w:spacing w:after="0" w:line="286" w:lineRule="auto"/>
        <w:rPr>
          <w:sz w:val="20"/>
          <w:szCs w:val="20"/>
          <w:color w:val="auto"/>
        </w:rPr>
      </w:pPr>
      <w:r>
        <w:rPr>
          <w:rFonts w:ascii="Arial" w:cs="Arial" w:eastAsia="Arial" w:hAnsi="Arial"/>
          <w:sz w:val="17"/>
          <w:szCs w:val="17"/>
          <w:color w:val="auto"/>
        </w:rPr>
        <w:t>Mr. Nicolelli’s agreement also includes severance, termination and noncompetition provisions, which are described below under “Potential payments upon termination or change in control at fiscal 2022 year-end” beginning on page 95.</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Vikas Bhalla</w:t>
      </w:r>
    </w:p>
    <w:p>
      <w:pPr>
        <w:spacing w:after="0" w:line="117" w:lineRule="exact"/>
        <w:rPr>
          <w:sz w:val="20"/>
          <w:szCs w:val="20"/>
          <w:color w:val="auto"/>
        </w:rPr>
      </w:pPr>
    </w:p>
    <w:p>
      <w:pPr>
        <w:jc w:val="both"/>
        <w:ind w:left="320" w:right="40"/>
        <w:spacing w:after="0" w:line="270" w:lineRule="auto"/>
        <w:rPr>
          <w:sz w:val="20"/>
          <w:szCs w:val="20"/>
          <w:color w:val="auto"/>
        </w:rPr>
      </w:pPr>
      <w:r>
        <w:rPr>
          <w:rFonts w:ascii="Arial" w:cs="Arial" w:eastAsia="Arial" w:hAnsi="Arial"/>
          <w:sz w:val="17"/>
          <w:szCs w:val="17"/>
          <w:color w:val="auto"/>
        </w:rPr>
        <w:t>Mr. Bhalla serves as our Executive Vice President and Business Head, Insurance, and is based in India. We entered into an employment agreement with him, effective April 28, 2001 and a severance letter, effective March 15, 2011. In April 2022, we entered into an employment agreement with Mr. Bhalla that supersedes his prior agreements, and will continue throughout Mr. Bhalla’s employment with the Company.</w:t>
      </w:r>
    </w:p>
    <w:p>
      <w:pPr>
        <w:spacing w:after="0" w:line="231"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91</w:t>
      </w:r>
    </w:p>
    <w:p>
      <w:pPr>
        <w:sectPr>
          <w:pgSz w:w="11900" w:h="16838" w:orient="portrait"/>
          <w:cols w:equalWidth="0" w:num="1">
            <w:col w:w="10940"/>
          </w:cols>
          <w:pgMar w:left="320" w:top="473" w:right="6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Salary, bonus and equity</w:t>
      </w:r>
    </w:p>
    <w:p>
      <w:pPr>
        <w:spacing w:after="0" w:line="136" w:lineRule="exact"/>
        <w:rPr>
          <w:sz w:val="20"/>
          <w:szCs w:val="20"/>
          <w:color w:val="auto"/>
        </w:rPr>
      </w:pPr>
    </w:p>
    <w:p>
      <w:pPr>
        <w:ind w:left="320" w:right="20"/>
        <w:spacing w:after="0" w:line="300" w:lineRule="auto"/>
        <w:rPr>
          <w:sz w:val="20"/>
          <w:szCs w:val="20"/>
          <w:color w:val="auto"/>
        </w:rPr>
      </w:pPr>
      <w:r>
        <w:rPr>
          <w:rFonts w:ascii="Arial" w:cs="Arial" w:eastAsia="Arial" w:hAnsi="Arial"/>
          <w:sz w:val="15"/>
          <w:szCs w:val="15"/>
          <w:color w:val="auto"/>
        </w:rPr>
        <w:t>Under his prior agreement, Mr. Bhalla’s annual fixed compensation, measured in his home currency of Indian rupees, was set at 1,659,382 Indian rupees when his employment agreement was first executed in 2001 and subject to review on an annual basis. Under his current agreement, the annual fixed compensation is set at 24,500,000 Indian Rupees and remains subject to review on an annual basis. Mr. Bhalla’s annual fixed compensation includes base salary, as well as amounts available as a leave travel allowance, a housing allowance, an automobile allowance, a medical allowance and a cash supplementary allowance. In addition, Mr. Bhalla can earn an annual cash bonus, with a target of 75% of annual fixed compensation, based upon the attainment of performance criteria determined by our Compensation and Talent Management Committee. Mr. Bhalla is also eligible, subject to performance and other conditions, to receive annual equity awards at the discretion of the Compensation and Talent Management Committee.</w:t>
      </w:r>
    </w:p>
    <w:p>
      <w:pPr>
        <w:spacing w:after="0" w:line="52" w:lineRule="exact"/>
        <w:rPr>
          <w:sz w:val="20"/>
          <w:szCs w:val="20"/>
          <w:color w:val="auto"/>
        </w:rPr>
      </w:pPr>
    </w:p>
    <w:p>
      <w:pPr>
        <w:ind w:left="320" w:right="340"/>
        <w:spacing w:after="0" w:line="286" w:lineRule="auto"/>
        <w:rPr>
          <w:sz w:val="20"/>
          <w:szCs w:val="20"/>
          <w:color w:val="auto"/>
        </w:rPr>
      </w:pPr>
      <w:r>
        <w:rPr>
          <w:rFonts w:ascii="Arial" w:cs="Arial" w:eastAsia="Arial" w:hAnsi="Arial"/>
          <w:sz w:val="17"/>
          <w:szCs w:val="17"/>
          <w:color w:val="auto"/>
        </w:rPr>
        <w:t>Mr. Bhalla’s agreements also includes severance, termination and noncompetition provisions, which are described below under “Potential payments upon termination or change in control at fiscal 2022 year-end” beginning on page 95.</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Vivek Jetley</w:t>
      </w:r>
    </w:p>
    <w:p>
      <w:pPr>
        <w:spacing w:after="0" w:line="117" w:lineRule="exact"/>
        <w:rPr>
          <w:sz w:val="20"/>
          <w:szCs w:val="20"/>
          <w:color w:val="auto"/>
        </w:rPr>
      </w:pPr>
    </w:p>
    <w:p>
      <w:pPr>
        <w:ind w:left="320" w:right="440"/>
        <w:spacing w:after="0" w:line="286" w:lineRule="auto"/>
        <w:rPr>
          <w:sz w:val="20"/>
          <w:szCs w:val="20"/>
          <w:color w:val="auto"/>
        </w:rPr>
      </w:pPr>
      <w:r>
        <w:rPr>
          <w:rFonts w:ascii="Arial" w:cs="Arial" w:eastAsia="Arial" w:hAnsi="Arial"/>
          <w:sz w:val="17"/>
          <w:szCs w:val="17"/>
          <w:color w:val="auto"/>
        </w:rPr>
        <w:t>Mr. Jetley serves as our Executive Vice President and Business Head, Analytics, and is based in the United States. We entered into an employment agreement with him in April 2022, which will continue throughout Mr. Jetley’s employment with the Company.</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Salary, bonus and equity</w:t>
      </w:r>
    </w:p>
    <w:p>
      <w:pPr>
        <w:spacing w:after="0" w:line="123" w:lineRule="exact"/>
        <w:rPr>
          <w:sz w:val="20"/>
          <w:szCs w:val="20"/>
          <w:color w:val="auto"/>
        </w:rPr>
      </w:pPr>
    </w:p>
    <w:p>
      <w:pPr>
        <w:ind w:left="320" w:right="280"/>
        <w:spacing w:after="0" w:line="298" w:lineRule="auto"/>
        <w:rPr>
          <w:sz w:val="20"/>
          <w:szCs w:val="20"/>
          <w:color w:val="auto"/>
        </w:rPr>
      </w:pPr>
      <w:r>
        <w:rPr>
          <w:rFonts w:ascii="Arial" w:cs="Arial" w:eastAsia="Arial" w:hAnsi="Arial"/>
          <w:sz w:val="15"/>
          <w:szCs w:val="15"/>
          <w:color w:val="auto"/>
        </w:rPr>
        <w:t>Mr. Jetley’s base salary was set at $420,000 and is subject to review on an annual basis. In addition, Mr. Jetley can earn an annual cash bonus, with a target of 75% of base salary, based upon attainment of performance criteria determined by our Compensation and Talent Management Committee.</w:t>
      </w:r>
    </w:p>
    <w:p>
      <w:pPr>
        <w:ind w:left="320" w:right="40"/>
        <w:spacing w:after="0" w:line="271" w:lineRule="auto"/>
        <w:rPr>
          <w:sz w:val="20"/>
          <w:szCs w:val="20"/>
          <w:color w:val="auto"/>
        </w:rPr>
      </w:pPr>
      <w:r>
        <w:rPr>
          <w:rFonts w:ascii="Arial" w:cs="Arial" w:eastAsia="Arial" w:hAnsi="Arial"/>
          <w:sz w:val="17"/>
          <w:szCs w:val="17"/>
          <w:color w:val="auto"/>
        </w:rPr>
        <w:t>Mr. Jetley is also eligible, subject to performance and other conditions, to receive annual equity awards at the discretion of the Compensation and Talent Management Committee.</w:t>
      </w:r>
    </w:p>
    <w:p>
      <w:pPr>
        <w:spacing w:after="0" w:line="67" w:lineRule="exact"/>
        <w:rPr>
          <w:sz w:val="20"/>
          <w:szCs w:val="20"/>
          <w:color w:val="auto"/>
        </w:rPr>
      </w:pPr>
    </w:p>
    <w:p>
      <w:pPr>
        <w:ind w:left="320" w:right="60"/>
        <w:spacing w:after="0" w:line="286" w:lineRule="auto"/>
        <w:rPr>
          <w:sz w:val="20"/>
          <w:szCs w:val="20"/>
          <w:color w:val="auto"/>
        </w:rPr>
      </w:pPr>
      <w:r>
        <w:rPr>
          <w:rFonts w:ascii="Arial" w:cs="Arial" w:eastAsia="Arial" w:hAnsi="Arial"/>
          <w:sz w:val="17"/>
          <w:szCs w:val="17"/>
          <w:color w:val="auto"/>
        </w:rPr>
        <w:t>Mr. Jetley’s agreement also includes severance, termination and noncompetition provisions, which are described below under “Potential payments upon termination or change in control at fiscal 2022 year-end” beginning on page 95.</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Ankor Rai</w:t>
      </w:r>
    </w:p>
    <w:p>
      <w:pPr>
        <w:spacing w:after="0" w:line="117" w:lineRule="exact"/>
        <w:rPr>
          <w:sz w:val="20"/>
          <w:szCs w:val="20"/>
          <w:color w:val="auto"/>
        </w:rPr>
      </w:pPr>
    </w:p>
    <w:p>
      <w:pPr>
        <w:ind w:left="320" w:right="20"/>
        <w:spacing w:after="0" w:line="356" w:lineRule="auto"/>
        <w:rPr>
          <w:sz w:val="20"/>
          <w:szCs w:val="20"/>
          <w:color w:val="auto"/>
        </w:rPr>
      </w:pPr>
      <w:r>
        <w:rPr>
          <w:rFonts w:ascii="Arial" w:cs="Arial" w:eastAsia="Arial" w:hAnsi="Arial"/>
          <w:sz w:val="15"/>
          <w:szCs w:val="15"/>
          <w:color w:val="auto"/>
        </w:rPr>
        <w:t>Mr. Rai served from October 2021 through April 2023 as our Executive Vice President and Chief Digital Officer and was based in the United States. We entered into an employment agreement with him, effective November 1, 2021, which continued throughout Mr. Rai’s employment with the Company.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Salary, bonus and equity</w:t>
      </w:r>
    </w:p>
    <w:p>
      <w:pPr>
        <w:spacing w:after="0" w:line="136"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Mr. Rai’s base salary was set at $410,000 when his employment agreement was first executed in November 2021 and was subject to review on an annual basis. In addition, Mr. Rai could earn an annual cash bonus, with a target of 75% of base salary, based upon the attainment of performance criteria determined by our Compensation and Talent Management Committee. Mr. Rai was also eligible, subject to performance and other conditions, to receive annual equity awards at the discretion of the Compensation and Talent Management Committee.</w:t>
      </w:r>
    </w:p>
    <w:p>
      <w:pPr>
        <w:spacing w:after="0" w:line="73" w:lineRule="exact"/>
        <w:rPr>
          <w:sz w:val="20"/>
          <w:szCs w:val="20"/>
          <w:color w:val="auto"/>
        </w:rPr>
      </w:pPr>
    </w:p>
    <w:p>
      <w:pPr>
        <w:ind w:left="320" w:right="140"/>
        <w:spacing w:after="0" w:line="286" w:lineRule="auto"/>
        <w:rPr>
          <w:sz w:val="20"/>
          <w:szCs w:val="20"/>
          <w:color w:val="auto"/>
        </w:rPr>
      </w:pPr>
      <w:r>
        <w:rPr>
          <w:rFonts w:ascii="Arial" w:cs="Arial" w:eastAsia="Arial" w:hAnsi="Arial"/>
          <w:sz w:val="17"/>
          <w:szCs w:val="17"/>
          <w:color w:val="auto"/>
        </w:rPr>
        <w:t>Mr. Rai’s agreements also included severance, termination and noncompetition provisions, which are described below under “Potential payments upon termination or change in control at fiscal 2022 year-end” beginning on page 95.</w:t>
      </w:r>
    </w:p>
    <w:p>
      <w:pPr>
        <w:spacing w:after="0" w:line="74"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20" w:type="dxa"/>
            <w:vAlign w:val="bottom"/>
            <w:gridSpan w:val="3"/>
          </w:tcPr>
          <w:p>
            <w:pPr>
              <w:jc w:val="center"/>
              <w:ind w:left="1011"/>
              <w:spacing w:after="0"/>
              <w:rPr>
                <w:sz w:val="20"/>
                <w:szCs w:val="20"/>
                <w:color w:val="auto"/>
              </w:rPr>
            </w:pPr>
            <w:r>
              <w:rPr>
                <w:rFonts w:ascii="Arial" w:cs="Arial" w:eastAsia="Arial" w:hAnsi="Arial"/>
                <w:sz w:val="14"/>
                <w:szCs w:val="14"/>
                <w:b w:val="1"/>
                <w:bCs w:val="1"/>
                <w:color w:val="D8D8D8"/>
                <w:w w:val="87"/>
              </w:rPr>
              <w:t>Executive compensation</w:t>
            </w:r>
          </w:p>
        </w:tc>
        <w:tc>
          <w:tcPr>
            <w:tcW w:w="0" w:type="dxa"/>
            <w:vAlign w:val="bottom"/>
          </w:tcPr>
          <w:p>
            <w:pPr>
              <w:spacing w:after="0"/>
              <w:rPr>
                <w:sz w:val="1"/>
                <w:szCs w:val="1"/>
                <w:color w:val="auto"/>
              </w:rPr>
            </w:pPr>
          </w:p>
        </w:tc>
      </w:tr>
      <w:tr>
        <w:trPr>
          <w:trHeight w:val="630"/>
        </w:trPr>
        <w:tc>
          <w:tcPr>
            <w:tcW w:w="5940" w:type="dxa"/>
            <w:vAlign w:val="bottom"/>
            <w:gridSpan w:val="4"/>
          </w:tcPr>
          <w:p>
            <w:pPr>
              <w:jc w:val="right"/>
              <w:ind w:right="991"/>
              <w:spacing w:after="0"/>
              <w:rPr>
                <w:sz w:val="20"/>
                <w:szCs w:val="20"/>
                <w:color w:val="auto"/>
              </w:rPr>
            </w:pPr>
            <w:r>
              <w:rPr>
                <w:rFonts w:ascii="Arial" w:cs="Arial" w:eastAsia="Arial" w:hAnsi="Arial"/>
                <w:sz w:val="24"/>
                <w:szCs w:val="24"/>
                <w:color w:val="auto"/>
                <w:w w:val="91"/>
              </w:rPr>
              <w:t>Outstanding equity awards at fiscal 2022 year-end</w:t>
            </w: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 or</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Market value of shares or</w:t>
            </w:r>
          </w:p>
        </w:tc>
        <w:tc>
          <w:tcPr>
            <w:tcW w:w="216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Equity incentive plan awards:</w:t>
            </w:r>
          </w:p>
        </w:tc>
        <w:tc>
          <w:tcPr>
            <w:tcW w:w="2520" w:type="dxa"/>
            <w:vAlign w:val="bottom"/>
            <w:gridSpan w:val="3"/>
          </w:tcPr>
          <w:p>
            <w:pPr>
              <w:jc w:val="center"/>
              <w:ind w:left="11"/>
              <w:spacing w:after="0"/>
              <w:rPr>
                <w:sz w:val="20"/>
                <w:szCs w:val="20"/>
                <w:color w:val="auto"/>
              </w:rPr>
            </w:pPr>
            <w:r>
              <w:rPr>
                <w:rFonts w:ascii="Arial" w:cs="Arial" w:eastAsia="Arial" w:hAnsi="Arial"/>
                <w:sz w:val="14"/>
                <w:szCs w:val="14"/>
                <w:b w:val="1"/>
                <w:bCs w:val="1"/>
                <w:color w:val="auto"/>
                <w:w w:val="90"/>
              </w:rPr>
              <w:t>Equity incentive plan awards: market</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Stock award</w:t>
            </w: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units of stock that</w:t>
            </w:r>
          </w:p>
        </w:tc>
        <w:tc>
          <w:tcPr>
            <w:tcW w:w="1880" w:type="dxa"/>
            <w:vAlign w:val="bottom"/>
            <w:vMerge w:val="continue"/>
          </w:tcPr>
          <w:p>
            <w:pPr>
              <w:spacing w:after="0"/>
              <w:rPr>
                <w:sz w:val="12"/>
                <w:szCs w:val="12"/>
                <w:color w:val="auto"/>
              </w:rPr>
            </w:pPr>
          </w:p>
        </w:tc>
        <w:tc>
          <w:tcPr>
            <w:tcW w:w="216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w w:val="99"/>
              </w:rPr>
              <w:t>number of unearned shares,</w:t>
            </w:r>
          </w:p>
        </w:tc>
        <w:tc>
          <w:tcPr>
            <w:tcW w:w="2520" w:type="dxa"/>
            <w:vAlign w:val="bottom"/>
            <w:gridSpan w:val="3"/>
          </w:tcPr>
          <w:p>
            <w:pPr>
              <w:jc w:val="center"/>
              <w:ind w:left="11"/>
              <w:spacing w:after="0" w:line="143" w:lineRule="exact"/>
              <w:rPr>
                <w:sz w:val="20"/>
                <w:szCs w:val="20"/>
                <w:color w:val="auto"/>
              </w:rPr>
            </w:pPr>
            <w:r>
              <w:rPr>
                <w:rFonts w:ascii="Arial" w:cs="Arial" w:eastAsia="Arial" w:hAnsi="Arial"/>
                <w:sz w:val="14"/>
                <w:szCs w:val="14"/>
                <w:b w:val="1"/>
                <w:bCs w:val="1"/>
                <w:color w:val="auto"/>
                <w:w w:val="88"/>
              </w:rPr>
              <w:t>or payout value of unearned shares,</w:t>
            </w: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have not vested</w:t>
            </w:r>
          </w:p>
        </w:tc>
        <w:tc>
          <w:tcPr>
            <w:tcW w:w="1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units of stock that have</w:t>
            </w:r>
          </w:p>
        </w:tc>
        <w:tc>
          <w:tcPr>
            <w:tcW w:w="2160" w:type="dxa"/>
            <w:vAlign w:val="bottom"/>
          </w:tcPr>
          <w:p>
            <w:pPr>
              <w:jc w:val="right"/>
              <w:ind w:right="131"/>
              <w:spacing w:after="0" w:line="143" w:lineRule="exact"/>
              <w:rPr>
                <w:sz w:val="20"/>
                <w:szCs w:val="20"/>
                <w:color w:val="auto"/>
              </w:rPr>
            </w:pPr>
            <w:r>
              <w:rPr>
                <w:rFonts w:ascii="Arial" w:cs="Arial" w:eastAsia="Arial" w:hAnsi="Arial"/>
                <w:sz w:val="14"/>
                <w:szCs w:val="14"/>
                <w:b w:val="1"/>
                <w:bCs w:val="1"/>
                <w:color w:val="auto"/>
                <w:w w:val="97"/>
              </w:rPr>
              <w:t>units or other rights that have</w:t>
            </w:r>
          </w:p>
        </w:tc>
        <w:tc>
          <w:tcPr>
            <w:tcW w:w="2520" w:type="dxa"/>
            <w:vAlign w:val="bottom"/>
            <w:gridSpan w:val="3"/>
          </w:tcPr>
          <w:p>
            <w:pPr>
              <w:jc w:val="center"/>
              <w:ind w:left="11"/>
              <w:spacing w:after="0" w:line="143" w:lineRule="exact"/>
              <w:rPr>
                <w:sz w:val="20"/>
                <w:szCs w:val="20"/>
                <w:color w:val="auto"/>
              </w:rPr>
            </w:pPr>
            <w:r>
              <w:rPr>
                <w:rFonts w:ascii="Arial" w:cs="Arial" w:eastAsia="Arial" w:hAnsi="Arial"/>
                <w:sz w:val="14"/>
                <w:szCs w:val="14"/>
                <w:b w:val="1"/>
                <w:bCs w:val="1"/>
                <w:color w:val="auto"/>
                <w:w w:val="89"/>
              </w:rPr>
              <w:t>units or other rights that have not</w:t>
            </w:r>
          </w:p>
        </w:tc>
        <w:tc>
          <w:tcPr>
            <w:tcW w:w="0" w:type="dxa"/>
            <w:vAlign w:val="bottom"/>
          </w:tcPr>
          <w:p>
            <w:pPr>
              <w:spacing w:after="0"/>
              <w:rPr>
                <w:sz w:val="1"/>
                <w:szCs w:val="1"/>
                <w:color w:val="auto"/>
              </w:rPr>
            </w:pPr>
          </w:p>
        </w:tc>
      </w:tr>
      <w:tr>
        <w:trPr>
          <w:trHeight w:val="193"/>
        </w:trPr>
        <w:tc>
          <w:tcPr>
            <w:tcW w:w="1060" w:type="dxa"/>
            <w:vAlign w:val="bottom"/>
          </w:tcPr>
          <w:p>
            <w:pPr>
              <w:ind w:left="40"/>
              <w:spacing w:after="0"/>
              <w:rPr>
                <w:sz w:val="20"/>
                <w:szCs w:val="20"/>
                <w:color w:val="auto"/>
              </w:rPr>
            </w:pPr>
            <w:r>
              <w:rPr>
                <w:rFonts w:ascii="Arial" w:cs="Arial" w:eastAsia="Arial" w:hAnsi="Arial"/>
                <w:sz w:val="14"/>
                <w:szCs w:val="14"/>
                <w:b w:val="1"/>
                <w:bCs w:val="1"/>
                <w:color w:val="FB4E0B"/>
              </w:rPr>
              <w:t>Name</w:t>
            </w:r>
          </w:p>
        </w:tc>
        <w:tc>
          <w:tcPr>
            <w:tcW w:w="1420" w:type="dxa"/>
            <w:vAlign w:val="bottom"/>
          </w:tcPr>
          <w:p>
            <w:pPr>
              <w:jc w:val="right"/>
              <w:ind w:right="191"/>
              <w:spacing w:after="0"/>
              <w:rPr>
                <w:sz w:val="20"/>
                <w:szCs w:val="20"/>
                <w:color w:val="auto"/>
              </w:rPr>
            </w:pPr>
            <w:r>
              <w:rPr>
                <w:rFonts w:ascii="Arial" w:cs="Arial" w:eastAsia="Arial" w:hAnsi="Arial"/>
                <w:sz w:val="14"/>
                <w:szCs w:val="14"/>
                <w:b w:val="1"/>
                <w:bCs w:val="1"/>
                <w:color w:val="auto"/>
              </w:rPr>
              <w:t>grant date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7"/>
              </w:rPr>
              <w:t>not vested ($)</w:t>
            </w:r>
            <w:r>
              <w:rPr>
                <w:rFonts w:ascii="Arial" w:cs="Arial" w:eastAsia="Arial" w:hAnsi="Arial"/>
                <w:sz w:val="10"/>
                <w:szCs w:val="10"/>
                <w:b w:val="1"/>
                <w:bCs w:val="1"/>
                <w:color w:val="auto"/>
                <w:w w:val="87"/>
              </w:rPr>
              <w:t>(4)</w:t>
            </w:r>
          </w:p>
        </w:tc>
        <w:tc>
          <w:tcPr>
            <w:tcW w:w="2160" w:type="dxa"/>
            <w:vAlign w:val="bottom"/>
          </w:tcPr>
          <w:p>
            <w:pPr>
              <w:jc w:val="right"/>
              <w:ind w:right="551"/>
              <w:spacing w:after="0"/>
              <w:rPr>
                <w:sz w:val="20"/>
                <w:szCs w:val="20"/>
                <w:color w:val="auto"/>
              </w:rPr>
            </w:pPr>
            <w:r>
              <w:rPr>
                <w:rFonts w:ascii="Arial" w:cs="Arial" w:eastAsia="Arial" w:hAnsi="Arial"/>
                <w:sz w:val="14"/>
                <w:szCs w:val="14"/>
                <w:b w:val="1"/>
                <w:bCs w:val="1"/>
                <w:color w:val="auto"/>
              </w:rPr>
              <w:t>not vested (#)</w:t>
            </w:r>
            <w:r>
              <w:rPr>
                <w:rFonts w:ascii="Arial" w:cs="Arial" w:eastAsia="Arial" w:hAnsi="Arial"/>
                <w:sz w:val="10"/>
                <w:szCs w:val="10"/>
                <w:b w:val="1"/>
                <w:bCs w:val="1"/>
                <w:color w:val="auto"/>
              </w:rPr>
              <w:t>(3)</w:t>
            </w:r>
          </w:p>
        </w:tc>
        <w:tc>
          <w:tcPr>
            <w:tcW w:w="1700" w:type="dxa"/>
            <w:vAlign w:val="bottom"/>
          </w:tcPr>
          <w:p>
            <w:pPr>
              <w:jc w:val="center"/>
              <w:ind w:left="831"/>
              <w:spacing w:after="0"/>
              <w:rPr>
                <w:sz w:val="20"/>
                <w:szCs w:val="20"/>
                <w:color w:val="auto"/>
              </w:rPr>
            </w:pPr>
            <w:r>
              <w:rPr>
                <w:rFonts w:ascii="Arial" w:cs="Arial" w:eastAsia="Arial" w:hAnsi="Arial"/>
                <w:sz w:val="14"/>
                <w:szCs w:val="14"/>
                <w:b w:val="1"/>
                <w:bCs w:val="1"/>
                <w:color w:val="auto"/>
                <w:w w:val="87"/>
              </w:rPr>
              <w:t>vested ($)</w:t>
            </w:r>
            <w:r>
              <w:rPr>
                <w:rFonts w:ascii="Arial" w:cs="Arial" w:eastAsia="Arial" w:hAnsi="Arial"/>
                <w:sz w:val="10"/>
                <w:szCs w:val="10"/>
                <w:b w:val="1"/>
                <w:bCs w:val="1"/>
                <w:color w:val="auto"/>
                <w:w w:val="87"/>
              </w:rPr>
              <w:t>(4)</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0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060" w:type="dxa"/>
            <w:vAlign w:val="bottom"/>
          </w:tcPr>
          <w:p>
            <w:pPr>
              <w:ind w:left="40"/>
              <w:spacing w:after="0" w:line="127" w:lineRule="exact"/>
              <w:rPr>
                <w:sz w:val="20"/>
                <w:szCs w:val="20"/>
                <w:color w:val="auto"/>
              </w:rPr>
            </w:pPr>
            <w:r>
              <w:rPr>
                <w:rFonts w:ascii="Arial" w:cs="Arial" w:eastAsia="Arial" w:hAnsi="Arial"/>
                <w:sz w:val="14"/>
                <w:szCs w:val="14"/>
                <w:b w:val="1"/>
                <w:bCs w:val="1"/>
                <w:color w:val="FB4E0B"/>
              </w:rPr>
              <w:t>Rohit</w:t>
            </w:r>
          </w:p>
        </w:tc>
        <w:tc>
          <w:tcPr>
            <w:tcW w:w="14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060" w:type="dxa"/>
            <w:vAlign w:val="bottom"/>
          </w:tcPr>
          <w:p>
            <w:pPr>
              <w:ind w:left="40"/>
              <w:spacing w:after="0"/>
              <w:rPr>
                <w:sz w:val="20"/>
                <w:szCs w:val="20"/>
                <w:color w:val="auto"/>
              </w:rPr>
            </w:pPr>
            <w:r>
              <w:rPr>
                <w:rFonts w:ascii="Arial" w:cs="Arial" w:eastAsia="Arial" w:hAnsi="Arial"/>
                <w:sz w:val="14"/>
                <w:szCs w:val="14"/>
                <w:b w:val="1"/>
                <w:bCs w:val="1"/>
                <w:color w:val="FB4E0B"/>
              </w:rPr>
              <w:t>Kapoor</w:t>
            </w: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2/20/2019</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7,228</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1,224,640</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2/20/2020</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11,760</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1,992,497</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26,550</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4,498,367</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70,800</w:t>
            </w:r>
            <w:r>
              <w:rPr>
                <w:rFonts w:ascii="Arial" w:cs="Arial" w:eastAsia="Arial" w:hAnsi="Arial"/>
                <w:sz w:val="10"/>
                <w:szCs w:val="10"/>
                <w:color w:val="auto"/>
              </w:rPr>
              <w:t>(a)</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8"/>
              </w:rPr>
              <w:t>11,995,644</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25,164</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4,263,537</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15,099</w:t>
            </w:r>
            <w:r>
              <w:rPr>
                <w:rFonts w:ascii="Arial" w:cs="Arial" w:eastAsia="Arial" w:hAnsi="Arial"/>
                <w:sz w:val="10"/>
                <w:szCs w:val="10"/>
                <w:color w:val="auto"/>
              </w:rPr>
              <w:t>(b)</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2,558,224</w:t>
            </w:r>
          </w:p>
        </w:tc>
        <w:tc>
          <w:tcPr>
            <w:tcW w:w="0" w:type="dxa"/>
            <w:vAlign w:val="bottom"/>
          </w:tcPr>
          <w:p>
            <w:pPr>
              <w:spacing w:after="0"/>
              <w:rPr>
                <w:sz w:val="1"/>
                <w:szCs w:val="1"/>
                <w:color w:val="auto"/>
              </w:rPr>
            </w:pPr>
          </w:p>
        </w:tc>
      </w:tr>
      <w:tr>
        <w:trPr>
          <w:trHeight w:val="201"/>
        </w:trPr>
        <w:tc>
          <w:tcPr>
            <w:tcW w:w="1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22,647</w:t>
            </w:r>
            <w:r>
              <w:rPr>
                <w:rFonts w:ascii="Arial" w:cs="Arial" w:eastAsia="Arial" w:hAnsi="Arial"/>
                <w:sz w:val="10"/>
                <w:szCs w:val="10"/>
                <w:color w:val="auto"/>
              </w:rPr>
              <w:t>(c)</w:t>
            </w:r>
          </w:p>
        </w:tc>
        <w:tc>
          <w:tcPr>
            <w:tcW w:w="1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3,837,081</w:t>
            </w:r>
          </w:p>
        </w:tc>
        <w:tc>
          <w:tcPr>
            <w:tcW w:w="0" w:type="dxa"/>
            <w:vAlign w:val="bottom"/>
          </w:tcPr>
          <w:p>
            <w:pPr>
              <w:spacing w:after="0"/>
              <w:rPr>
                <w:sz w:val="1"/>
                <w:szCs w:val="1"/>
                <w:color w:val="auto"/>
              </w:rPr>
            </w:pPr>
          </w:p>
        </w:tc>
      </w:tr>
      <w:tr>
        <w:trPr>
          <w:trHeight w:val="133"/>
        </w:trPr>
        <w:tc>
          <w:tcPr>
            <w:tcW w:w="1060" w:type="dxa"/>
            <w:vAlign w:val="bottom"/>
          </w:tcPr>
          <w:p>
            <w:pPr>
              <w:ind w:left="40"/>
              <w:spacing w:after="0" w:line="133" w:lineRule="exact"/>
              <w:rPr>
                <w:sz w:val="20"/>
                <w:szCs w:val="20"/>
                <w:color w:val="auto"/>
              </w:rPr>
            </w:pPr>
            <w:r>
              <w:rPr>
                <w:rFonts w:ascii="Arial" w:cs="Arial" w:eastAsia="Arial" w:hAnsi="Arial"/>
                <w:sz w:val="14"/>
                <w:szCs w:val="14"/>
                <w:b w:val="1"/>
                <w:bCs w:val="1"/>
                <w:color w:val="FB4E0B"/>
              </w:rPr>
              <w:t>Maurizio</w:t>
            </w:r>
          </w:p>
        </w:tc>
        <w:tc>
          <w:tcPr>
            <w:tcW w:w="142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2/3/2020</w:t>
            </w:r>
          </w:p>
        </w:tc>
        <w:tc>
          <w:tcPr>
            <w:tcW w:w="158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2,949</w:t>
            </w:r>
          </w:p>
        </w:tc>
        <w:tc>
          <w:tcPr>
            <w:tcW w:w="188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499,649</w:t>
            </w:r>
          </w:p>
        </w:tc>
        <w:tc>
          <w:tcPr>
            <w:tcW w:w="2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40"/>
              <w:spacing w:after="0"/>
              <w:rPr>
                <w:sz w:val="20"/>
                <w:szCs w:val="20"/>
                <w:color w:val="auto"/>
              </w:rPr>
            </w:pPr>
            <w:r>
              <w:rPr>
                <w:rFonts w:ascii="Arial" w:cs="Arial" w:eastAsia="Arial" w:hAnsi="Arial"/>
                <w:sz w:val="14"/>
                <w:szCs w:val="14"/>
                <w:b w:val="1"/>
                <w:bCs w:val="1"/>
                <w:color w:val="FB4E0B"/>
              </w:rPr>
              <w:t>Nicolelli</w:t>
            </w: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2/19/2020</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2,183</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369,866</w:t>
            </w:r>
          </w:p>
        </w:tc>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5,190</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879,342</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13,840</w:t>
            </w:r>
            <w:r>
              <w:rPr>
                <w:rFonts w:ascii="Arial" w:cs="Arial" w:eastAsia="Arial" w:hAnsi="Arial"/>
                <w:sz w:val="10"/>
                <w:szCs w:val="10"/>
                <w:color w:val="auto"/>
              </w:rPr>
              <w:t>(a)</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2,344,911</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9/1/2021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8,121</w:t>
            </w:r>
            <w:r>
              <w:rPr>
                <w:rFonts w:ascii="Arial" w:cs="Arial" w:eastAsia="Arial" w:hAnsi="Arial"/>
                <w:sz w:val="10"/>
                <w:szCs w:val="10"/>
                <w:color w:val="auto"/>
              </w:rPr>
              <w:t>(2)</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1,375,941</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3,884</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658,066</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2,331</w:t>
            </w:r>
            <w:r>
              <w:rPr>
                <w:rFonts w:ascii="Arial" w:cs="Arial" w:eastAsia="Arial" w:hAnsi="Arial"/>
                <w:sz w:val="10"/>
                <w:szCs w:val="10"/>
                <w:color w:val="auto"/>
              </w:rPr>
              <w:t>(b)</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394,941</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3,495</w:t>
            </w:r>
            <w:r>
              <w:rPr>
                <w:rFonts w:ascii="Arial" w:cs="Arial" w:eastAsia="Arial" w:hAnsi="Arial"/>
                <w:sz w:val="10"/>
                <w:szCs w:val="10"/>
                <w:color w:val="auto"/>
              </w:rPr>
              <w:t>(c)</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592,158</w:t>
            </w:r>
          </w:p>
        </w:tc>
        <w:tc>
          <w:tcPr>
            <w:tcW w:w="0" w:type="dxa"/>
            <w:vAlign w:val="bottom"/>
          </w:tcPr>
          <w:p>
            <w:pPr>
              <w:spacing w:after="0"/>
              <w:rPr>
                <w:sz w:val="1"/>
                <w:szCs w:val="1"/>
                <w:color w:val="auto"/>
              </w:rPr>
            </w:pPr>
          </w:p>
        </w:tc>
      </w:tr>
      <w:tr>
        <w:trPr>
          <w:trHeight w:val="201"/>
        </w:trPr>
        <w:tc>
          <w:tcPr>
            <w:tcW w:w="1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3/31/2022</w:t>
            </w: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(2)</w:t>
            </w:r>
          </w:p>
        </w:tc>
        <w:tc>
          <w:tcPr>
            <w:tcW w:w="1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707,709</w:t>
            </w:r>
          </w:p>
        </w:tc>
        <w:tc>
          <w:tcPr>
            <w:tcW w:w="2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060" w:type="dxa"/>
            <w:vAlign w:val="bottom"/>
          </w:tcPr>
          <w:p>
            <w:pPr>
              <w:ind w:left="20"/>
              <w:spacing w:after="0" w:line="133" w:lineRule="exact"/>
              <w:rPr>
                <w:sz w:val="20"/>
                <w:szCs w:val="20"/>
                <w:color w:val="auto"/>
              </w:rPr>
            </w:pPr>
            <w:r>
              <w:rPr>
                <w:rFonts w:ascii="Arial" w:cs="Arial" w:eastAsia="Arial" w:hAnsi="Arial"/>
                <w:sz w:val="14"/>
                <w:szCs w:val="14"/>
                <w:b w:val="1"/>
                <w:bCs w:val="1"/>
                <w:color w:val="FB4E0B"/>
              </w:rPr>
              <w:t>Vikas</w:t>
            </w:r>
          </w:p>
        </w:tc>
        <w:tc>
          <w:tcPr>
            <w:tcW w:w="142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2/20/2019</w:t>
            </w:r>
          </w:p>
        </w:tc>
        <w:tc>
          <w:tcPr>
            <w:tcW w:w="158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1,708</w:t>
            </w:r>
          </w:p>
        </w:tc>
        <w:tc>
          <w:tcPr>
            <w:tcW w:w="188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289,386</w:t>
            </w:r>
          </w:p>
        </w:tc>
        <w:tc>
          <w:tcPr>
            <w:tcW w:w="2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40"/>
              <w:spacing w:after="0"/>
              <w:rPr>
                <w:sz w:val="20"/>
                <w:szCs w:val="20"/>
                <w:color w:val="auto"/>
              </w:rPr>
            </w:pPr>
            <w:r>
              <w:rPr>
                <w:rFonts w:ascii="Arial" w:cs="Arial" w:eastAsia="Arial" w:hAnsi="Arial"/>
                <w:sz w:val="14"/>
                <w:szCs w:val="14"/>
                <w:b w:val="1"/>
                <w:bCs w:val="1"/>
                <w:color w:val="FB4E0B"/>
              </w:rPr>
              <w:t>Bhalla</w:t>
            </w: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2/19/2020</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4,150</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703,135</w:t>
            </w:r>
          </w:p>
        </w:tc>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5,505</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932,712</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14,680</w:t>
            </w:r>
            <w:r>
              <w:rPr>
                <w:rFonts w:ascii="Arial" w:cs="Arial" w:eastAsia="Arial" w:hAnsi="Arial"/>
                <w:sz w:val="10"/>
                <w:szCs w:val="10"/>
                <w:color w:val="auto"/>
              </w:rPr>
              <w:t>(a)</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2,487,232</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9/1/2021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12,181</w:t>
            </w:r>
            <w:r>
              <w:rPr>
                <w:rFonts w:ascii="Arial" w:cs="Arial" w:eastAsia="Arial" w:hAnsi="Arial"/>
                <w:sz w:val="10"/>
                <w:szCs w:val="10"/>
                <w:color w:val="auto"/>
              </w:rPr>
              <w:t>(2)</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2,063,827</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4,348</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736,682</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2,609</w:t>
            </w:r>
            <w:r>
              <w:rPr>
                <w:rFonts w:ascii="Arial" w:cs="Arial" w:eastAsia="Arial" w:hAnsi="Arial"/>
                <w:sz w:val="10"/>
                <w:szCs w:val="10"/>
                <w:color w:val="auto"/>
              </w:rPr>
              <w:t>(b)</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442,043</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3,913</w:t>
            </w:r>
            <w:r>
              <w:rPr>
                <w:rFonts w:ascii="Arial" w:cs="Arial" w:eastAsia="Arial" w:hAnsi="Arial"/>
                <w:sz w:val="10"/>
                <w:szCs w:val="10"/>
                <w:color w:val="auto"/>
              </w:rPr>
              <w:t>(c)</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662,980</w:t>
            </w:r>
          </w:p>
        </w:tc>
        <w:tc>
          <w:tcPr>
            <w:tcW w:w="0" w:type="dxa"/>
            <w:vAlign w:val="bottom"/>
          </w:tcPr>
          <w:p>
            <w:pPr>
              <w:spacing w:after="0"/>
              <w:rPr>
                <w:sz w:val="1"/>
                <w:szCs w:val="1"/>
                <w:color w:val="auto"/>
              </w:rPr>
            </w:pPr>
          </w:p>
        </w:tc>
      </w:tr>
      <w:tr>
        <w:trPr>
          <w:trHeight w:val="201"/>
        </w:trPr>
        <w:tc>
          <w:tcPr>
            <w:tcW w:w="1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3/31/2022</w:t>
            </w: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(2)</w:t>
            </w:r>
          </w:p>
        </w:tc>
        <w:tc>
          <w:tcPr>
            <w:tcW w:w="1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707,709</w:t>
            </w:r>
          </w:p>
        </w:tc>
        <w:tc>
          <w:tcPr>
            <w:tcW w:w="2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060" w:type="dxa"/>
            <w:vAlign w:val="bottom"/>
          </w:tcPr>
          <w:p>
            <w:pPr>
              <w:ind w:left="20"/>
              <w:spacing w:after="0" w:line="133" w:lineRule="exact"/>
              <w:rPr>
                <w:sz w:val="20"/>
                <w:szCs w:val="20"/>
                <w:color w:val="auto"/>
              </w:rPr>
            </w:pPr>
            <w:r>
              <w:rPr>
                <w:rFonts w:ascii="Arial" w:cs="Arial" w:eastAsia="Arial" w:hAnsi="Arial"/>
                <w:sz w:val="14"/>
                <w:szCs w:val="14"/>
                <w:b w:val="1"/>
                <w:bCs w:val="1"/>
                <w:color w:val="FB4E0B"/>
              </w:rPr>
              <w:t>Vivek</w:t>
            </w:r>
          </w:p>
        </w:tc>
        <w:tc>
          <w:tcPr>
            <w:tcW w:w="142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2/20/2019</w:t>
            </w:r>
          </w:p>
        </w:tc>
        <w:tc>
          <w:tcPr>
            <w:tcW w:w="158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723</w:t>
            </w:r>
          </w:p>
        </w:tc>
        <w:tc>
          <w:tcPr>
            <w:tcW w:w="1880" w:type="dxa"/>
            <w:vAlign w:val="bottom"/>
          </w:tcPr>
          <w:p>
            <w:pPr>
              <w:jc w:val="right"/>
              <w:ind w:right="111"/>
              <w:spacing w:after="0" w:line="133" w:lineRule="exact"/>
              <w:rPr>
                <w:sz w:val="20"/>
                <w:szCs w:val="20"/>
                <w:color w:val="auto"/>
              </w:rPr>
            </w:pPr>
            <w:r>
              <w:rPr>
                <w:rFonts w:ascii="Arial" w:cs="Arial" w:eastAsia="Arial" w:hAnsi="Arial"/>
                <w:sz w:val="14"/>
                <w:szCs w:val="14"/>
                <w:color w:val="auto"/>
              </w:rPr>
              <w:t>122,498</w:t>
            </w:r>
          </w:p>
        </w:tc>
        <w:tc>
          <w:tcPr>
            <w:tcW w:w="2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40"/>
              <w:spacing w:after="0"/>
              <w:rPr>
                <w:sz w:val="20"/>
                <w:szCs w:val="20"/>
                <w:color w:val="auto"/>
              </w:rPr>
            </w:pPr>
            <w:r>
              <w:rPr>
                <w:rFonts w:ascii="Arial" w:cs="Arial" w:eastAsia="Arial" w:hAnsi="Arial"/>
                <w:sz w:val="14"/>
                <w:szCs w:val="14"/>
                <w:b w:val="1"/>
                <w:bCs w:val="1"/>
                <w:color w:val="FB4E0B"/>
              </w:rPr>
              <w:t>Jetley</w:t>
            </w: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2/19/2020</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2,183</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369,866</w:t>
            </w:r>
          </w:p>
        </w:tc>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4,467</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756,844</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2/17/2021</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11,910</w:t>
            </w:r>
            <w:r>
              <w:rPr>
                <w:rFonts w:ascii="Arial" w:cs="Arial" w:eastAsia="Arial" w:hAnsi="Arial"/>
                <w:sz w:val="10"/>
                <w:szCs w:val="10"/>
                <w:color w:val="auto"/>
              </w:rPr>
              <w:t>(a)</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2,017,911</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9/1/2021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12,181</w:t>
            </w:r>
            <w:r>
              <w:rPr>
                <w:rFonts w:ascii="Arial" w:cs="Arial" w:eastAsia="Arial" w:hAnsi="Arial"/>
                <w:sz w:val="10"/>
                <w:szCs w:val="10"/>
                <w:color w:val="auto"/>
              </w:rPr>
              <w:t>(2)</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2,063,827</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4,040</w:t>
            </w:r>
          </w:p>
        </w:tc>
        <w:tc>
          <w:tcPr>
            <w:tcW w:w="1880" w:type="dxa"/>
            <w:vAlign w:val="bottom"/>
          </w:tcPr>
          <w:p>
            <w:pPr>
              <w:jc w:val="right"/>
              <w:ind w:right="111"/>
              <w:spacing w:after="0"/>
              <w:rPr>
                <w:sz w:val="20"/>
                <w:szCs w:val="20"/>
                <w:color w:val="auto"/>
              </w:rPr>
            </w:pPr>
            <w:r>
              <w:rPr>
                <w:rFonts w:ascii="Arial" w:cs="Arial" w:eastAsia="Arial" w:hAnsi="Arial"/>
                <w:sz w:val="14"/>
                <w:szCs w:val="14"/>
                <w:color w:val="auto"/>
              </w:rPr>
              <w:t>684,497</w:t>
            </w:r>
          </w:p>
        </w:tc>
        <w:tc>
          <w:tcPr>
            <w:tcW w:w="2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2,424</w:t>
            </w:r>
            <w:r>
              <w:rPr>
                <w:rFonts w:ascii="Arial" w:cs="Arial" w:eastAsia="Arial" w:hAnsi="Arial"/>
                <w:sz w:val="10"/>
                <w:szCs w:val="10"/>
                <w:color w:val="auto"/>
              </w:rPr>
              <w:t>(b)</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410,698</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3,636</w:t>
            </w:r>
            <w:r>
              <w:rPr>
                <w:rFonts w:ascii="Arial" w:cs="Arial" w:eastAsia="Arial" w:hAnsi="Arial"/>
                <w:sz w:val="10"/>
                <w:szCs w:val="10"/>
                <w:color w:val="auto"/>
              </w:rPr>
              <w:t>(c)</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616,047</w:t>
            </w:r>
          </w:p>
        </w:tc>
        <w:tc>
          <w:tcPr>
            <w:tcW w:w="0" w:type="dxa"/>
            <w:vAlign w:val="bottom"/>
          </w:tcPr>
          <w:p>
            <w:pPr>
              <w:spacing w:after="0"/>
              <w:rPr>
                <w:sz w:val="1"/>
                <w:szCs w:val="1"/>
                <w:color w:val="auto"/>
              </w:rPr>
            </w:pPr>
          </w:p>
        </w:tc>
      </w:tr>
      <w:tr>
        <w:trPr>
          <w:trHeight w:val="201"/>
        </w:trPr>
        <w:tc>
          <w:tcPr>
            <w:tcW w:w="1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3/31/2022</w:t>
            </w: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(2)</w:t>
            </w:r>
          </w:p>
        </w:tc>
        <w:tc>
          <w:tcPr>
            <w:tcW w:w="1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707,709</w:t>
            </w:r>
          </w:p>
        </w:tc>
        <w:tc>
          <w:tcPr>
            <w:tcW w:w="2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60" w:type="dxa"/>
            <w:vAlign w:val="bottom"/>
            <w:gridSpan w:val="2"/>
          </w:tcPr>
          <w:p>
            <w:pPr>
              <w:ind w:left="1900"/>
              <w:spacing w:after="0"/>
              <w:rPr>
                <w:sz w:val="20"/>
                <w:szCs w:val="20"/>
                <w:color w:val="auto"/>
              </w:rPr>
            </w:pPr>
            <w:r>
              <w:rPr>
                <w:rFonts w:ascii="Arial" w:cs="Arial" w:eastAsia="Arial" w:hAnsi="Arial"/>
                <w:sz w:val="13"/>
                <w:szCs w:val="13"/>
                <w:color w:val="auto"/>
              </w:rPr>
              <w:t>EXL 2023 Proxy Statement</w:t>
            </w:r>
          </w:p>
        </w:tc>
        <w:tc>
          <w:tcPr>
            <w:tcW w:w="140" w:type="dxa"/>
            <w:vAlign w:val="bottom"/>
          </w:tcPr>
          <w:p>
            <w:pPr>
              <w:jc w:val="right"/>
              <w:spacing w:after="0"/>
              <w:rPr>
                <w:sz w:val="20"/>
                <w:szCs w:val="20"/>
                <w:color w:val="auto"/>
              </w:rPr>
            </w:pPr>
            <w:r>
              <w:rPr>
                <w:rFonts w:ascii="Arial" w:cs="Arial" w:eastAsia="Arial" w:hAnsi="Arial"/>
                <w:sz w:val="28"/>
                <w:szCs w:val="28"/>
                <w:b w:val="1"/>
                <w:bCs w:val="1"/>
                <w:color w:val="FB4E0B"/>
              </w:rPr>
              <w:t>/</w:t>
            </w:r>
          </w:p>
        </w:tc>
        <w:tc>
          <w:tcPr>
            <w:tcW w:w="680" w:type="dxa"/>
            <w:vAlign w:val="bottom"/>
          </w:tcPr>
          <w:p>
            <w:pPr>
              <w:jc w:val="right"/>
              <w:ind w:right="129"/>
              <w:spacing w:after="0"/>
              <w:rPr>
                <w:sz w:val="20"/>
                <w:szCs w:val="20"/>
                <w:color w:val="auto"/>
              </w:rPr>
            </w:pPr>
            <w:r>
              <w:rPr>
                <w:rFonts w:ascii="Arial" w:cs="Arial" w:eastAsia="Arial" w:hAnsi="Arial"/>
                <w:sz w:val="17"/>
                <w:szCs w:val="17"/>
                <w:b w:val="1"/>
                <w:bCs w:val="1"/>
                <w:color w:val="auto"/>
              </w:rPr>
              <w:t>93</w:t>
            </w:r>
          </w:p>
        </w:tc>
        <w:tc>
          <w:tcPr>
            <w:tcW w:w="0" w:type="dxa"/>
            <w:vAlign w:val="bottom"/>
          </w:tcPr>
          <w:p>
            <w:pPr>
              <w:spacing w:after="0"/>
              <w:rPr>
                <w:sz w:val="1"/>
                <w:szCs w:val="1"/>
                <w:color w:val="auto"/>
              </w:rPr>
            </w:pPr>
          </w:p>
        </w:tc>
      </w:tr>
    </w:tbl>
    <w:p>
      <w:pPr>
        <w:sectPr>
          <w:pgSz w:w="11900" w:h="16838" w:orient="portrait"/>
          <w:cols w:equalWidth="0" w:num="1">
            <w:col w:w="10940"/>
          </w:cols>
          <w:pgMar w:left="320" w:top="473" w:right="6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1500" w:type="dxa"/>
            <w:vAlign w:val="bottom"/>
          </w:tcPr>
          <w:p>
            <w:pPr>
              <w:spacing w:after="0"/>
              <w:rPr>
                <w:sz w:val="20"/>
                <w:szCs w:val="20"/>
                <w:color w:val="auto"/>
              </w:rPr>
            </w:pPr>
            <w:r>
              <w:rPr>
                <w:rFonts w:ascii="Arial" w:cs="Arial" w:eastAsia="Arial" w:hAnsi="Arial"/>
                <w:sz w:val="14"/>
                <w:szCs w:val="14"/>
                <w:b w:val="1"/>
                <w:bCs w:val="1"/>
                <w:color w:val="D8D8D8"/>
                <w:w w:val="90"/>
              </w:rPr>
              <w:t>Executive compensation</w:t>
            </w: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 or</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Market value of shares or</w:t>
            </w:r>
          </w:p>
        </w:tc>
        <w:tc>
          <w:tcPr>
            <w:tcW w:w="216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Equity incentive plan awards:</w:t>
            </w:r>
          </w:p>
        </w:tc>
        <w:tc>
          <w:tcPr>
            <w:tcW w:w="2520" w:type="dxa"/>
            <w:vAlign w:val="bottom"/>
          </w:tcPr>
          <w:p>
            <w:pPr>
              <w:jc w:val="center"/>
              <w:ind w:left="11"/>
              <w:spacing w:after="0"/>
              <w:rPr>
                <w:sz w:val="20"/>
                <w:szCs w:val="20"/>
                <w:color w:val="auto"/>
              </w:rPr>
            </w:pPr>
            <w:r>
              <w:rPr>
                <w:rFonts w:ascii="Arial" w:cs="Arial" w:eastAsia="Arial" w:hAnsi="Arial"/>
                <w:sz w:val="14"/>
                <w:szCs w:val="14"/>
                <w:b w:val="1"/>
                <w:bCs w:val="1"/>
                <w:color w:val="auto"/>
                <w:w w:val="90"/>
              </w:rPr>
              <w:t>Equity incentive plan awards: market</w:t>
            </w: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Stock award</w:t>
            </w: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units of stock that</w:t>
            </w:r>
          </w:p>
        </w:tc>
        <w:tc>
          <w:tcPr>
            <w:tcW w:w="1880" w:type="dxa"/>
            <w:vAlign w:val="bottom"/>
            <w:vMerge w:val="continue"/>
          </w:tcPr>
          <w:p>
            <w:pPr>
              <w:spacing w:after="0"/>
              <w:rPr>
                <w:sz w:val="12"/>
                <w:szCs w:val="12"/>
                <w:color w:val="auto"/>
              </w:rPr>
            </w:pPr>
          </w:p>
        </w:tc>
        <w:tc>
          <w:tcPr>
            <w:tcW w:w="216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w w:val="99"/>
              </w:rPr>
              <w:t>number of unearned shares,</w:t>
            </w:r>
          </w:p>
        </w:tc>
        <w:tc>
          <w:tcPr>
            <w:tcW w:w="252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auto"/>
                <w:w w:val="88"/>
              </w:rPr>
              <w:t>or payout value of unearned shares,</w:t>
            </w: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have not vested</w:t>
            </w:r>
          </w:p>
        </w:tc>
        <w:tc>
          <w:tcPr>
            <w:tcW w:w="1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units of stock that have</w:t>
            </w:r>
          </w:p>
        </w:tc>
        <w:tc>
          <w:tcPr>
            <w:tcW w:w="2160" w:type="dxa"/>
            <w:vAlign w:val="bottom"/>
          </w:tcPr>
          <w:p>
            <w:pPr>
              <w:jc w:val="right"/>
              <w:ind w:right="131"/>
              <w:spacing w:after="0" w:line="143" w:lineRule="exact"/>
              <w:rPr>
                <w:sz w:val="20"/>
                <w:szCs w:val="20"/>
                <w:color w:val="auto"/>
              </w:rPr>
            </w:pPr>
            <w:r>
              <w:rPr>
                <w:rFonts w:ascii="Arial" w:cs="Arial" w:eastAsia="Arial" w:hAnsi="Arial"/>
                <w:sz w:val="14"/>
                <w:szCs w:val="14"/>
                <w:b w:val="1"/>
                <w:bCs w:val="1"/>
                <w:color w:val="auto"/>
                <w:w w:val="97"/>
              </w:rPr>
              <w:t>units or other rights that have</w:t>
            </w:r>
          </w:p>
        </w:tc>
        <w:tc>
          <w:tcPr>
            <w:tcW w:w="252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auto"/>
                <w:w w:val="89"/>
              </w:rPr>
              <w:t>units or other rights that have not</w:t>
            </w:r>
          </w:p>
        </w:tc>
        <w:tc>
          <w:tcPr>
            <w:tcW w:w="0" w:type="dxa"/>
            <w:vAlign w:val="bottom"/>
          </w:tcPr>
          <w:p>
            <w:pPr>
              <w:spacing w:after="0"/>
              <w:rPr>
                <w:sz w:val="1"/>
                <w:szCs w:val="1"/>
                <w:color w:val="auto"/>
              </w:rPr>
            </w:pPr>
          </w:p>
        </w:tc>
      </w:tr>
      <w:tr>
        <w:trPr>
          <w:trHeight w:val="193"/>
        </w:trPr>
        <w:tc>
          <w:tcPr>
            <w:tcW w:w="1500" w:type="dxa"/>
            <w:vAlign w:val="bottom"/>
          </w:tcPr>
          <w:p>
            <w:pPr>
              <w:ind w:left="40"/>
              <w:spacing w:after="0"/>
              <w:rPr>
                <w:sz w:val="20"/>
                <w:szCs w:val="20"/>
                <w:color w:val="auto"/>
              </w:rPr>
            </w:pPr>
            <w:r>
              <w:rPr>
                <w:rFonts w:ascii="Arial" w:cs="Arial" w:eastAsia="Arial" w:hAnsi="Arial"/>
                <w:sz w:val="14"/>
                <w:szCs w:val="14"/>
                <w:b w:val="1"/>
                <w:bCs w:val="1"/>
                <w:color w:val="FB4E0B"/>
              </w:rPr>
              <w:t>Name</w:t>
            </w: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grant date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not vested ($)</w:t>
            </w:r>
            <w:r>
              <w:rPr>
                <w:rFonts w:ascii="Arial" w:cs="Arial" w:eastAsia="Arial" w:hAnsi="Arial"/>
                <w:sz w:val="10"/>
                <w:szCs w:val="10"/>
                <w:b w:val="1"/>
                <w:bCs w:val="1"/>
                <w:color w:val="auto"/>
                <w:w w:val="89"/>
              </w:rPr>
              <w:t>(4)</w:t>
            </w:r>
          </w:p>
        </w:tc>
        <w:tc>
          <w:tcPr>
            <w:tcW w:w="2160" w:type="dxa"/>
            <w:vAlign w:val="bottom"/>
          </w:tcPr>
          <w:p>
            <w:pPr>
              <w:jc w:val="right"/>
              <w:ind w:right="551"/>
              <w:spacing w:after="0"/>
              <w:rPr>
                <w:sz w:val="20"/>
                <w:szCs w:val="20"/>
                <w:color w:val="auto"/>
              </w:rPr>
            </w:pPr>
            <w:r>
              <w:rPr>
                <w:rFonts w:ascii="Arial" w:cs="Arial" w:eastAsia="Arial" w:hAnsi="Arial"/>
                <w:sz w:val="14"/>
                <w:szCs w:val="14"/>
                <w:b w:val="1"/>
                <w:bCs w:val="1"/>
                <w:color w:val="auto"/>
              </w:rPr>
              <w:t>not vested (#)</w:t>
            </w:r>
            <w:r>
              <w:rPr>
                <w:rFonts w:ascii="Arial" w:cs="Arial" w:eastAsia="Arial" w:hAnsi="Arial"/>
                <w:sz w:val="10"/>
                <w:szCs w:val="10"/>
                <w:b w:val="1"/>
                <w:bCs w:val="1"/>
                <w:color w:val="auto"/>
              </w:rPr>
              <w:t>(3)</w:t>
            </w:r>
          </w:p>
        </w:tc>
        <w:tc>
          <w:tcPr>
            <w:tcW w:w="2520" w:type="dxa"/>
            <w:vAlign w:val="bottom"/>
          </w:tcPr>
          <w:p>
            <w:pPr>
              <w:jc w:val="center"/>
              <w:ind w:left="11"/>
              <w:spacing w:after="0"/>
              <w:rPr>
                <w:sz w:val="20"/>
                <w:szCs w:val="20"/>
                <w:color w:val="auto"/>
              </w:rPr>
            </w:pPr>
            <w:r>
              <w:rPr>
                <w:rFonts w:ascii="Arial" w:cs="Arial" w:eastAsia="Arial" w:hAnsi="Arial"/>
                <w:sz w:val="14"/>
                <w:szCs w:val="14"/>
                <w:b w:val="1"/>
                <w:bCs w:val="1"/>
                <w:color w:val="auto"/>
                <w:w w:val="87"/>
              </w:rPr>
              <w:t>vested ($)</w:t>
            </w:r>
            <w:r>
              <w:rPr>
                <w:rFonts w:ascii="Arial" w:cs="Arial" w:eastAsia="Arial" w:hAnsi="Arial"/>
                <w:sz w:val="10"/>
                <w:szCs w:val="10"/>
                <w:b w:val="1"/>
                <w:bCs w:val="1"/>
                <w:color w:val="auto"/>
                <w:w w:val="87"/>
              </w:rPr>
              <w:t>(4)</w:t>
            </w:r>
          </w:p>
        </w:tc>
        <w:tc>
          <w:tcPr>
            <w:tcW w:w="0" w:type="dxa"/>
            <w:vAlign w:val="bottom"/>
          </w:tcPr>
          <w:p>
            <w:pPr>
              <w:spacing w:after="0"/>
              <w:rPr>
                <w:sz w:val="1"/>
                <w:szCs w:val="1"/>
                <w:color w:val="auto"/>
              </w:rPr>
            </w:pPr>
          </w:p>
        </w:tc>
      </w:tr>
      <w:tr>
        <w:trPr>
          <w:trHeight w:val="51"/>
        </w:trPr>
        <w:tc>
          <w:tcPr>
            <w:tcW w:w="1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20"/>
              <w:spacing w:after="0" w:line="157" w:lineRule="exact"/>
              <w:rPr>
                <w:sz w:val="20"/>
                <w:szCs w:val="20"/>
                <w:color w:val="auto"/>
              </w:rPr>
            </w:pPr>
            <w:r>
              <w:rPr>
                <w:rFonts w:ascii="Arial" w:cs="Arial" w:eastAsia="Arial" w:hAnsi="Arial"/>
                <w:sz w:val="14"/>
                <w:szCs w:val="14"/>
                <w:b w:val="1"/>
                <w:bCs w:val="1"/>
                <w:color w:val="FB4E0B"/>
              </w:rPr>
              <w:t>Ankor Rai</w:t>
            </w:r>
          </w:p>
        </w:tc>
        <w:tc>
          <w:tcPr>
            <w:tcW w:w="980" w:type="dxa"/>
            <w:vAlign w:val="bottom"/>
          </w:tcPr>
          <w:p>
            <w:pPr>
              <w:jc w:val="right"/>
              <w:ind w:right="91"/>
              <w:spacing w:after="0" w:line="157" w:lineRule="exact"/>
              <w:rPr>
                <w:sz w:val="20"/>
                <w:szCs w:val="20"/>
                <w:color w:val="auto"/>
              </w:rPr>
            </w:pPr>
            <w:r>
              <w:rPr>
                <w:rFonts w:ascii="Arial" w:cs="Arial" w:eastAsia="Arial" w:hAnsi="Arial"/>
                <w:sz w:val="14"/>
                <w:szCs w:val="14"/>
                <w:color w:val="auto"/>
              </w:rPr>
              <w:t>2/20/2019</w:t>
            </w:r>
          </w:p>
        </w:tc>
        <w:tc>
          <w:tcPr>
            <w:tcW w:w="1580" w:type="dxa"/>
            <w:vAlign w:val="bottom"/>
          </w:tcPr>
          <w:p>
            <w:pPr>
              <w:jc w:val="right"/>
              <w:ind w:right="111"/>
              <w:spacing w:after="0" w:line="157" w:lineRule="exact"/>
              <w:rPr>
                <w:sz w:val="20"/>
                <w:szCs w:val="20"/>
                <w:color w:val="auto"/>
              </w:rPr>
            </w:pPr>
            <w:r>
              <w:rPr>
                <w:rFonts w:ascii="Arial" w:cs="Arial" w:eastAsia="Arial" w:hAnsi="Arial"/>
                <w:sz w:val="14"/>
                <w:szCs w:val="14"/>
                <w:color w:val="auto"/>
              </w:rPr>
              <w:t>672</w:t>
            </w:r>
          </w:p>
        </w:tc>
        <w:tc>
          <w:tcPr>
            <w:tcW w:w="1880" w:type="dxa"/>
            <w:vAlign w:val="bottom"/>
          </w:tcPr>
          <w:p>
            <w:pPr>
              <w:jc w:val="right"/>
              <w:ind w:right="91"/>
              <w:spacing w:after="0" w:line="157" w:lineRule="exact"/>
              <w:rPr>
                <w:sz w:val="20"/>
                <w:szCs w:val="20"/>
                <w:color w:val="auto"/>
              </w:rPr>
            </w:pPr>
            <w:r>
              <w:rPr>
                <w:rFonts w:ascii="Arial" w:cs="Arial" w:eastAsia="Arial" w:hAnsi="Arial"/>
                <w:sz w:val="14"/>
                <w:szCs w:val="14"/>
                <w:color w:val="auto"/>
              </w:rPr>
              <w:t>113,857</w:t>
            </w:r>
          </w:p>
        </w:tc>
        <w:tc>
          <w:tcPr>
            <w:tcW w:w="2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2/19/2020</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1,680</w:t>
            </w:r>
          </w:p>
        </w:tc>
        <w:tc>
          <w:tcPr>
            <w:tcW w:w="1880" w:type="dxa"/>
            <w:vAlign w:val="bottom"/>
          </w:tcPr>
          <w:p>
            <w:pPr>
              <w:jc w:val="right"/>
              <w:ind w:right="91"/>
              <w:spacing w:after="0"/>
              <w:rPr>
                <w:sz w:val="20"/>
                <w:szCs w:val="20"/>
                <w:color w:val="auto"/>
              </w:rPr>
            </w:pPr>
            <w:r>
              <w:rPr>
                <w:rFonts w:ascii="Arial" w:cs="Arial" w:eastAsia="Arial" w:hAnsi="Arial"/>
                <w:sz w:val="14"/>
                <w:szCs w:val="14"/>
                <w:color w:val="auto"/>
              </w:rPr>
              <w:t>284,642</w:t>
            </w:r>
          </w:p>
        </w:tc>
        <w:tc>
          <w:tcPr>
            <w:tcW w:w="2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2/17/2021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2,880</w:t>
            </w:r>
          </w:p>
        </w:tc>
        <w:tc>
          <w:tcPr>
            <w:tcW w:w="1880" w:type="dxa"/>
            <w:vAlign w:val="bottom"/>
          </w:tcPr>
          <w:p>
            <w:pPr>
              <w:jc w:val="right"/>
              <w:ind w:right="91"/>
              <w:spacing w:after="0"/>
              <w:rPr>
                <w:sz w:val="20"/>
                <w:szCs w:val="20"/>
                <w:color w:val="auto"/>
              </w:rPr>
            </w:pPr>
            <w:r>
              <w:rPr>
                <w:rFonts w:ascii="Arial" w:cs="Arial" w:eastAsia="Arial" w:hAnsi="Arial"/>
                <w:sz w:val="14"/>
                <w:szCs w:val="14"/>
                <w:color w:val="auto"/>
              </w:rPr>
              <w:t>487,958</w:t>
            </w: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2/17/2021</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7,680</w:t>
            </w:r>
            <w:r>
              <w:rPr>
                <w:rFonts w:ascii="Arial" w:cs="Arial" w:eastAsia="Arial" w:hAnsi="Arial"/>
                <w:sz w:val="10"/>
                <w:szCs w:val="10"/>
                <w:color w:val="auto"/>
              </w:rPr>
              <w:t>(a)</w:t>
            </w:r>
          </w:p>
        </w:tc>
        <w:tc>
          <w:tcPr>
            <w:tcW w:w="2520" w:type="dxa"/>
            <w:vAlign w:val="bottom"/>
          </w:tcPr>
          <w:p>
            <w:pPr>
              <w:jc w:val="right"/>
              <w:spacing w:after="0"/>
              <w:rPr>
                <w:sz w:val="20"/>
                <w:szCs w:val="20"/>
                <w:color w:val="auto"/>
              </w:rPr>
            </w:pPr>
            <w:r>
              <w:rPr>
                <w:rFonts w:ascii="Arial" w:cs="Arial" w:eastAsia="Arial" w:hAnsi="Arial"/>
                <w:sz w:val="14"/>
                <w:szCs w:val="14"/>
                <w:color w:val="auto"/>
              </w:rPr>
              <w:t>1,301,222</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9/1/2021</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12,181</w:t>
            </w:r>
            <w:r>
              <w:rPr>
                <w:rFonts w:ascii="Arial" w:cs="Arial" w:eastAsia="Arial" w:hAnsi="Arial"/>
                <w:sz w:val="10"/>
                <w:szCs w:val="10"/>
                <w:color w:val="auto"/>
              </w:rPr>
              <w:t>(2)</w:t>
            </w:r>
          </w:p>
        </w:tc>
        <w:tc>
          <w:tcPr>
            <w:tcW w:w="1880" w:type="dxa"/>
            <w:vAlign w:val="bottom"/>
          </w:tcPr>
          <w:p>
            <w:pPr>
              <w:jc w:val="right"/>
              <w:ind w:right="91"/>
              <w:spacing w:after="0"/>
              <w:rPr>
                <w:sz w:val="20"/>
                <w:szCs w:val="20"/>
                <w:color w:val="auto"/>
              </w:rPr>
            </w:pPr>
            <w:r>
              <w:rPr>
                <w:rFonts w:ascii="Arial" w:cs="Arial" w:eastAsia="Arial" w:hAnsi="Arial"/>
                <w:sz w:val="14"/>
                <w:szCs w:val="14"/>
                <w:color w:val="auto"/>
              </w:rPr>
              <w:t>2,063,827</w:t>
            </w: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2/16/2022</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3,108</w:t>
            </w:r>
          </w:p>
        </w:tc>
        <w:tc>
          <w:tcPr>
            <w:tcW w:w="1880" w:type="dxa"/>
            <w:vAlign w:val="bottom"/>
          </w:tcPr>
          <w:p>
            <w:pPr>
              <w:jc w:val="right"/>
              <w:ind w:right="91"/>
              <w:spacing w:after="0"/>
              <w:rPr>
                <w:sz w:val="20"/>
                <w:szCs w:val="20"/>
                <w:color w:val="auto"/>
              </w:rPr>
            </w:pPr>
            <w:r>
              <w:rPr>
                <w:rFonts w:ascii="Arial" w:cs="Arial" w:eastAsia="Arial" w:hAnsi="Arial"/>
                <w:sz w:val="14"/>
                <w:szCs w:val="14"/>
                <w:color w:val="auto"/>
              </w:rPr>
              <w:t>526,588</w:t>
            </w: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1,865</w:t>
            </w:r>
            <w:r>
              <w:rPr>
                <w:rFonts w:ascii="Arial" w:cs="Arial" w:eastAsia="Arial" w:hAnsi="Arial"/>
                <w:sz w:val="10"/>
                <w:szCs w:val="10"/>
                <w:color w:val="auto"/>
              </w:rPr>
              <w:t>(b)</w:t>
            </w:r>
          </w:p>
        </w:tc>
        <w:tc>
          <w:tcPr>
            <w:tcW w:w="2520" w:type="dxa"/>
            <w:vAlign w:val="bottom"/>
          </w:tcPr>
          <w:p>
            <w:pPr>
              <w:jc w:val="right"/>
              <w:spacing w:after="0"/>
              <w:rPr>
                <w:sz w:val="20"/>
                <w:szCs w:val="20"/>
                <w:color w:val="auto"/>
              </w:rPr>
            </w:pPr>
            <w:r>
              <w:rPr>
                <w:rFonts w:ascii="Arial" w:cs="Arial" w:eastAsia="Arial" w:hAnsi="Arial"/>
                <w:sz w:val="14"/>
                <w:szCs w:val="14"/>
                <w:color w:val="auto"/>
              </w:rPr>
              <w:t>315,987</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2/16/2022</w:t>
            </w: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tcPr>
          <w:p>
            <w:pPr>
              <w:jc w:val="right"/>
              <w:ind w:right="131"/>
              <w:spacing w:after="0"/>
              <w:rPr>
                <w:sz w:val="20"/>
                <w:szCs w:val="20"/>
                <w:color w:val="auto"/>
              </w:rPr>
            </w:pPr>
            <w:r>
              <w:rPr>
                <w:rFonts w:ascii="Arial" w:cs="Arial" w:eastAsia="Arial" w:hAnsi="Arial"/>
                <w:sz w:val="14"/>
                <w:szCs w:val="14"/>
                <w:color w:val="auto"/>
              </w:rPr>
              <w:t>2,797</w:t>
            </w:r>
            <w:r>
              <w:rPr>
                <w:rFonts w:ascii="Arial" w:cs="Arial" w:eastAsia="Arial" w:hAnsi="Arial"/>
                <w:sz w:val="10"/>
                <w:szCs w:val="10"/>
                <w:color w:val="auto"/>
              </w:rPr>
              <w:t>(c)</w:t>
            </w:r>
          </w:p>
        </w:tc>
        <w:tc>
          <w:tcPr>
            <w:tcW w:w="2520" w:type="dxa"/>
            <w:vAlign w:val="bottom"/>
          </w:tcPr>
          <w:p>
            <w:pPr>
              <w:jc w:val="right"/>
              <w:spacing w:after="0"/>
              <w:rPr>
                <w:sz w:val="20"/>
                <w:szCs w:val="20"/>
                <w:color w:val="auto"/>
              </w:rPr>
            </w:pPr>
            <w:r>
              <w:rPr>
                <w:rFonts w:ascii="Arial" w:cs="Arial" w:eastAsia="Arial" w:hAnsi="Arial"/>
                <w:sz w:val="14"/>
                <w:szCs w:val="14"/>
                <w:color w:val="auto"/>
              </w:rPr>
              <w:t>473,896</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3/31/2022</w:t>
            </w:r>
          </w:p>
        </w:tc>
        <w:tc>
          <w:tcPr>
            <w:tcW w:w="1580" w:type="dxa"/>
            <w:vAlign w:val="bottom"/>
          </w:tcPr>
          <w:p>
            <w:pPr>
              <w:jc w:val="right"/>
              <w:ind w:right="111"/>
              <w:spacing w:after="0"/>
              <w:rPr>
                <w:sz w:val="20"/>
                <w:szCs w:val="20"/>
                <w:color w:val="auto"/>
              </w:rPr>
            </w:pPr>
            <w:r>
              <w:rPr>
                <w:rFonts w:ascii="Arial" w:cs="Arial" w:eastAsia="Arial" w:hAnsi="Arial"/>
                <w:sz w:val="14"/>
                <w:szCs w:val="14"/>
                <w:color w:val="auto"/>
              </w:rPr>
              <w:t>4,177</w:t>
            </w:r>
            <w:r>
              <w:rPr>
                <w:rFonts w:ascii="Arial" w:cs="Arial" w:eastAsia="Arial" w:hAnsi="Arial"/>
                <w:sz w:val="10"/>
                <w:szCs w:val="10"/>
                <w:color w:val="auto"/>
              </w:rPr>
              <w:t>(2)</w:t>
            </w:r>
          </w:p>
        </w:tc>
        <w:tc>
          <w:tcPr>
            <w:tcW w:w="1880" w:type="dxa"/>
            <w:vAlign w:val="bottom"/>
          </w:tcPr>
          <w:p>
            <w:pPr>
              <w:jc w:val="right"/>
              <w:ind w:right="91"/>
              <w:spacing w:after="0"/>
              <w:rPr>
                <w:sz w:val="20"/>
                <w:szCs w:val="20"/>
                <w:color w:val="auto"/>
              </w:rPr>
            </w:pPr>
            <w:r>
              <w:rPr>
                <w:rFonts w:ascii="Arial" w:cs="Arial" w:eastAsia="Arial" w:hAnsi="Arial"/>
                <w:sz w:val="14"/>
                <w:szCs w:val="14"/>
                <w:color w:val="auto"/>
              </w:rPr>
              <w:t>707,709</w:t>
            </w: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67405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ind w:left="320" w:right="60" w:hanging="4"/>
        <w:spacing w:after="0" w:line="237" w:lineRule="auto"/>
        <w:tabs>
          <w:tab w:leader="none" w:pos="504" w:val="left"/>
        </w:tabs>
        <w:numPr>
          <w:ilvl w:val="0"/>
          <w:numId w:val="31"/>
        </w:numPr>
        <w:rPr>
          <w:rFonts w:ascii="Arial" w:cs="Arial" w:eastAsia="Arial" w:hAnsi="Arial"/>
          <w:sz w:val="13"/>
          <w:szCs w:val="13"/>
          <w:color w:val="auto"/>
        </w:rPr>
      </w:pPr>
      <w:r>
        <w:rPr>
          <w:rFonts w:ascii="Arial" w:cs="Arial" w:eastAsia="Arial" w:hAnsi="Arial"/>
          <w:sz w:val="13"/>
          <w:szCs w:val="13"/>
          <w:color w:val="auto"/>
        </w:rPr>
        <w:t>Unless otherwise noted, this column represents annual restricted stock unit awards that vest and convert to shares in accordance with the following schedule (subject to continued employment through each applicable vesting date): 25% of the restricted stock units vest on each of the first, second, third and fourth anniversaries of the grant date.</w:t>
      </w:r>
    </w:p>
    <w:p>
      <w:pPr>
        <w:ind w:left="320" w:right="200" w:hanging="4"/>
        <w:spacing w:after="0" w:line="229" w:lineRule="auto"/>
        <w:tabs>
          <w:tab w:leader="none" w:pos="504"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restricted stock unit awards vest and convert to shares in accordance with the following schedule (subject to continued employment through each applicable vesting date): 1/3 of the restricted stock units vest on the second anniversary of the grant date with the remaining 2/3 vesting on the third anniversary of the grant date.</w:t>
      </w:r>
    </w:p>
    <w:p>
      <w:pPr>
        <w:ind w:left="320" w:right="120" w:hanging="4"/>
        <w:spacing w:after="0" w:line="229" w:lineRule="auto"/>
        <w:tabs>
          <w:tab w:leader="none" w:pos="504"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performance restricted stock unit awards in this table vest and convert to shares in accordance with the following schedules (subject to continued employment through the applicable vesting date and achievement of applicable performance goals):</w:t>
      </w:r>
    </w:p>
    <w:p>
      <w:pPr>
        <w:ind w:left="920" w:hanging="179"/>
        <w:spacing w:after="0" w:line="229" w:lineRule="auto"/>
        <w:tabs>
          <w:tab w:leader="none" w:pos="9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100% of the restricted stock units vest on December 31, 2023. This amount represents the 2021 Relative TSR-Linked PRSUs and reflects maximum performance.</w:t>
      </w:r>
    </w:p>
    <w:p>
      <w:pPr>
        <w:ind w:left="920" w:hanging="179"/>
        <w:spacing w:after="0" w:line="229" w:lineRule="auto"/>
        <w:tabs>
          <w:tab w:leader="none" w:pos="9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100% of the restricted stock units vest on December 31, 2024. This amount represents the 2022 Revenue-Linked PRSUs and reflects target performance.</w:t>
      </w:r>
    </w:p>
    <w:p>
      <w:pPr>
        <w:ind w:left="920" w:hanging="179"/>
        <w:spacing w:after="0" w:line="229" w:lineRule="auto"/>
        <w:tabs>
          <w:tab w:leader="none" w:pos="9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100% of the restricted stock units vest on December 31, 2024. This amount represents the 2022 Relative TSR-Linked PRSUs and reflects target performance.</w:t>
      </w:r>
    </w:p>
    <w:p>
      <w:pPr>
        <w:ind w:left="500" w:hanging="184"/>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price used in determining the market values set forth in this table is $169.43, which was the closing price of our stock on December 30, 2022.</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24"/>
          <w:szCs w:val="24"/>
          <w:color w:val="auto"/>
        </w:rPr>
        <w:t>Option exercises and stock vested during fiscal year 2022</w:t>
      </w:r>
    </w:p>
    <w:p>
      <w:pPr>
        <w:spacing w:after="0" w:line="117"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The following table provides additional information about the value realized by our named executive officers on option award exercises and stock award vesting during fiscal year 2022:</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273"/>
        </w:trPr>
        <w:tc>
          <w:tcPr>
            <w:tcW w:w="560" w:type="dxa"/>
            <w:vAlign w:val="bottom"/>
          </w:tcPr>
          <w:p>
            <w:pPr>
              <w:spacing w:after="0"/>
              <w:rPr>
                <w:sz w:val="23"/>
                <w:szCs w:val="23"/>
                <w:color w:val="auto"/>
              </w:rPr>
            </w:pPr>
          </w:p>
        </w:tc>
        <w:tc>
          <w:tcPr>
            <w:tcW w:w="2080" w:type="dxa"/>
            <w:vAlign w:val="bottom"/>
            <w:tcBorders>
              <w:right w:val="single" w:sz="8" w:color="FB4E0B"/>
            </w:tcBorders>
          </w:tcPr>
          <w:p>
            <w:pPr>
              <w:spacing w:after="0"/>
              <w:rPr>
                <w:sz w:val="23"/>
                <w:szCs w:val="23"/>
                <w:color w:val="auto"/>
              </w:rPr>
            </w:pPr>
          </w:p>
        </w:tc>
        <w:tc>
          <w:tcPr>
            <w:tcW w:w="4000" w:type="dxa"/>
            <w:vAlign w:val="bottom"/>
            <w:tcBorders>
              <w:right w:val="single" w:sz="8" w:color="FB4E0B"/>
            </w:tcBorders>
            <w:gridSpan w:val="2"/>
            <w:shd w:val="clear" w:color="auto" w:fill="FB4E0B"/>
          </w:tcPr>
          <w:p>
            <w:pPr>
              <w:ind w:left="1780"/>
              <w:spacing w:after="0"/>
              <w:rPr>
                <w:sz w:val="20"/>
                <w:szCs w:val="20"/>
                <w:color w:val="auto"/>
              </w:rPr>
            </w:pPr>
            <w:r>
              <w:rPr>
                <w:rFonts w:ascii="Arial" w:cs="Arial" w:eastAsia="Arial" w:hAnsi="Arial"/>
                <w:sz w:val="17"/>
                <w:szCs w:val="17"/>
                <w:b w:val="1"/>
                <w:bCs w:val="1"/>
                <w:color w:val="FFFFFF"/>
              </w:rPr>
              <w:t>Option awards</w:t>
            </w:r>
          </w:p>
        </w:tc>
        <w:tc>
          <w:tcPr>
            <w:tcW w:w="3980" w:type="dxa"/>
            <w:vAlign w:val="bottom"/>
            <w:gridSpan w:val="2"/>
            <w:shd w:val="clear" w:color="auto" w:fill="FB4E0B"/>
          </w:tcPr>
          <w:p>
            <w:pPr>
              <w:jc w:val="right"/>
              <w:ind w:right="1073"/>
              <w:spacing w:after="0"/>
              <w:rPr>
                <w:sz w:val="20"/>
                <w:szCs w:val="20"/>
                <w:color w:val="auto"/>
              </w:rPr>
            </w:pPr>
            <w:r>
              <w:rPr>
                <w:rFonts w:ascii="Arial" w:cs="Arial" w:eastAsia="Arial" w:hAnsi="Arial"/>
                <w:sz w:val="17"/>
                <w:szCs w:val="17"/>
                <w:b w:val="1"/>
                <w:bCs w:val="1"/>
                <w:color w:val="FFFFFF"/>
              </w:rPr>
              <w:t>Stock awards</w:t>
            </w:r>
          </w:p>
        </w:tc>
      </w:tr>
      <w:tr>
        <w:trPr>
          <w:trHeight w:val="65"/>
        </w:trPr>
        <w:tc>
          <w:tcPr>
            <w:tcW w:w="560" w:type="dxa"/>
            <w:vAlign w:val="bottom"/>
          </w:tcPr>
          <w:p>
            <w:pPr>
              <w:spacing w:after="0"/>
              <w:rPr>
                <w:sz w:val="5"/>
                <w:szCs w:val="5"/>
                <w:color w:val="auto"/>
              </w:rPr>
            </w:pPr>
          </w:p>
        </w:tc>
        <w:tc>
          <w:tcPr>
            <w:tcW w:w="2080" w:type="dxa"/>
            <w:vAlign w:val="bottom"/>
            <w:tcBorders>
              <w:right w:val="single" w:sz="8" w:color="FB4E0B"/>
            </w:tcBorders>
          </w:tcPr>
          <w:p>
            <w:pPr>
              <w:spacing w:after="0"/>
              <w:rPr>
                <w:sz w:val="5"/>
                <w:szCs w:val="5"/>
                <w:color w:val="auto"/>
              </w:rPr>
            </w:pPr>
          </w:p>
        </w:tc>
        <w:tc>
          <w:tcPr>
            <w:tcW w:w="2020" w:type="dxa"/>
            <w:vAlign w:val="bottom"/>
            <w:tcBorders>
              <w:right w:val="single" w:sz="8" w:color="FB4E0B"/>
            </w:tcBorders>
            <w:shd w:val="clear" w:color="auto" w:fill="FB4E0B"/>
          </w:tcPr>
          <w:p>
            <w:pPr>
              <w:spacing w:after="0"/>
              <w:rPr>
                <w:sz w:val="5"/>
                <w:szCs w:val="5"/>
                <w:color w:val="auto"/>
              </w:rPr>
            </w:pPr>
          </w:p>
        </w:tc>
        <w:tc>
          <w:tcPr>
            <w:tcW w:w="1980" w:type="dxa"/>
            <w:vAlign w:val="bottom"/>
            <w:tcBorders>
              <w:right w:val="single" w:sz="8" w:color="FB4E0B"/>
            </w:tcBorders>
            <w:shd w:val="clear" w:color="auto" w:fill="FB4E0B"/>
          </w:tcPr>
          <w:p>
            <w:pPr>
              <w:spacing w:after="0"/>
              <w:rPr>
                <w:sz w:val="5"/>
                <w:szCs w:val="5"/>
                <w:color w:val="auto"/>
              </w:rPr>
            </w:pPr>
          </w:p>
        </w:tc>
        <w:tc>
          <w:tcPr>
            <w:tcW w:w="2020" w:type="dxa"/>
            <w:vAlign w:val="bottom"/>
            <w:tcBorders>
              <w:right w:val="single" w:sz="8" w:color="FB4E0B"/>
            </w:tcBorders>
            <w:shd w:val="clear" w:color="auto" w:fill="FB4E0B"/>
          </w:tcPr>
          <w:p>
            <w:pPr>
              <w:spacing w:after="0"/>
              <w:rPr>
                <w:sz w:val="5"/>
                <w:szCs w:val="5"/>
                <w:color w:val="auto"/>
              </w:rPr>
            </w:pPr>
          </w:p>
        </w:tc>
        <w:tc>
          <w:tcPr>
            <w:tcW w:w="1960" w:type="dxa"/>
            <w:vAlign w:val="bottom"/>
            <w:shd w:val="clear" w:color="auto" w:fill="FB4E0B"/>
          </w:tcPr>
          <w:p>
            <w:pPr>
              <w:spacing w:after="0"/>
              <w:rPr>
                <w:sz w:val="5"/>
                <w:szCs w:val="5"/>
                <w:color w:val="auto"/>
              </w:rPr>
            </w:pPr>
          </w:p>
        </w:tc>
      </w:tr>
      <w:tr>
        <w:trPr>
          <w:trHeight w:val="255"/>
        </w:trPr>
        <w:tc>
          <w:tcPr>
            <w:tcW w:w="5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20" w:type="dxa"/>
            <w:vAlign w:val="bottom"/>
          </w:tcPr>
          <w:p>
            <w:pPr>
              <w:jc w:val="center"/>
              <w:ind w:left="573"/>
              <w:spacing w:after="0"/>
              <w:rPr>
                <w:sz w:val="20"/>
                <w:szCs w:val="20"/>
                <w:color w:val="auto"/>
              </w:rPr>
            </w:pPr>
            <w:r>
              <w:rPr>
                <w:rFonts w:ascii="Arial" w:cs="Arial" w:eastAsia="Arial" w:hAnsi="Arial"/>
                <w:sz w:val="17"/>
                <w:szCs w:val="17"/>
                <w:b w:val="1"/>
                <w:bCs w:val="1"/>
                <w:color w:val="FB4E0B"/>
                <w:w w:val="91"/>
              </w:rPr>
              <w:t>Number of shares</w:t>
            </w:r>
          </w:p>
        </w:tc>
        <w:tc>
          <w:tcPr>
            <w:tcW w:w="1980" w:type="dxa"/>
            <w:vAlign w:val="bottom"/>
          </w:tcPr>
          <w:p>
            <w:pPr>
              <w:jc w:val="center"/>
              <w:ind w:left="573"/>
              <w:spacing w:after="0"/>
              <w:rPr>
                <w:sz w:val="20"/>
                <w:szCs w:val="20"/>
                <w:color w:val="auto"/>
              </w:rPr>
            </w:pPr>
            <w:r>
              <w:rPr>
                <w:rFonts w:ascii="Arial" w:cs="Arial" w:eastAsia="Arial" w:hAnsi="Arial"/>
                <w:sz w:val="17"/>
                <w:szCs w:val="17"/>
                <w:b w:val="1"/>
                <w:bCs w:val="1"/>
                <w:color w:val="FB4E0B"/>
                <w:w w:val="92"/>
              </w:rPr>
              <w:t>Value realized on</w:t>
            </w:r>
          </w:p>
        </w:tc>
        <w:tc>
          <w:tcPr>
            <w:tcW w:w="2020" w:type="dxa"/>
            <w:vAlign w:val="bottom"/>
          </w:tcPr>
          <w:p>
            <w:pPr>
              <w:jc w:val="center"/>
              <w:ind w:left="573"/>
              <w:spacing w:after="0"/>
              <w:rPr>
                <w:sz w:val="20"/>
                <w:szCs w:val="20"/>
                <w:color w:val="auto"/>
              </w:rPr>
            </w:pPr>
            <w:r>
              <w:rPr>
                <w:rFonts w:ascii="Arial" w:cs="Arial" w:eastAsia="Arial" w:hAnsi="Arial"/>
                <w:sz w:val="17"/>
                <w:szCs w:val="17"/>
                <w:b w:val="1"/>
                <w:bCs w:val="1"/>
                <w:color w:val="FB4E0B"/>
                <w:w w:val="91"/>
              </w:rPr>
              <w:t>Number of shares</w:t>
            </w:r>
          </w:p>
        </w:tc>
        <w:tc>
          <w:tcPr>
            <w:tcW w:w="1960" w:type="dxa"/>
            <w:vAlign w:val="bottom"/>
          </w:tcPr>
          <w:p>
            <w:pPr>
              <w:jc w:val="center"/>
              <w:ind w:left="593"/>
              <w:spacing w:after="0"/>
              <w:rPr>
                <w:sz w:val="20"/>
                <w:szCs w:val="20"/>
                <w:color w:val="auto"/>
              </w:rPr>
            </w:pPr>
            <w:r>
              <w:rPr>
                <w:rFonts w:ascii="Arial" w:cs="Arial" w:eastAsia="Arial" w:hAnsi="Arial"/>
                <w:sz w:val="17"/>
                <w:szCs w:val="17"/>
                <w:b w:val="1"/>
                <w:bCs w:val="1"/>
                <w:color w:val="FB4E0B"/>
                <w:w w:val="92"/>
              </w:rPr>
              <w:t>Value realized on</w:t>
            </w:r>
          </w:p>
        </w:tc>
      </w:tr>
      <w:tr>
        <w:trPr>
          <w:trHeight w:val="208"/>
        </w:trPr>
        <w:tc>
          <w:tcPr>
            <w:tcW w:w="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20" w:type="dxa"/>
            <w:vAlign w:val="bottom"/>
          </w:tcPr>
          <w:p>
            <w:pPr>
              <w:jc w:val="center"/>
              <w:ind w:left="573"/>
              <w:spacing w:after="0"/>
              <w:rPr>
                <w:sz w:val="20"/>
                <w:szCs w:val="20"/>
                <w:color w:val="auto"/>
              </w:rPr>
            </w:pPr>
            <w:r>
              <w:rPr>
                <w:rFonts w:ascii="Arial" w:cs="Arial" w:eastAsia="Arial" w:hAnsi="Arial"/>
                <w:sz w:val="17"/>
                <w:szCs w:val="17"/>
                <w:b w:val="1"/>
                <w:bCs w:val="1"/>
                <w:color w:val="FB4E0B"/>
                <w:w w:val="91"/>
              </w:rPr>
              <w:t>acquired on</w:t>
            </w:r>
          </w:p>
        </w:tc>
        <w:tc>
          <w:tcPr>
            <w:tcW w:w="1980" w:type="dxa"/>
            <w:vAlign w:val="bottom"/>
          </w:tcPr>
          <w:p>
            <w:pPr>
              <w:jc w:val="center"/>
              <w:ind w:left="573"/>
              <w:spacing w:after="0"/>
              <w:rPr>
                <w:sz w:val="20"/>
                <w:szCs w:val="20"/>
                <w:color w:val="auto"/>
              </w:rPr>
            </w:pPr>
            <w:r>
              <w:rPr>
                <w:rFonts w:ascii="Arial" w:cs="Arial" w:eastAsia="Arial" w:hAnsi="Arial"/>
                <w:sz w:val="17"/>
                <w:szCs w:val="17"/>
                <w:b w:val="1"/>
                <w:bCs w:val="1"/>
                <w:color w:val="FB4E0B"/>
                <w:w w:val="88"/>
              </w:rPr>
              <w:t>exercise</w:t>
            </w:r>
          </w:p>
        </w:tc>
        <w:tc>
          <w:tcPr>
            <w:tcW w:w="2020" w:type="dxa"/>
            <w:vAlign w:val="bottom"/>
          </w:tcPr>
          <w:p>
            <w:pPr>
              <w:jc w:val="center"/>
              <w:ind w:left="573"/>
              <w:spacing w:after="0"/>
              <w:rPr>
                <w:sz w:val="20"/>
                <w:szCs w:val="20"/>
                <w:color w:val="auto"/>
              </w:rPr>
            </w:pPr>
            <w:r>
              <w:rPr>
                <w:rFonts w:ascii="Arial" w:cs="Arial" w:eastAsia="Arial" w:hAnsi="Arial"/>
                <w:sz w:val="17"/>
                <w:szCs w:val="17"/>
                <w:b w:val="1"/>
                <w:bCs w:val="1"/>
                <w:color w:val="FB4E0B"/>
                <w:w w:val="91"/>
              </w:rPr>
              <w:t>acquired on</w:t>
            </w:r>
          </w:p>
        </w:tc>
        <w:tc>
          <w:tcPr>
            <w:tcW w:w="1960" w:type="dxa"/>
            <w:vAlign w:val="bottom"/>
          </w:tcPr>
          <w:p>
            <w:pPr>
              <w:jc w:val="center"/>
              <w:ind w:left="593"/>
              <w:spacing w:after="0"/>
              <w:rPr>
                <w:sz w:val="20"/>
                <w:szCs w:val="20"/>
                <w:color w:val="auto"/>
              </w:rPr>
            </w:pPr>
            <w:r>
              <w:rPr>
                <w:rFonts w:ascii="Arial" w:cs="Arial" w:eastAsia="Arial" w:hAnsi="Arial"/>
                <w:sz w:val="17"/>
                <w:szCs w:val="17"/>
                <w:b w:val="1"/>
                <w:bCs w:val="1"/>
                <w:color w:val="FB4E0B"/>
                <w:w w:val="87"/>
              </w:rPr>
              <w:t>vesting</w:t>
            </w:r>
          </w:p>
        </w:tc>
      </w:tr>
      <w:tr>
        <w:trPr>
          <w:trHeight w:val="240"/>
        </w:trPr>
        <w:tc>
          <w:tcPr>
            <w:tcW w:w="560" w:type="dxa"/>
            <w:vAlign w:val="bottom"/>
          </w:tcPr>
          <w:p>
            <w:pPr>
              <w:ind w:left="40"/>
              <w:spacing w:after="0"/>
              <w:rPr>
                <w:sz w:val="20"/>
                <w:szCs w:val="20"/>
                <w:color w:val="auto"/>
              </w:rPr>
            </w:pPr>
            <w:r>
              <w:rPr>
                <w:rFonts w:ascii="Arial" w:cs="Arial" w:eastAsia="Arial" w:hAnsi="Arial"/>
                <w:sz w:val="17"/>
                <w:szCs w:val="17"/>
                <w:b w:val="1"/>
                <w:bCs w:val="1"/>
                <w:color w:val="FB4E0B"/>
              </w:rPr>
              <w:t>Name</w:t>
            </w:r>
          </w:p>
        </w:tc>
        <w:tc>
          <w:tcPr>
            <w:tcW w:w="2080" w:type="dxa"/>
            <w:vAlign w:val="bottom"/>
          </w:tcPr>
          <w:p>
            <w:pPr>
              <w:spacing w:after="0"/>
              <w:rPr>
                <w:sz w:val="20"/>
                <w:szCs w:val="20"/>
                <w:color w:val="auto"/>
              </w:rPr>
            </w:pPr>
          </w:p>
        </w:tc>
        <w:tc>
          <w:tcPr>
            <w:tcW w:w="2020" w:type="dxa"/>
            <w:vAlign w:val="bottom"/>
          </w:tcPr>
          <w:p>
            <w:pPr>
              <w:jc w:val="center"/>
              <w:ind w:left="593"/>
              <w:spacing w:after="0"/>
              <w:rPr>
                <w:sz w:val="20"/>
                <w:szCs w:val="20"/>
                <w:color w:val="auto"/>
              </w:rPr>
            </w:pPr>
            <w:r>
              <w:rPr>
                <w:rFonts w:ascii="Arial" w:cs="Arial" w:eastAsia="Arial" w:hAnsi="Arial"/>
                <w:sz w:val="17"/>
                <w:szCs w:val="17"/>
                <w:b w:val="1"/>
                <w:bCs w:val="1"/>
                <w:color w:val="FB4E0B"/>
                <w:w w:val="85"/>
              </w:rPr>
              <w:t>exercise</w:t>
            </w:r>
          </w:p>
        </w:tc>
        <w:tc>
          <w:tcPr>
            <w:tcW w:w="1980" w:type="dxa"/>
            <w:vAlign w:val="bottom"/>
          </w:tcPr>
          <w:p>
            <w:pPr>
              <w:jc w:val="center"/>
              <w:ind w:left="573"/>
              <w:spacing w:after="0"/>
              <w:rPr>
                <w:sz w:val="20"/>
                <w:szCs w:val="20"/>
                <w:color w:val="auto"/>
              </w:rPr>
            </w:pPr>
            <w:r>
              <w:rPr>
                <w:rFonts w:ascii="Arial" w:cs="Arial" w:eastAsia="Arial" w:hAnsi="Arial"/>
                <w:sz w:val="17"/>
                <w:szCs w:val="17"/>
                <w:b w:val="1"/>
                <w:bCs w:val="1"/>
                <w:color w:val="FB4E0B"/>
                <w:w w:val="96"/>
              </w:rPr>
              <w:t>($)</w:t>
            </w:r>
          </w:p>
        </w:tc>
        <w:tc>
          <w:tcPr>
            <w:tcW w:w="2020" w:type="dxa"/>
            <w:vAlign w:val="bottom"/>
          </w:tcPr>
          <w:p>
            <w:pPr>
              <w:jc w:val="center"/>
              <w:ind w:left="573"/>
              <w:spacing w:after="0"/>
              <w:rPr>
                <w:sz w:val="20"/>
                <w:szCs w:val="20"/>
                <w:color w:val="auto"/>
              </w:rPr>
            </w:pPr>
            <w:r>
              <w:rPr>
                <w:rFonts w:ascii="Arial" w:cs="Arial" w:eastAsia="Arial" w:hAnsi="Arial"/>
                <w:sz w:val="17"/>
                <w:szCs w:val="17"/>
                <w:b w:val="1"/>
                <w:bCs w:val="1"/>
                <w:color w:val="FB4E0B"/>
                <w:w w:val="87"/>
              </w:rPr>
              <w:t>vesting</w:t>
            </w:r>
          </w:p>
        </w:tc>
        <w:tc>
          <w:tcPr>
            <w:tcW w:w="1960" w:type="dxa"/>
            <w:vAlign w:val="bottom"/>
          </w:tcPr>
          <w:p>
            <w:pPr>
              <w:jc w:val="center"/>
              <w:ind w:left="593"/>
              <w:spacing w:after="0"/>
              <w:rPr>
                <w:sz w:val="20"/>
                <w:szCs w:val="20"/>
                <w:color w:val="auto"/>
              </w:rPr>
            </w:pPr>
            <w:r>
              <w:rPr>
                <w:rFonts w:ascii="Arial" w:cs="Arial" w:eastAsia="Arial" w:hAnsi="Arial"/>
                <w:sz w:val="17"/>
                <w:szCs w:val="17"/>
                <w:b w:val="1"/>
                <w:bCs w:val="1"/>
                <w:color w:val="FB4E0B"/>
                <w:w w:val="96"/>
              </w:rPr>
              <w:t>($)</w:t>
            </w:r>
          </w:p>
        </w:tc>
      </w:tr>
      <w:tr>
        <w:trPr>
          <w:trHeight w:val="71"/>
        </w:trPr>
        <w:tc>
          <w:tcPr>
            <w:tcW w:w="2640" w:type="dxa"/>
            <w:vAlign w:val="bottom"/>
            <w:tcBorders>
              <w:bottom w:val="single" w:sz="8" w:color="FB4E0B"/>
            </w:tcBorders>
            <w:gridSpan w:val="2"/>
          </w:tcPr>
          <w:p>
            <w:pPr>
              <w:spacing w:after="0"/>
              <w:rPr>
                <w:sz w:val="6"/>
                <w:szCs w:val="6"/>
                <w:color w:val="auto"/>
              </w:rPr>
            </w:pPr>
          </w:p>
        </w:tc>
        <w:tc>
          <w:tcPr>
            <w:tcW w:w="2020" w:type="dxa"/>
            <w:vAlign w:val="bottom"/>
            <w:tcBorders>
              <w:bottom w:val="single" w:sz="8" w:color="FB4E0B"/>
            </w:tcBorders>
          </w:tcPr>
          <w:p>
            <w:pPr>
              <w:spacing w:after="0"/>
              <w:rPr>
                <w:sz w:val="6"/>
                <w:szCs w:val="6"/>
                <w:color w:val="auto"/>
              </w:rPr>
            </w:pPr>
          </w:p>
        </w:tc>
        <w:tc>
          <w:tcPr>
            <w:tcW w:w="1980" w:type="dxa"/>
            <w:vAlign w:val="bottom"/>
            <w:tcBorders>
              <w:bottom w:val="single" w:sz="8" w:color="FB4E0B"/>
            </w:tcBorders>
          </w:tcPr>
          <w:p>
            <w:pPr>
              <w:spacing w:after="0"/>
              <w:rPr>
                <w:sz w:val="6"/>
                <w:szCs w:val="6"/>
                <w:color w:val="auto"/>
              </w:rPr>
            </w:pPr>
          </w:p>
        </w:tc>
        <w:tc>
          <w:tcPr>
            <w:tcW w:w="2020" w:type="dxa"/>
            <w:vAlign w:val="bottom"/>
            <w:tcBorders>
              <w:bottom w:val="single" w:sz="8" w:color="FB4E0B"/>
            </w:tcBorders>
          </w:tcPr>
          <w:p>
            <w:pPr>
              <w:spacing w:after="0"/>
              <w:rPr>
                <w:sz w:val="6"/>
                <w:szCs w:val="6"/>
                <w:color w:val="auto"/>
              </w:rPr>
            </w:pPr>
          </w:p>
        </w:tc>
        <w:tc>
          <w:tcPr>
            <w:tcW w:w="1960" w:type="dxa"/>
            <w:vAlign w:val="bottom"/>
            <w:tcBorders>
              <w:bottom w:val="single" w:sz="8" w:color="FB4E0B"/>
            </w:tcBorders>
          </w:tcPr>
          <w:p>
            <w:pPr>
              <w:spacing w:after="0"/>
              <w:rPr>
                <w:sz w:val="6"/>
                <w:szCs w:val="6"/>
                <w:color w:val="auto"/>
              </w:rPr>
            </w:pPr>
          </w:p>
        </w:tc>
      </w:tr>
      <w:tr>
        <w:trPr>
          <w:trHeight w:val="260"/>
        </w:trPr>
        <w:tc>
          <w:tcPr>
            <w:tcW w:w="264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Rohit Kapoor</w:t>
            </w:r>
          </w:p>
        </w:tc>
        <w:tc>
          <w:tcPr>
            <w:tcW w:w="2020" w:type="dxa"/>
            <w:vAlign w:val="bottom"/>
            <w:tcBorders>
              <w:right w:val="single" w:sz="8" w:color="auto"/>
            </w:tcBorders>
          </w:tcPr>
          <w:p>
            <w:pPr>
              <w:jc w:val="center"/>
              <w:ind w:left="593"/>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3"/>
              </w:rPr>
              <w:t>—</w:t>
            </w:r>
          </w:p>
        </w:tc>
        <w:tc>
          <w:tcPr>
            <w:tcW w:w="202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2"/>
              </w:rPr>
              <w:t>93,449</w:t>
            </w:r>
          </w:p>
        </w:tc>
        <w:tc>
          <w:tcPr>
            <w:tcW w:w="1960" w:type="dxa"/>
            <w:vAlign w:val="bottom"/>
          </w:tcPr>
          <w:p>
            <w:pPr>
              <w:jc w:val="right"/>
              <w:ind w:right="173"/>
              <w:spacing w:after="0"/>
              <w:rPr>
                <w:sz w:val="20"/>
                <w:szCs w:val="20"/>
                <w:color w:val="auto"/>
              </w:rPr>
            </w:pPr>
            <w:r>
              <w:rPr>
                <w:rFonts w:ascii="Arial" w:cs="Arial" w:eastAsia="Arial" w:hAnsi="Arial"/>
                <w:sz w:val="17"/>
                <w:szCs w:val="17"/>
                <w:color w:val="auto"/>
              </w:rPr>
              <w:t>14,288,566</w:t>
            </w:r>
          </w:p>
        </w:tc>
      </w:tr>
      <w:tr>
        <w:trPr>
          <w:trHeight w:val="65"/>
        </w:trPr>
        <w:tc>
          <w:tcPr>
            <w:tcW w:w="2640" w:type="dxa"/>
            <w:vAlign w:val="bottom"/>
            <w:tcBorders>
              <w:bottom w:val="single" w:sz="8" w:color="auto"/>
              <w:right w:val="single" w:sz="8" w:color="auto"/>
            </w:tcBorders>
            <w:gridSpan w:val="2"/>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53"/>
        </w:trPr>
        <w:tc>
          <w:tcPr>
            <w:tcW w:w="264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Maurizio Nicolelli</w:t>
            </w:r>
          </w:p>
        </w:tc>
        <w:tc>
          <w:tcPr>
            <w:tcW w:w="2020" w:type="dxa"/>
            <w:vAlign w:val="bottom"/>
            <w:tcBorders>
              <w:right w:val="single" w:sz="8" w:color="auto"/>
            </w:tcBorders>
          </w:tcPr>
          <w:p>
            <w:pPr>
              <w:jc w:val="center"/>
              <w:ind w:left="593"/>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3"/>
              </w:rPr>
              <w:t>—</w:t>
            </w:r>
          </w:p>
        </w:tc>
        <w:tc>
          <w:tcPr>
            <w:tcW w:w="202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2"/>
              </w:rPr>
              <w:t>10,843</w:t>
            </w:r>
          </w:p>
        </w:tc>
        <w:tc>
          <w:tcPr>
            <w:tcW w:w="1960" w:type="dxa"/>
            <w:vAlign w:val="bottom"/>
          </w:tcPr>
          <w:p>
            <w:pPr>
              <w:jc w:val="right"/>
              <w:ind w:right="173"/>
              <w:spacing w:after="0"/>
              <w:rPr>
                <w:sz w:val="20"/>
                <w:szCs w:val="20"/>
                <w:color w:val="auto"/>
              </w:rPr>
            </w:pPr>
            <w:r>
              <w:rPr>
                <w:rFonts w:ascii="Arial" w:cs="Arial" w:eastAsia="Arial" w:hAnsi="Arial"/>
                <w:sz w:val="17"/>
                <w:szCs w:val="17"/>
                <w:color w:val="auto"/>
              </w:rPr>
              <w:t>1,624,495</w:t>
            </w:r>
          </w:p>
        </w:tc>
      </w:tr>
      <w:tr>
        <w:trPr>
          <w:trHeight w:val="65"/>
        </w:trPr>
        <w:tc>
          <w:tcPr>
            <w:tcW w:w="2640" w:type="dxa"/>
            <w:vAlign w:val="bottom"/>
            <w:tcBorders>
              <w:bottom w:val="single" w:sz="8" w:color="auto"/>
              <w:right w:val="single" w:sz="8" w:color="auto"/>
            </w:tcBorders>
            <w:gridSpan w:val="2"/>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53"/>
        </w:trPr>
        <w:tc>
          <w:tcPr>
            <w:tcW w:w="264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Vikas Bhalla</w:t>
            </w:r>
          </w:p>
        </w:tc>
        <w:tc>
          <w:tcPr>
            <w:tcW w:w="2020" w:type="dxa"/>
            <w:vAlign w:val="bottom"/>
            <w:tcBorders>
              <w:right w:val="single" w:sz="8" w:color="auto"/>
            </w:tcBorders>
          </w:tcPr>
          <w:p>
            <w:pPr>
              <w:jc w:val="center"/>
              <w:ind w:left="593"/>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3"/>
              </w:rPr>
              <w:t>—</w:t>
            </w:r>
          </w:p>
        </w:tc>
        <w:tc>
          <w:tcPr>
            <w:tcW w:w="202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2"/>
              </w:rPr>
              <w:t>19,731</w:t>
            </w:r>
          </w:p>
        </w:tc>
        <w:tc>
          <w:tcPr>
            <w:tcW w:w="1960" w:type="dxa"/>
            <w:vAlign w:val="bottom"/>
          </w:tcPr>
          <w:p>
            <w:pPr>
              <w:jc w:val="right"/>
              <w:ind w:right="173"/>
              <w:spacing w:after="0"/>
              <w:rPr>
                <w:sz w:val="20"/>
                <w:szCs w:val="20"/>
                <w:color w:val="auto"/>
              </w:rPr>
            </w:pPr>
            <w:r>
              <w:rPr>
                <w:rFonts w:ascii="Arial" w:cs="Arial" w:eastAsia="Arial" w:hAnsi="Arial"/>
                <w:sz w:val="17"/>
                <w:szCs w:val="17"/>
                <w:color w:val="auto"/>
              </w:rPr>
              <w:t>2,957,319</w:t>
            </w:r>
          </w:p>
        </w:tc>
      </w:tr>
      <w:tr>
        <w:trPr>
          <w:trHeight w:val="65"/>
        </w:trPr>
        <w:tc>
          <w:tcPr>
            <w:tcW w:w="2640" w:type="dxa"/>
            <w:vAlign w:val="bottom"/>
            <w:tcBorders>
              <w:bottom w:val="single" w:sz="8" w:color="auto"/>
              <w:right w:val="single" w:sz="8" w:color="auto"/>
            </w:tcBorders>
            <w:gridSpan w:val="2"/>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53"/>
        </w:trPr>
        <w:tc>
          <w:tcPr>
            <w:tcW w:w="264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Vivek Jetley</w:t>
            </w:r>
          </w:p>
        </w:tc>
        <w:tc>
          <w:tcPr>
            <w:tcW w:w="2020" w:type="dxa"/>
            <w:vAlign w:val="bottom"/>
            <w:tcBorders>
              <w:right w:val="single" w:sz="8" w:color="auto"/>
            </w:tcBorders>
          </w:tcPr>
          <w:p>
            <w:pPr>
              <w:jc w:val="center"/>
              <w:ind w:left="593"/>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3"/>
              </w:rPr>
              <w:t>—</w:t>
            </w:r>
          </w:p>
        </w:tc>
        <w:tc>
          <w:tcPr>
            <w:tcW w:w="202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2"/>
              </w:rPr>
              <w:t>15,005</w:t>
            </w:r>
          </w:p>
        </w:tc>
        <w:tc>
          <w:tcPr>
            <w:tcW w:w="1960" w:type="dxa"/>
            <w:vAlign w:val="bottom"/>
          </w:tcPr>
          <w:p>
            <w:pPr>
              <w:jc w:val="right"/>
              <w:ind w:right="173"/>
              <w:spacing w:after="0"/>
              <w:rPr>
                <w:sz w:val="20"/>
                <w:szCs w:val="20"/>
                <w:color w:val="auto"/>
              </w:rPr>
            </w:pPr>
            <w:r>
              <w:rPr>
                <w:rFonts w:ascii="Arial" w:cs="Arial" w:eastAsia="Arial" w:hAnsi="Arial"/>
                <w:sz w:val="17"/>
                <w:szCs w:val="17"/>
                <w:color w:val="auto"/>
              </w:rPr>
              <w:t>2,314,952</w:t>
            </w:r>
          </w:p>
        </w:tc>
      </w:tr>
      <w:tr>
        <w:trPr>
          <w:trHeight w:val="65"/>
        </w:trPr>
        <w:tc>
          <w:tcPr>
            <w:tcW w:w="2640" w:type="dxa"/>
            <w:vAlign w:val="bottom"/>
            <w:tcBorders>
              <w:bottom w:val="single" w:sz="8" w:color="auto"/>
              <w:right w:val="single" w:sz="8" w:color="auto"/>
            </w:tcBorders>
            <w:gridSpan w:val="2"/>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53"/>
        </w:trPr>
        <w:tc>
          <w:tcPr>
            <w:tcW w:w="264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Ankor Rai</w:t>
            </w:r>
          </w:p>
        </w:tc>
        <w:tc>
          <w:tcPr>
            <w:tcW w:w="2020" w:type="dxa"/>
            <w:vAlign w:val="bottom"/>
            <w:tcBorders>
              <w:right w:val="single" w:sz="8" w:color="auto"/>
            </w:tcBorders>
          </w:tcPr>
          <w:p>
            <w:pPr>
              <w:jc w:val="center"/>
              <w:ind w:left="593"/>
              <w:spacing w:after="0"/>
              <w:rPr>
                <w:sz w:val="20"/>
                <w:szCs w:val="20"/>
                <w:color w:val="auto"/>
              </w:rPr>
            </w:pPr>
            <w:r>
              <w:rPr>
                <w:rFonts w:ascii="Arial" w:cs="Arial" w:eastAsia="Arial" w:hAnsi="Arial"/>
                <w:sz w:val="17"/>
                <w:szCs w:val="17"/>
                <w:color w:val="auto"/>
              </w:rPr>
              <w:t>—</w:t>
            </w:r>
          </w:p>
        </w:tc>
        <w:tc>
          <w:tcPr>
            <w:tcW w:w="198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3"/>
              </w:rPr>
              <w:t>—</w:t>
            </w:r>
          </w:p>
        </w:tc>
        <w:tc>
          <w:tcPr>
            <w:tcW w:w="2020" w:type="dxa"/>
            <w:vAlign w:val="bottom"/>
            <w:tcBorders>
              <w:right w:val="single" w:sz="8" w:color="auto"/>
            </w:tcBorders>
          </w:tcPr>
          <w:p>
            <w:pPr>
              <w:jc w:val="center"/>
              <w:ind w:left="573"/>
              <w:spacing w:after="0"/>
              <w:rPr>
                <w:sz w:val="20"/>
                <w:szCs w:val="20"/>
                <w:color w:val="auto"/>
              </w:rPr>
            </w:pPr>
            <w:r>
              <w:rPr>
                <w:rFonts w:ascii="Arial" w:cs="Arial" w:eastAsia="Arial" w:hAnsi="Arial"/>
                <w:sz w:val="17"/>
                <w:szCs w:val="17"/>
                <w:color w:val="auto"/>
                <w:w w:val="92"/>
              </w:rPr>
              <w:t>12,615</w:t>
            </w:r>
          </w:p>
        </w:tc>
        <w:tc>
          <w:tcPr>
            <w:tcW w:w="1960" w:type="dxa"/>
            <w:vAlign w:val="bottom"/>
          </w:tcPr>
          <w:p>
            <w:pPr>
              <w:jc w:val="right"/>
              <w:ind w:right="173"/>
              <w:spacing w:after="0"/>
              <w:rPr>
                <w:sz w:val="20"/>
                <w:szCs w:val="20"/>
                <w:color w:val="auto"/>
              </w:rPr>
            </w:pPr>
            <w:r>
              <w:rPr>
                <w:rFonts w:ascii="Arial" w:cs="Arial" w:eastAsia="Arial" w:hAnsi="Arial"/>
                <w:sz w:val="17"/>
                <w:szCs w:val="17"/>
                <w:color w:val="auto"/>
              </w:rPr>
              <w:t>1,955,042</w:t>
            </w:r>
          </w:p>
        </w:tc>
      </w:tr>
      <w:tr>
        <w:trPr>
          <w:trHeight w:val="71"/>
        </w:trPr>
        <w:tc>
          <w:tcPr>
            <w:tcW w:w="560" w:type="dxa"/>
            <w:vAlign w:val="bottom"/>
            <w:tcBorders>
              <w:bottom w:val="single" w:sz="8" w:color="FB4E0B"/>
            </w:tcBorders>
          </w:tcPr>
          <w:p>
            <w:pPr>
              <w:spacing w:after="0"/>
              <w:rPr>
                <w:sz w:val="6"/>
                <w:szCs w:val="6"/>
                <w:color w:val="auto"/>
              </w:rPr>
            </w:pPr>
          </w:p>
        </w:tc>
        <w:tc>
          <w:tcPr>
            <w:tcW w:w="2080" w:type="dxa"/>
            <w:vAlign w:val="bottom"/>
            <w:tcBorders>
              <w:bottom w:val="single" w:sz="8" w:color="FB4E0B"/>
              <w:right w:val="single" w:sz="8" w:color="auto"/>
            </w:tcBorders>
          </w:tcPr>
          <w:p>
            <w:pPr>
              <w:spacing w:after="0"/>
              <w:rPr>
                <w:sz w:val="6"/>
                <w:szCs w:val="6"/>
                <w:color w:val="auto"/>
              </w:rPr>
            </w:pPr>
          </w:p>
        </w:tc>
        <w:tc>
          <w:tcPr>
            <w:tcW w:w="2020" w:type="dxa"/>
            <w:vAlign w:val="bottom"/>
            <w:tcBorders>
              <w:bottom w:val="single" w:sz="8" w:color="FB4E0B"/>
              <w:right w:val="single" w:sz="8" w:color="auto"/>
            </w:tcBorders>
          </w:tcPr>
          <w:p>
            <w:pPr>
              <w:spacing w:after="0"/>
              <w:rPr>
                <w:sz w:val="6"/>
                <w:szCs w:val="6"/>
                <w:color w:val="auto"/>
              </w:rPr>
            </w:pPr>
          </w:p>
        </w:tc>
        <w:tc>
          <w:tcPr>
            <w:tcW w:w="1980" w:type="dxa"/>
            <w:vAlign w:val="bottom"/>
            <w:tcBorders>
              <w:bottom w:val="single" w:sz="8" w:color="FB4E0B"/>
              <w:right w:val="single" w:sz="8" w:color="auto"/>
            </w:tcBorders>
          </w:tcPr>
          <w:p>
            <w:pPr>
              <w:spacing w:after="0"/>
              <w:rPr>
                <w:sz w:val="6"/>
                <w:szCs w:val="6"/>
                <w:color w:val="auto"/>
              </w:rPr>
            </w:pPr>
          </w:p>
        </w:tc>
        <w:tc>
          <w:tcPr>
            <w:tcW w:w="2020" w:type="dxa"/>
            <w:vAlign w:val="bottom"/>
            <w:tcBorders>
              <w:bottom w:val="single" w:sz="8" w:color="FB4E0B"/>
              <w:right w:val="single" w:sz="8" w:color="auto"/>
            </w:tcBorders>
          </w:tcPr>
          <w:p>
            <w:pPr>
              <w:spacing w:after="0"/>
              <w:rPr>
                <w:sz w:val="6"/>
                <w:szCs w:val="6"/>
                <w:color w:val="auto"/>
              </w:rPr>
            </w:pPr>
          </w:p>
        </w:tc>
        <w:tc>
          <w:tcPr>
            <w:tcW w:w="1960" w:type="dxa"/>
            <w:vAlign w:val="bottom"/>
            <w:tcBorders>
              <w:bottom w:val="single" w:sz="8" w:color="FB4E0B"/>
            </w:tcBorders>
          </w:tcPr>
          <w:p>
            <w:pPr>
              <w:spacing w:after="0"/>
              <w:rPr>
                <w:sz w:val="6"/>
                <w:szCs w:val="6"/>
                <w:color w:val="auto"/>
              </w:rPr>
            </w:pPr>
          </w:p>
        </w:tc>
      </w:tr>
      <w:tr>
        <w:trPr>
          <w:trHeight w:val="472"/>
        </w:trPr>
        <w:tc>
          <w:tcPr>
            <w:tcW w:w="560" w:type="dxa"/>
            <w:vAlign w:val="bottom"/>
          </w:tcPr>
          <w:p>
            <w:pPr>
              <w:ind w:left="100"/>
              <w:spacing w:after="0"/>
              <w:rPr>
                <w:sz w:val="20"/>
                <w:szCs w:val="20"/>
                <w:color w:val="auto"/>
              </w:rPr>
            </w:pPr>
            <w:r>
              <w:rPr>
                <w:rFonts w:ascii="Arial" w:cs="Arial" w:eastAsia="Arial" w:hAnsi="Arial"/>
                <w:sz w:val="17"/>
                <w:szCs w:val="17"/>
                <w:b w:val="1"/>
                <w:bCs w:val="1"/>
                <w:color w:val="auto"/>
              </w:rPr>
              <w:t>94</w:t>
            </w:r>
          </w:p>
        </w:tc>
        <w:tc>
          <w:tcPr>
            <w:tcW w:w="2080" w:type="dxa"/>
            <w:vAlign w:val="bottom"/>
          </w:tcPr>
          <w:p>
            <w:pPr>
              <w:ind w:left="80"/>
              <w:spacing w:after="0"/>
              <w:rPr>
                <w:sz w:val="20"/>
                <w:szCs w:val="20"/>
                <w:color w:val="auto"/>
              </w:rPr>
            </w:pPr>
            <w:r>
              <w:rPr>
                <w:rFonts w:ascii="Arial" w:cs="Arial" w:eastAsia="Arial" w:hAnsi="Arial"/>
                <w:sz w:val="28"/>
                <w:szCs w:val="28"/>
                <w:b w:val="1"/>
                <w:bCs w:val="1"/>
                <w:color w:val="FB4E0B"/>
              </w:rPr>
              <w:t xml:space="preserve">/  </w:t>
            </w:r>
            <w:r>
              <w:rPr>
                <w:rFonts w:ascii="Arial" w:cs="Arial" w:eastAsia="Arial" w:hAnsi="Arial"/>
                <w:sz w:val="13"/>
                <w:szCs w:val="13"/>
                <w:color w:val="000000"/>
              </w:rPr>
              <w:t>EXL 2023 Proxy Statement</w:t>
            </w:r>
          </w:p>
        </w:tc>
        <w:tc>
          <w:tcPr>
            <w:tcW w:w="2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Pension benefits for fiscal year 2022</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discloses the present value of accumulated pension benefits payable to each of the named executive officers.</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jc w:val="center"/>
              <w:ind w:left="153"/>
              <w:spacing w:after="0"/>
              <w:rPr>
                <w:sz w:val="20"/>
                <w:szCs w:val="20"/>
                <w:color w:val="auto"/>
              </w:rPr>
            </w:pPr>
            <w:r>
              <w:rPr>
                <w:rFonts w:ascii="Arial" w:cs="Arial" w:eastAsia="Arial" w:hAnsi="Arial"/>
                <w:sz w:val="17"/>
                <w:szCs w:val="17"/>
                <w:b w:val="1"/>
                <w:bCs w:val="1"/>
                <w:color w:val="FB4E0B"/>
                <w:w w:val="96"/>
              </w:rPr>
              <w:t>Number of</w:t>
            </w:r>
          </w:p>
        </w:tc>
        <w:tc>
          <w:tcPr>
            <w:tcW w:w="1500" w:type="dxa"/>
            <w:vAlign w:val="bottom"/>
          </w:tcPr>
          <w:p>
            <w:pPr>
              <w:jc w:val="center"/>
              <w:ind w:left="213"/>
              <w:spacing w:after="0"/>
              <w:rPr>
                <w:sz w:val="20"/>
                <w:szCs w:val="20"/>
                <w:color w:val="auto"/>
              </w:rPr>
            </w:pPr>
            <w:r>
              <w:rPr>
                <w:rFonts w:ascii="Arial" w:cs="Arial" w:eastAsia="Arial" w:hAnsi="Arial"/>
                <w:sz w:val="17"/>
                <w:szCs w:val="17"/>
                <w:b w:val="1"/>
                <w:bCs w:val="1"/>
                <w:color w:val="FB4E0B"/>
                <w:w w:val="90"/>
              </w:rPr>
              <w:t>Present value</w:t>
            </w:r>
          </w:p>
        </w:tc>
        <w:tc>
          <w:tcPr>
            <w:tcW w:w="1620" w:type="dxa"/>
            <w:vAlign w:val="bottom"/>
          </w:tcPr>
          <w:p>
            <w:pPr>
              <w:jc w:val="center"/>
              <w:ind w:left="233"/>
              <w:spacing w:after="0"/>
              <w:rPr>
                <w:sz w:val="20"/>
                <w:szCs w:val="20"/>
                <w:color w:val="auto"/>
              </w:rPr>
            </w:pPr>
            <w:r>
              <w:rPr>
                <w:rFonts w:ascii="Arial" w:cs="Arial" w:eastAsia="Arial" w:hAnsi="Arial"/>
                <w:sz w:val="17"/>
                <w:szCs w:val="17"/>
                <w:b w:val="1"/>
                <w:bCs w:val="1"/>
                <w:color w:val="FB4E0B"/>
                <w:w w:val="91"/>
              </w:rPr>
              <w:t>Payments during</w:t>
            </w:r>
          </w:p>
        </w:tc>
      </w:tr>
      <w:tr>
        <w:trPr>
          <w:trHeight w:val="208"/>
        </w:trPr>
        <w:tc>
          <w:tcPr>
            <w:tcW w:w="1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jc w:val="center"/>
              <w:ind w:left="153"/>
              <w:spacing w:after="0"/>
              <w:rPr>
                <w:sz w:val="20"/>
                <w:szCs w:val="20"/>
                <w:color w:val="auto"/>
              </w:rPr>
            </w:pPr>
            <w:r>
              <w:rPr>
                <w:rFonts w:ascii="Arial" w:cs="Arial" w:eastAsia="Arial" w:hAnsi="Arial"/>
                <w:sz w:val="17"/>
                <w:szCs w:val="17"/>
                <w:b w:val="1"/>
                <w:bCs w:val="1"/>
                <w:color w:val="FB4E0B"/>
                <w:w w:val="91"/>
              </w:rPr>
              <w:t>years credited</w:t>
            </w:r>
          </w:p>
        </w:tc>
        <w:tc>
          <w:tcPr>
            <w:tcW w:w="1500" w:type="dxa"/>
            <w:vAlign w:val="bottom"/>
          </w:tcPr>
          <w:p>
            <w:pPr>
              <w:jc w:val="center"/>
              <w:ind w:left="233"/>
              <w:spacing w:after="0"/>
              <w:rPr>
                <w:sz w:val="20"/>
                <w:szCs w:val="20"/>
                <w:color w:val="auto"/>
              </w:rPr>
            </w:pPr>
            <w:r>
              <w:rPr>
                <w:rFonts w:ascii="Arial" w:cs="Arial" w:eastAsia="Arial" w:hAnsi="Arial"/>
                <w:sz w:val="17"/>
                <w:szCs w:val="17"/>
                <w:b w:val="1"/>
                <w:bCs w:val="1"/>
                <w:color w:val="FB4E0B"/>
                <w:w w:val="91"/>
              </w:rPr>
              <w:t>of accumulated</w:t>
            </w:r>
          </w:p>
        </w:tc>
        <w:tc>
          <w:tcPr>
            <w:tcW w:w="1620" w:type="dxa"/>
            <w:vAlign w:val="bottom"/>
          </w:tcPr>
          <w:p>
            <w:pPr>
              <w:jc w:val="center"/>
              <w:ind w:left="233"/>
              <w:spacing w:after="0"/>
              <w:rPr>
                <w:sz w:val="20"/>
                <w:szCs w:val="20"/>
                <w:color w:val="auto"/>
              </w:rPr>
            </w:pPr>
            <w:r>
              <w:rPr>
                <w:rFonts w:ascii="Arial" w:cs="Arial" w:eastAsia="Arial" w:hAnsi="Arial"/>
                <w:sz w:val="17"/>
                <w:szCs w:val="17"/>
                <w:b w:val="1"/>
                <w:bCs w:val="1"/>
                <w:color w:val="FB4E0B"/>
                <w:w w:val="90"/>
              </w:rPr>
              <w:t>last fiscal year</w:t>
            </w:r>
          </w:p>
        </w:tc>
      </w:tr>
      <w:tr>
        <w:trPr>
          <w:trHeight w:val="337"/>
        </w:trPr>
        <w:tc>
          <w:tcPr>
            <w:tcW w:w="1560" w:type="dxa"/>
            <w:vAlign w:val="bottom"/>
            <w:tcBorders>
              <w:bottom w:val="single" w:sz="8" w:color="FB4E0B"/>
            </w:tcBorders>
          </w:tcPr>
          <w:p>
            <w:pPr>
              <w:ind w:left="80"/>
              <w:spacing w:after="0"/>
              <w:rPr>
                <w:sz w:val="20"/>
                <w:szCs w:val="20"/>
                <w:color w:val="auto"/>
              </w:rPr>
            </w:pPr>
            <w:r>
              <w:rPr>
                <w:rFonts w:ascii="Arial" w:cs="Arial" w:eastAsia="Arial" w:hAnsi="Arial"/>
                <w:sz w:val="17"/>
                <w:szCs w:val="17"/>
                <w:b w:val="1"/>
                <w:bCs w:val="1"/>
                <w:color w:val="FB4E0B"/>
              </w:rPr>
              <w:t>Name</w:t>
            </w:r>
          </w:p>
        </w:tc>
        <w:tc>
          <w:tcPr>
            <w:tcW w:w="4600" w:type="dxa"/>
            <w:vAlign w:val="bottom"/>
            <w:tcBorders>
              <w:bottom w:val="single" w:sz="8" w:color="FB4E0B"/>
            </w:tcBorders>
          </w:tcPr>
          <w:p>
            <w:pPr>
              <w:ind w:left="660"/>
              <w:spacing w:after="0"/>
              <w:rPr>
                <w:sz w:val="20"/>
                <w:szCs w:val="20"/>
                <w:color w:val="auto"/>
              </w:rPr>
            </w:pPr>
            <w:r>
              <w:rPr>
                <w:rFonts w:ascii="Arial" w:cs="Arial" w:eastAsia="Arial" w:hAnsi="Arial"/>
                <w:sz w:val="17"/>
                <w:szCs w:val="17"/>
                <w:b w:val="1"/>
                <w:bCs w:val="1"/>
                <w:color w:val="FB4E0B"/>
              </w:rPr>
              <w:t>Plan name</w:t>
            </w:r>
          </w:p>
        </w:tc>
        <w:tc>
          <w:tcPr>
            <w:tcW w:w="1340" w:type="dxa"/>
            <w:vAlign w:val="bottom"/>
            <w:tcBorders>
              <w:bottom w:val="single" w:sz="8" w:color="FB4E0B"/>
            </w:tcBorders>
          </w:tcPr>
          <w:p>
            <w:pPr>
              <w:jc w:val="center"/>
              <w:ind w:left="153"/>
              <w:spacing w:after="0"/>
              <w:rPr>
                <w:sz w:val="20"/>
                <w:szCs w:val="20"/>
                <w:color w:val="auto"/>
              </w:rPr>
            </w:pPr>
            <w:r>
              <w:rPr>
                <w:rFonts w:ascii="Arial" w:cs="Arial" w:eastAsia="Arial" w:hAnsi="Arial"/>
                <w:sz w:val="17"/>
                <w:szCs w:val="17"/>
                <w:b w:val="1"/>
                <w:bCs w:val="1"/>
                <w:color w:val="FB4E0B"/>
                <w:w w:val="85"/>
              </w:rPr>
              <w:t>service (#)</w:t>
            </w:r>
            <w:r>
              <w:rPr>
                <w:rFonts w:ascii="Arial" w:cs="Arial" w:eastAsia="Arial" w:hAnsi="Arial"/>
                <w:sz w:val="26"/>
                <w:szCs w:val="26"/>
                <w:b w:val="1"/>
                <w:bCs w:val="1"/>
                <w:color w:val="FB4E0B"/>
                <w:w w:val="85"/>
                <w:vertAlign w:val="superscript"/>
              </w:rPr>
              <w:t>(1)</w:t>
            </w:r>
          </w:p>
        </w:tc>
        <w:tc>
          <w:tcPr>
            <w:tcW w:w="1500" w:type="dxa"/>
            <w:vAlign w:val="bottom"/>
            <w:tcBorders>
              <w:bottom w:val="single" w:sz="8" w:color="FB4E0B"/>
            </w:tcBorders>
          </w:tcPr>
          <w:p>
            <w:pPr>
              <w:jc w:val="center"/>
              <w:ind w:left="213"/>
              <w:spacing w:after="0"/>
              <w:rPr>
                <w:sz w:val="20"/>
                <w:szCs w:val="20"/>
                <w:color w:val="auto"/>
              </w:rPr>
            </w:pPr>
            <w:r>
              <w:rPr>
                <w:rFonts w:ascii="Arial" w:cs="Arial" w:eastAsia="Arial" w:hAnsi="Arial"/>
                <w:sz w:val="17"/>
                <w:szCs w:val="17"/>
                <w:b w:val="1"/>
                <w:bCs w:val="1"/>
                <w:color w:val="FB4E0B"/>
                <w:w w:val="93"/>
              </w:rPr>
              <w:t>benefit ($)</w:t>
            </w:r>
          </w:p>
        </w:tc>
        <w:tc>
          <w:tcPr>
            <w:tcW w:w="1620" w:type="dxa"/>
            <w:vAlign w:val="bottom"/>
            <w:tcBorders>
              <w:bottom w:val="single" w:sz="8" w:color="FB4E0B"/>
            </w:tcBorders>
          </w:tcPr>
          <w:p>
            <w:pPr>
              <w:jc w:val="right"/>
              <w:ind w:right="453"/>
              <w:spacing w:after="0"/>
              <w:rPr>
                <w:sz w:val="20"/>
                <w:szCs w:val="20"/>
                <w:color w:val="auto"/>
              </w:rPr>
            </w:pPr>
            <w:r>
              <w:rPr>
                <w:rFonts w:ascii="Arial" w:cs="Arial" w:eastAsia="Arial" w:hAnsi="Arial"/>
                <w:sz w:val="17"/>
                <w:szCs w:val="17"/>
                <w:b w:val="1"/>
                <w:bCs w:val="1"/>
                <w:color w:val="FB4E0B"/>
              </w:rPr>
              <w:t>($)</w:t>
            </w:r>
          </w:p>
        </w:tc>
      </w:tr>
      <w:tr>
        <w:trPr>
          <w:trHeight w:val="331"/>
        </w:trPr>
        <w:tc>
          <w:tcPr>
            <w:tcW w:w="1560" w:type="dxa"/>
            <w:vAlign w:val="bottom"/>
            <w:tcBorders>
              <w:bottom w:val="single" w:sz="8" w:color="FB4E0B"/>
              <w:right w:val="single" w:sz="8" w:color="auto"/>
            </w:tcBorders>
          </w:tcPr>
          <w:p>
            <w:pPr>
              <w:ind w:left="80"/>
              <w:spacing w:after="0"/>
              <w:rPr>
                <w:sz w:val="20"/>
                <w:szCs w:val="20"/>
                <w:color w:val="auto"/>
              </w:rPr>
            </w:pPr>
            <w:r>
              <w:rPr>
                <w:rFonts w:ascii="Arial" w:cs="Arial" w:eastAsia="Arial" w:hAnsi="Arial"/>
                <w:sz w:val="17"/>
                <w:szCs w:val="17"/>
                <w:b w:val="1"/>
                <w:bCs w:val="1"/>
                <w:color w:val="auto"/>
              </w:rPr>
              <w:t>Vikas Bhalla</w:t>
            </w:r>
          </w:p>
        </w:tc>
        <w:tc>
          <w:tcPr>
            <w:tcW w:w="4600" w:type="dxa"/>
            <w:vAlign w:val="bottom"/>
            <w:tcBorders>
              <w:bottom w:val="single" w:sz="8" w:color="FB4E0B"/>
              <w:right w:val="single" w:sz="8" w:color="auto"/>
            </w:tcBorders>
          </w:tcPr>
          <w:p>
            <w:pPr>
              <w:ind w:left="660"/>
              <w:spacing w:after="0"/>
              <w:rPr>
                <w:sz w:val="20"/>
                <w:szCs w:val="20"/>
                <w:color w:val="auto"/>
              </w:rPr>
            </w:pPr>
            <w:r>
              <w:rPr>
                <w:rFonts w:ascii="Arial" w:cs="Arial" w:eastAsia="Arial" w:hAnsi="Arial"/>
                <w:sz w:val="17"/>
                <w:szCs w:val="17"/>
                <w:color w:val="auto"/>
              </w:rPr>
              <w:t>Gratuity Plan for Indian Employees</w:t>
            </w:r>
            <w:r>
              <w:rPr>
                <w:rFonts w:ascii="Arial" w:cs="Arial" w:eastAsia="Arial" w:hAnsi="Arial"/>
                <w:sz w:val="26"/>
                <w:szCs w:val="26"/>
                <w:color w:val="auto"/>
                <w:vertAlign w:val="superscript"/>
              </w:rPr>
              <w:t>(2)</w:t>
            </w:r>
          </w:p>
        </w:tc>
        <w:tc>
          <w:tcPr>
            <w:tcW w:w="1340" w:type="dxa"/>
            <w:vAlign w:val="bottom"/>
            <w:tcBorders>
              <w:bottom w:val="single" w:sz="8" w:color="FB4E0B"/>
              <w:right w:val="single" w:sz="8" w:color="auto"/>
            </w:tcBorders>
          </w:tcPr>
          <w:p>
            <w:pPr>
              <w:jc w:val="center"/>
              <w:ind w:left="153"/>
              <w:spacing w:after="0"/>
              <w:rPr>
                <w:sz w:val="20"/>
                <w:szCs w:val="20"/>
                <w:color w:val="auto"/>
              </w:rPr>
            </w:pPr>
            <w:r>
              <w:rPr>
                <w:rFonts w:ascii="Arial" w:cs="Arial" w:eastAsia="Arial" w:hAnsi="Arial"/>
                <w:sz w:val="17"/>
                <w:szCs w:val="17"/>
                <w:color w:val="auto"/>
                <w:w w:val="94"/>
              </w:rPr>
              <w:t>22</w:t>
            </w:r>
          </w:p>
        </w:tc>
        <w:tc>
          <w:tcPr>
            <w:tcW w:w="1500" w:type="dxa"/>
            <w:vAlign w:val="bottom"/>
            <w:tcBorders>
              <w:bottom w:val="single" w:sz="8" w:color="FB4E0B"/>
              <w:right w:val="single" w:sz="8" w:color="auto"/>
            </w:tcBorders>
          </w:tcPr>
          <w:p>
            <w:pPr>
              <w:jc w:val="center"/>
              <w:ind w:left="213"/>
              <w:spacing w:after="0"/>
              <w:rPr>
                <w:sz w:val="20"/>
                <w:szCs w:val="20"/>
                <w:color w:val="auto"/>
              </w:rPr>
            </w:pPr>
            <w:r>
              <w:rPr>
                <w:rFonts w:ascii="Arial" w:cs="Arial" w:eastAsia="Arial" w:hAnsi="Arial"/>
                <w:sz w:val="17"/>
                <w:szCs w:val="17"/>
                <w:color w:val="auto"/>
                <w:w w:val="91"/>
              </w:rPr>
              <w:t>124,859</w:t>
            </w:r>
          </w:p>
        </w:tc>
        <w:tc>
          <w:tcPr>
            <w:tcW w:w="1620" w:type="dxa"/>
            <w:vAlign w:val="bottom"/>
            <w:tcBorders>
              <w:bottom w:val="single" w:sz="8" w:color="FB4E0B"/>
            </w:tcBorders>
          </w:tcPr>
          <w:p>
            <w:pPr>
              <w:jc w:val="center"/>
              <w:ind w:left="233"/>
              <w:spacing w:after="0"/>
              <w:rPr>
                <w:sz w:val="20"/>
                <w:szCs w:val="20"/>
                <w:color w:val="auto"/>
              </w:rPr>
            </w:pPr>
            <w:r>
              <w:rPr>
                <w:rFonts w:ascii="Arial" w:cs="Arial" w:eastAsia="Arial" w:hAnsi="Arial"/>
                <w:sz w:val="17"/>
                <w:szCs w:val="17"/>
                <w:color w:val="auto"/>
              </w:rPr>
              <w:t>—</w:t>
            </w:r>
          </w:p>
        </w:tc>
      </w:tr>
    </w:tbl>
    <w:p>
      <w:pPr>
        <w:ind w:left="320" w:right="420" w:hanging="4"/>
        <w:spacing w:after="0" w:line="230" w:lineRule="auto"/>
        <w:tabs>
          <w:tab w:leader="none" w:pos="504"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the number of years of service credited as of December 31, 2022, for the purpose of determining benefit service under the Gratuity Plan. Credited service is determined based on the completed years of continuous employment (rounded to the nearest whole number of years) with the Company since the executive’s date of hire.</w:t>
      </w:r>
    </w:p>
    <w:p>
      <w:pPr>
        <w:ind w:left="320" w:right="20" w:hanging="4"/>
        <w:spacing w:after="0" w:line="258" w:lineRule="auto"/>
        <w:tabs>
          <w:tab w:leader="none" w:pos="504" w:val="left"/>
        </w:tabs>
        <w:numPr>
          <w:ilvl w:val="0"/>
          <w:numId w:val="32"/>
        </w:numPr>
        <w:rPr>
          <w:rFonts w:ascii="Arial" w:cs="Arial" w:eastAsia="Arial" w:hAnsi="Arial"/>
          <w:sz w:val="12"/>
          <w:szCs w:val="12"/>
          <w:color w:val="auto"/>
        </w:rPr>
      </w:pPr>
      <w:r>
        <w:rPr>
          <w:rFonts w:ascii="Arial" w:cs="Arial" w:eastAsia="Arial" w:hAnsi="Arial"/>
          <w:sz w:val="12"/>
          <w:szCs w:val="12"/>
          <w:color w:val="auto"/>
        </w:rPr>
        <w:t>Liabilities with regard to the Gratuity Plan is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20 to the audited financial statements for the fiscal year ended December 31, 2022, included in the 2022 Form 10-K.</w:t>
      </w:r>
    </w:p>
    <w:p>
      <w:pPr>
        <w:spacing w:after="0" w:line="70" w:lineRule="exact"/>
        <w:rPr>
          <w:sz w:val="20"/>
          <w:szCs w:val="20"/>
          <w:color w:val="auto"/>
        </w:rPr>
      </w:pPr>
    </w:p>
    <w:p>
      <w:pPr>
        <w:jc w:val="both"/>
        <w:ind w:left="320" w:right="220"/>
        <w:spacing w:after="0" w:line="302" w:lineRule="auto"/>
        <w:rPr>
          <w:sz w:val="20"/>
          <w:szCs w:val="20"/>
          <w:color w:val="auto"/>
        </w:rPr>
      </w:pPr>
      <w:r>
        <w:rPr>
          <w:rFonts w:ascii="Arial" w:cs="Arial" w:eastAsia="Arial" w:hAnsi="Arial"/>
          <w:sz w:val="15"/>
          <w:szCs w:val="15"/>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Bhalla’s accumulated benefits has been determined based on his monthly basic salary rate in effect on December 31, 2022, which was approximately $9,837.</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4"/>
          <w:szCs w:val="24"/>
          <w:color w:val="auto"/>
        </w:rPr>
        <w:t>Potential payments upon termination or change in control at fiscal 2022 year-end</w:t>
      </w:r>
    </w:p>
    <w:p>
      <w:pPr>
        <w:spacing w:after="0" w:line="117" w:lineRule="exact"/>
        <w:rPr>
          <w:sz w:val="20"/>
          <w:szCs w:val="20"/>
          <w:color w:val="auto"/>
        </w:rPr>
      </w:pPr>
    </w:p>
    <w:p>
      <w:pPr>
        <w:ind w:left="320" w:right="180"/>
        <w:spacing w:after="0" w:line="265" w:lineRule="auto"/>
        <w:rPr>
          <w:sz w:val="20"/>
          <w:szCs w:val="20"/>
          <w:color w:val="auto"/>
        </w:rPr>
      </w:pPr>
      <w:r>
        <w:rPr>
          <w:rFonts w:ascii="Arial" w:cs="Arial" w:eastAsia="Arial" w:hAnsi="Arial"/>
          <w:sz w:val="17"/>
          <w:szCs w:val="17"/>
          <w:color w:val="auto"/>
        </w:rPr>
        <w:t>The following tables summarize the amounts payable to each named executive officer upon a change in control or termination of his employment with us on December 31, 2022. In calculating potential payments for purposes of this disclosure, we have quantified our equity-based payments using the closing stock price on December 30, 2022, which was $169.43. Some of the capitalized terms used in the employment agreements for our named executive officers are defined in the section entitled “Certain defined terms” on page 102.</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Rohit Kapoor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Cash severance</w:t>
      </w:r>
    </w:p>
    <w:p>
      <w:pPr>
        <w:spacing w:after="0" w:line="123" w:lineRule="exact"/>
        <w:rPr>
          <w:sz w:val="20"/>
          <w:szCs w:val="20"/>
          <w:color w:val="auto"/>
        </w:rPr>
      </w:pPr>
    </w:p>
    <w:p>
      <w:pPr>
        <w:ind w:left="320" w:right="40"/>
        <w:spacing w:after="0" w:line="286" w:lineRule="auto"/>
        <w:rPr>
          <w:sz w:val="20"/>
          <w:szCs w:val="20"/>
          <w:color w:val="auto"/>
        </w:rPr>
      </w:pPr>
      <w:r>
        <w:rPr>
          <w:rFonts w:ascii="Arial" w:cs="Arial" w:eastAsia="Arial" w:hAnsi="Arial"/>
          <w:sz w:val="17"/>
          <w:szCs w:val="17"/>
          <w:color w:val="auto"/>
        </w:rPr>
        <w:t>If Mr. Kapoor’s employment were terminated by us without “cause” or by the executive for “good reason” or by “retirement” (in each case, as described below) on December 31, 2022, he would have been entitled to cash severance consisting of:</w:t>
      </w:r>
    </w:p>
    <w:p>
      <w:pPr>
        <w:spacing w:after="0" w:line="67" w:lineRule="exact"/>
        <w:rPr>
          <w:sz w:val="20"/>
          <w:szCs w:val="20"/>
          <w:color w:val="auto"/>
        </w:rPr>
      </w:pPr>
    </w:p>
    <w:p>
      <w:pPr>
        <w:ind w:left="1140" w:hanging="407"/>
        <w:spacing w:after="0"/>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in the case of retirement, continuation of his base salary for 24 months;</w:t>
      </w:r>
    </w:p>
    <w:p>
      <w:pPr>
        <w:spacing w:after="0" w:line="129" w:lineRule="exact"/>
        <w:rPr>
          <w:rFonts w:ascii="Arial" w:cs="Arial" w:eastAsia="Arial" w:hAnsi="Arial"/>
          <w:sz w:val="17"/>
          <w:szCs w:val="17"/>
          <w:color w:val="auto"/>
        </w:rPr>
      </w:pPr>
    </w:p>
    <w:p>
      <w:pPr>
        <w:ind w:left="1140" w:right="220" w:hanging="407"/>
        <w:spacing w:after="0" w:line="286" w:lineRule="auto"/>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in the case of retirement, his actual bonus, if any, earned for the year of termination, determined as if he had been employed for the full year of termination, paid ratably over the remaining period of base salary payments;</w:t>
      </w:r>
    </w:p>
    <w:p>
      <w:pPr>
        <w:spacing w:after="0" w:line="67" w:lineRule="exact"/>
        <w:rPr>
          <w:rFonts w:ascii="Arial" w:cs="Arial" w:eastAsia="Arial" w:hAnsi="Arial"/>
          <w:sz w:val="17"/>
          <w:szCs w:val="17"/>
          <w:color w:val="auto"/>
        </w:rPr>
      </w:pPr>
    </w:p>
    <w:p>
      <w:pPr>
        <w:ind w:left="1140" w:hanging="407"/>
        <w:spacing w:after="0"/>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unpaid bonus amounts from prior periods;</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accrued but unpaid base salary and vacation days or unreimbursed expenses;</w:t>
      </w:r>
    </w:p>
    <w:p>
      <w:pPr>
        <w:spacing w:after="0" w:line="279"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95</w:t>
      </w:r>
    </w:p>
    <w:p>
      <w:pPr>
        <w:sectPr>
          <w:pgSz w:w="11900" w:h="16838" w:orient="portrait"/>
          <w:cols w:equalWidth="0" w:num="1">
            <w:col w:w="10940"/>
          </w:cols>
          <w:pgMar w:left="320" w:top="473" w:right="6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1140" w:right="340" w:hanging="407"/>
        <w:spacing w:after="0" w:line="270" w:lineRule="auto"/>
        <w:tabs>
          <w:tab w:leader="none" w:pos="1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81" w:lineRule="exact"/>
        <w:rPr>
          <w:rFonts w:ascii="Arial" w:cs="Arial" w:eastAsia="Arial" w:hAnsi="Arial"/>
          <w:sz w:val="17"/>
          <w:szCs w:val="17"/>
          <w:color w:val="auto"/>
        </w:rPr>
      </w:pPr>
    </w:p>
    <w:p>
      <w:pPr>
        <w:ind w:left="1140" w:hanging="407"/>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in the case of retirement, continuation of life insurance coverage until the earlier of (x) the 18-month anniversary of termination and</w:t>
      </w:r>
    </w:p>
    <w:p>
      <w:pPr>
        <w:spacing w:after="0" w:line="3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7"/>
          <w:szCs w:val="17"/>
          <w:color w:val="auto"/>
        </w:rPr>
        <w:t>(y) the date the executive commences employment with a subsequent employer.</w:t>
      </w:r>
    </w:p>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Change-in-control cash severance</w:t>
      </w:r>
    </w:p>
    <w:p>
      <w:pPr>
        <w:spacing w:after="0" w:line="123" w:lineRule="exact"/>
        <w:rPr>
          <w:sz w:val="20"/>
          <w:szCs w:val="20"/>
          <w:color w:val="auto"/>
        </w:rPr>
      </w:pPr>
    </w:p>
    <w:p>
      <w:pPr>
        <w:ind w:left="320" w:right="340"/>
        <w:spacing w:after="0" w:line="311" w:lineRule="auto"/>
        <w:rPr>
          <w:sz w:val="20"/>
          <w:szCs w:val="20"/>
          <w:color w:val="auto"/>
        </w:rPr>
      </w:pPr>
      <w:r>
        <w:rPr>
          <w:rFonts w:ascii="Arial" w:cs="Arial" w:eastAsia="Arial" w:hAnsi="Arial"/>
          <w:sz w:val="15"/>
          <w:szCs w:val="15"/>
          <w:color w:val="auto"/>
        </w:rPr>
        <w:t>If Mr. Kapoor’s employment is terminated by us without “cause” or by the executive for “good reason” (in each case, as described above) within 12 months 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Death or disability</w:t>
      </w:r>
    </w:p>
    <w:p>
      <w:pPr>
        <w:spacing w:after="0" w:line="123" w:lineRule="exact"/>
        <w:rPr>
          <w:sz w:val="20"/>
          <w:szCs w:val="20"/>
          <w:color w:val="auto"/>
        </w:rPr>
      </w:pPr>
    </w:p>
    <w:p>
      <w:pPr>
        <w:ind w:left="320" w:right="420"/>
        <w:spacing w:after="0" w:line="286" w:lineRule="auto"/>
        <w:rPr>
          <w:sz w:val="20"/>
          <w:szCs w:val="20"/>
          <w:color w:val="auto"/>
        </w:rPr>
      </w:pPr>
      <w:r>
        <w:rPr>
          <w:rFonts w:ascii="Arial" w:cs="Arial" w:eastAsia="Arial" w:hAnsi="Arial"/>
          <w:sz w:val="17"/>
          <w:szCs w:val="17"/>
          <w:color w:val="auto"/>
        </w:rPr>
        <w:t>If Mr. Kapoor’s employment terminates due to his death or is terminated by either the executive or us due to his disability, he (or his estate) will be entitled to a prorated portion of his projected bonus amount for the year of termination.</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Noncompetition and non-solicitation provisions</w:t>
      </w:r>
    </w:p>
    <w:p>
      <w:pPr>
        <w:spacing w:after="0" w:line="123" w:lineRule="exact"/>
        <w:rPr>
          <w:sz w:val="20"/>
          <w:szCs w:val="20"/>
          <w:color w:val="auto"/>
        </w:rPr>
      </w:pPr>
    </w:p>
    <w:p>
      <w:pPr>
        <w:ind w:left="320" w:right="460"/>
        <w:spacing w:after="0" w:line="286" w:lineRule="auto"/>
        <w:rPr>
          <w:sz w:val="20"/>
          <w:szCs w:val="20"/>
          <w:color w:val="auto"/>
        </w:rPr>
      </w:pPr>
      <w:r>
        <w:rPr>
          <w:rFonts w:ascii="Arial" w:cs="Arial" w:eastAsia="Arial" w:hAnsi="Arial"/>
          <w:sz w:val="17"/>
          <w:szCs w:val="17"/>
          <w:color w:val="auto"/>
        </w:rPr>
        <w:t>Mr. Kapoor is subject to confidentiality and non-disparagement restrictions at all times, as well as noncompetition and non-solicitation restrictions during his employment and for one year thereafter.</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Annual equity awards</w:t>
      </w:r>
    </w:p>
    <w:p>
      <w:pPr>
        <w:spacing w:after="0" w:line="123" w:lineRule="exact"/>
        <w:rPr>
          <w:sz w:val="20"/>
          <w:szCs w:val="20"/>
          <w:color w:val="auto"/>
        </w:rPr>
      </w:pPr>
    </w:p>
    <w:p>
      <w:pPr>
        <w:jc w:val="both"/>
        <w:ind w:left="320" w:right="40"/>
        <w:spacing w:after="0" w:line="323" w:lineRule="auto"/>
        <w:rPr>
          <w:sz w:val="20"/>
          <w:szCs w:val="20"/>
          <w:color w:val="auto"/>
        </w:rPr>
      </w:pPr>
      <w:r>
        <w:rPr>
          <w:rFonts w:ascii="Arial" w:cs="Arial" w:eastAsia="Arial" w:hAnsi="Arial"/>
          <w:sz w:val="15"/>
          <w:szCs w:val="15"/>
          <w:color w:val="auto"/>
        </w:rPr>
        <w:t>If Mr. Kapoor’s employment is terminated by us without cause or by Mr. Kapoor for good reason, Mr. Kapoor will be treated as if he was still employed by the Company for a period of twenty-seven months following the termination date. On a “change in control” (as defined in the 2006 Plan, 2015 Plan, or 2018 Plan, as applicable), retirement (as defined below), or on death, Mr. Kapoor’s outstanding annual equity awards will vest as described below:</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Time-Vested RSUs</w:t>
      </w:r>
    </w:p>
    <w:p>
      <w:pPr>
        <w:spacing w:after="0" w:line="123" w:lineRule="exact"/>
        <w:rPr>
          <w:sz w:val="20"/>
          <w:szCs w:val="20"/>
          <w:color w:val="auto"/>
        </w:rPr>
      </w:pPr>
    </w:p>
    <w:p>
      <w:pPr>
        <w:ind w:left="320" w:right="20"/>
        <w:spacing w:after="0" w:line="293" w:lineRule="auto"/>
        <w:rPr>
          <w:sz w:val="20"/>
          <w:szCs w:val="20"/>
          <w:color w:val="auto"/>
        </w:rPr>
      </w:pPr>
      <w:r>
        <w:rPr>
          <w:rFonts w:ascii="Arial" w:cs="Arial" w:eastAsia="Arial" w:hAnsi="Arial"/>
          <w:sz w:val="15"/>
          <w:szCs w:val="15"/>
          <w:color w:val="auto"/>
        </w:rPr>
        <w:t>If a change in control occurs prior to the end of the four-year vesting period, Mr. Kapoor’s Time-Vested RSUs will be advanced by one year. In addition, all of Mr. Kapoor’s outstanding Time-Vested RSUs will become fully vested if he is terminated without cause in specific contemplation of or within 12 months following a change in control, or he voluntarily terminates his employment for good reason within 12 months following a change in control. If Mr. Kapoor dies before the end of the four-year vesting period, all of Mr. Kapoor’s outstanding Time-Vested RSUs will become fully vested. If</w:t>
      </w:r>
    </w:p>
    <w:p>
      <w:pPr>
        <w:spacing w:after="0" w:line="3" w:lineRule="exact"/>
        <w:rPr>
          <w:sz w:val="20"/>
          <w:szCs w:val="20"/>
          <w:color w:val="auto"/>
        </w:rPr>
      </w:pPr>
    </w:p>
    <w:p>
      <w:pPr>
        <w:ind w:left="320" w:right="60"/>
        <w:spacing w:after="0" w:line="271" w:lineRule="auto"/>
        <w:rPr>
          <w:sz w:val="20"/>
          <w:szCs w:val="20"/>
          <w:color w:val="auto"/>
        </w:rPr>
      </w:pPr>
      <w:r>
        <w:rPr>
          <w:rFonts w:ascii="Arial" w:cs="Arial" w:eastAsia="Arial" w:hAnsi="Arial"/>
          <w:sz w:val="17"/>
          <w:szCs w:val="17"/>
          <w:color w:val="auto"/>
        </w:rPr>
        <w:t>Mr. Kapoor retires and the applicable award has been outstanding for at least 6 months, Mr. Kapoor will become fully vested in any unvested RSUs that would have vested within the next 12 months absent his retirement.</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Revenue-Linked PRSUs</w:t>
      </w:r>
    </w:p>
    <w:p>
      <w:pPr>
        <w:spacing w:after="0" w:line="123"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If a change in control occurs prior to the end of the performance period, 100% of target of Mr. Kapoor’s Revenue-Linked PRSUs will be deemed earned, will be subject to a three-year installment vesting schedule and will be advanced by one year under such</w:t>
      </w:r>
    </w:p>
    <w:p>
      <w:pPr>
        <w:spacing w:after="0" w:line="74"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60"/>
        <w:spacing w:after="0" w:line="299" w:lineRule="auto"/>
        <w:rPr>
          <w:sz w:val="20"/>
          <w:szCs w:val="20"/>
          <w:color w:val="auto"/>
        </w:rPr>
      </w:pPr>
      <w:r>
        <w:rPr>
          <w:rFonts w:ascii="Arial" w:cs="Arial" w:eastAsia="Arial" w:hAnsi="Arial"/>
          <w:sz w:val="15"/>
          <w:szCs w:val="15"/>
          <w:color w:val="auto"/>
        </w:rPr>
        <w:t>schedule. In addition, all of Mr. Kapoor’s outstanding Revenue-Linked PRSUs will become fully vested if, (i) he is terminated without cause in specific contemplation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portion of the outstanding Revenue-Linked PRSUs equal to (x) the number of completed full months during the three-year performance period up to the date of Mr. Kapoor’s death divided by (y) 36 multiplied by (z) 100% of Mr. Kapoor’s Revenue-Linked PRSUs. If Mr. Kapoor retires and the award has been outstanding for at least 6 months, Mr. Kapoor will become vested in a portion of the outstanding Revenue-Linked PRSUs equal to (x) the number of years of service completed by Mr. Kapoor from the grant date (rounding up to the closest whole number) divided by (y) 3 multiplied by (z) the number of Revenue-Linked PRSUs earned based on actual performance.</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Relative TSR-Linked PRSUs</w:t>
      </w:r>
    </w:p>
    <w:p>
      <w:pPr>
        <w:spacing w:after="0" w:line="123" w:lineRule="exact"/>
        <w:rPr>
          <w:sz w:val="20"/>
          <w:szCs w:val="20"/>
          <w:color w:val="auto"/>
        </w:rPr>
      </w:pPr>
    </w:p>
    <w:p>
      <w:pPr>
        <w:ind w:left="320" w:right="20"/>
        <w:spacing w:after="0" w:line="275" w:lineRule="auto"/>
        <w:rPr>
          <w:sz w:val="20"/>
          <w:szCs w:val="20"/>
          <w:color w:val="auto"/>
        </w:rPr>
      </w:pPr>
      <w:r>
        <w:rPr>
          <w:rFonts w:ascii="Arial" w:cs="Arial" w:eastAsia="Arial" w:hAnsi="Arial"/>
          <w:sz w:val="16"/>
          <w:szCs w:val="16"/>
          <w:color w:val="auto"/>
        </w:rPr>
        <w:t>If a change in control occurs on or prior to the first anniversary of the grant date, 100% of target of Mr. Kapoor’s Relative TSR-Linked PRSUs will be deemed earned. If a change in control occurs after the first anniversary of the grant date, the performance period will be deemed to end on the date of the change in control and the Compensation and Talent Management Committee will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Relative TSR-Linked PRSUs will become fully vested if, following or in specific contemplation of a change in control, he is terminated without cause or, following a change in control, he (i) voluntarily terminates his employment for good reason or (ii) dies. If Mr. Kapoor dies prior to the end of the performance period and no change in control has occurred, Mr. Kapoor will become vested in a portion of the outstanding Relative TSR-Linked PRSUs equal to (x) the number of completed full months during the 3 year performance period up to the date of Mr. Kapoor’s death divided by (y) 36 multiplied by (z) 100% of Mr. Kapoor’s Relative TSR-Linked PRSUs. If Mr. Kapoor retires and the award has been outstanding for at least 6 months, Mr. Kapoor will become vested in a portion of the outstanding Revenue-Linked PRSUs equal to (x) the number of years of service completed by Mr. Kapoor from the grant date (rounding up to the closest whole number) divided by (y) 3 multiplied by (z) the number of Revenue-Linked PRSUs earned based on actual performance.</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Release of claims</w:t>
      </w:r>
    </w:p>
    <w:p>
      <w:pPr>
        <w:spacing w:after="0" w:line="123" w:lineRule="exact"/>
        <w:rPr>
          <w:sz w:val="20"/>
          <w:szCs w:val="20"/>
          <w:color w:val="auto"/>
        </w:rPr>
      </w:pPr>
    </w:p>
    <w:p>
      <w:pPr>
        <w:ind w:left="320" w:right="280"/>
        <w:spacing w:after="0" w:line="270" w:lineRule="auto"/>
        <w:rPr>
          <w:sz w:val="20"/>
          <w:szCs w:val="20"/>
          <w:color w:val="auto"/>
        </w:rPr>
      </w:pPr>
      <w:r>
        <w:rPr>
          <w:rFonts w:ascii="Arial" w:cs="Arial" w:eastAsia="Arial" w:hAnsi="Arial"/>
          <w:sz w:val="17"/>
          <w:szCs w:val="17"/>
          <w:color w:val="auto"/>
        </w:rPr>
        <w:t>Mr. Kapoor’s severance payments and termination-related equity acceleration are subject to his execution of a release 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Code Section 280G</w:t>
      </w:r>
    </w:p>
    <w:p>
      <w:pPr>
        <w:spacing w:after="0" w:line="123"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Mr. Kapoor’s employment agreement also contains a “modified cut-back” provision such that any payments that constitute “excess parachute payments” under Section 280G of the Code will be reduced to an amount that does not trigger the applicable excise</w:t>
      </w:r>
    </w:p>
    <w:p>
      <w:pPr>
        <w:spacing w:after="0" w:line="217"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97</w:t>
      </w:r>
    </w:p>
    <w:p>
      <w:pPr>
        <w:sectPr>
          <w:pgSz w:w="11900" w:h="16838" w:orient="portrait"/>
          <w:cols w:equalWidth="0" w:num="1">
            <w:col w:w="10940"/>
          </w:cols>
          <w:pgMar w:left="320" w:top="473" w:right="6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360"/>
        <w:spacing w:after="0" w:line="286" w:lineRule="auto"/>
        <w:rPr>
          <w:sz w:val="20"/>
          <w:szCs w:val="20"/>
          <w:color w:val="auto"/>
        </w:rPr>
      </w:pPr>
      <w:r>
        <w:rPr>
          <w:rFonts w:ascii="Arial" w:cs="Arial" w:eastAsia="Arial" w:hAnsi="Arial"/>
          <w:sz w:val="17"/>
          <w:szCs w:val="17"/>
          <w:color w:val="auto"/>
        </w:rPr>
        <w:t>taxes, to the extent such reduced amount is larger than the amount Mr. Kapoor would have received on a present-value net-after-tax basis (including excise taxes) absent such a reduction.</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Indicative payouts for Rohit Kapoor</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without cause or for</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good reason</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following change</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in control or</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termination</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without cause in</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Death prior to a</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Death after a</w:t>
            </w:r>
          </w:p>
        </w:tc>
        <w:tc>
          <w:tcPr>
            <w:tcW w:w="134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Termination for</w:t>
            </w:r>
          </w:p>
        </w:tc>
        <w:tc>
          <w:tcPr>
            <w:tcW w:w="14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specific</w:t>
            </w: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contemplation of</w:t>
            </w:r>
          </w:p>
        </w:tc>
        <w:tc>
          <w:tcPr>
            <w:tcW w:w="0" w:type="dxa"/>
            <w:vAlign w:val="bottom"/>
          </w:tcPr>
          <w:p>
            <w:pPr>
              <w:spacing w:after="0"/>
              <w:rPr>
                <w:sz w:val="1"/>
                <w:szCs w:val="1"/>
                <w:color w:val="auto"/>
              </w:rPr>
            </w:pPr>
          </w:p>
        </w:tc>
      </w:tr>
      <w:tr>
        <w:trPr>
          <w:trHeight w:val="143"/>
        </w:trPr>
        <w:tc>
          <w:tcPr>
            <w:tcW w:w="2280" w:type="dxa"/>
            <w:vAlign w:val="bottom"/>
            <w:vMerge w:val="restart"/>
          </w:tcPr>
          <w:p>
            <w:pPr>
              <w:ind w:left="40"/>
              <w:spacing w:after="0"/>
              <w:rPr>
                <w:sz w:val="20"/>
                <w:szCs w:val="20"/>
                <w:color w:val="auto"/>
              </w:rPr>
            </w:pPr>
            <w:r>
              <w:rPr>
                <w:rFonts w:ascii="Arial" w:cs="Arial" w:eastAsia="Arial" w:hAnsi="Arial"/>
                <w:sz w:val="14"/>
                <w:szCs w:val="14"/>
                <w:b w:val="1"/>
                <w:bCs w:val="1"/>
                <w:color w:val="FB4E0B"/>
              </w:rPr>
              <w:t>Payments upon</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change in</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change in</w:t>
            </w:r>
          </w:p>
        </w:tc>
        <w:tc>
          <w:tcPr>
            <w:tcW w:w="13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Disability</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good reason or</w:t>
            </w:r>
          </w:p>
        </w:tc>
        <w:tc>
          <w:tcPr>
            <w:tcW w:w="1400" w:type="dxa"/>
            <w:vAlign w:val="bottom"/>
            <w:vMerge w:val="continue"/>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43"/>
        </w:trPr>
        <w:tc>
          <w:tcPr>
            <w:tcW w:w="2280" w:type="dxa"/>
            <w:vAlign w:val="bottom"/>
            <w:vMerge w:val="continue"/>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control</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control</w:t>
            </w:r>
          </w:p>
        </w:tc>
        <w:tc>
          <w:tcPr>
            <w:tcW w:w="1340" w:type="dxa"/>
            <w:vAlign w:val="bottom"/>
            <w:vMerge w:val="continue"/>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without cause</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control</w:t>
            </w: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80"/>
        </w:trPr>
        <w:tc>
          <w:tcPr>
            <w:tcW w:w="2280" w:type="dxa"/>
            <w:vAlign w:val="bottom"/>
          </w:tcPr>
          <w:p>
            <w:pPr>
              <w:ind w:left="40"/>
              <w:spacing w:after="0"/>
              <w:rPr>
                <w:sz w:val="20"/>
                <w:szCs w:val="20"/>
                <w:color w:val="auto"/>
              </w:rPr>
            </w:pPr>
            <w:r>
              <w:rPr>
                <w:rFonts w:ascii="Arial" w:cs="Arial" w:eastAsia="Arial" w:hAnsi="Arial"/>
                <w:sz w:val="14"/>
                <w:szCs w:val="14"/>
                <w:b w:val="1"/>
                <w:bCs w:val="1"/>
                <w:color w:val="FB4E0B"/>
              </w:rPr>
              <w:t>termination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Pr>
          <w:p>
            <w:pPr>
              <w:jc w:val="right"/>
              <w:ind w:right="511"/>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70"/>
        </w:trPr>
        <w:tc>
          <w:tcPr>
            <w:tcW w:w="2280" w:type="dxa"/>
            <w:vAlign w:val="bottom"/>
            <w:tcBorders>
              <w:bottom w:val="single" w:sz="8" w:color="FB4E0B"/>
            </w:tcBorders>
          </w:tcPr>
          <w:p>
            <w:pPr>
              <w:spacing w:after="0"/>
              <w:rPr>
                <w:sz w:val="6"/>
                <w:szCs w:val="6"/>
                <w:color w:val="auto"/>
              </w:rPr>
            </w:pPr>
          </w:p>
        </w:tc>
        <w:tc>
          <w:tcPr>
            <w:tcW w:w="1400" w:type="dxa"/>
            <w:vAlign w:val="bottom"/>
            <w:tcBorders>
              <w:bottom w:val="single" w:sz="8" w:color="FB4E0B"/>
            </w:tcBorders>
          </w:tcPr>
          <w:p>
            <w:pPr>
              <w:spacing w:after="0"/>
              <w:rPr>
                <w:sz w:val="6"/>
                <w:szCs w:val="6"/>
                <w:color w:val="auto"/>
              </w:rPr>
            </w:pPr>
          </w:p>
        </w:tc>
        <w:tc>
          <w:tcPr>
            <w:tcW w:w="1400" w:type="dxa"/>
            <w:vAlign w:val="bottom"/>
            <w:tcBorders>
              <w:bottom w:val="single" w:sz="8" w:color="FB4E0B"/>
            </w:tcBorders>
          </w:tcPr>
          <w:p>
            <w:pPr>
              <w:spacing w:after="0"/>
              <w:rPr>
                <w:sz w:val="6"/>
                <w:szCs w:val="6"/>
                <w:color w:val="auto"/>
              </w:rPr>
            </w:pPr>
          </w:p>
        </w:tc>
        <w:tc>
          <w:tcPr>
            <w:tcW w:w="1340" w:type="dxa"/>
            <w:vAlign w:val="bottom"/>
            <w:tcBorders>
              <w:bottom w:val="single" w:sz="8" w:color="FB4E0B"/>
            </w:tcBorders>
          </w:tcPr>
          <w:p>
            <w:pPr>
              <w:spacing w:after="0"/>
              <w:rPr>
                <w:sz w:val="6"/>
                <w:szCs w:val="6"/>
                <w:color w:val="auto"/>
              </w:rPr>
            </w:pPr>
          </w:p>
        </w:tc>
        <w:tc>
          <w:tcPr>
            <w:tcW w:w="1400" w:type="dxa"/>
            <w:vAlign w:val="bottom"/>
            <w:tcBorders>
              <w:bottom w:val="single" w:sz="8" w:color="FB4E0B"/>
            </w:tcBorders>
          </w:tcPr>
          <w:p>
            <w:pPr>
              <w:spacing w:after="0"/>
              <w:rPr>
                <w:sz w:val="6"/>
                <w:szCs w:val="6"/>
                <w:color w:val="auto"/>
              </w:rPr>
            </w:pPr>
          </w:p>
        </w:tc>
        <w:tc>
          <w:tcPr>
            <w:tcW w:w="1400" w:type="dxa"/>
            <w:vAlign w:val="bottom"/>
            <w:tcBorders>
              <w:bottom w:val="single" w:sz="8" w:color="FB4E0B"/>
            </w:tcBorders>
          </w:tcPr>
          <w:p>
            <w:pPr>
              <w:spacing w:after="0"/>
              <w:rPr>
                <w:sz w:val="6"/>
                <w:szCs w:val="6"/>
                <w:color w:val="auto"/>
              </w:rPr>
            </w:pPr>
          </w:p>
        </w:tc>
        <w:tc>
          <w:tcPr>
            <w:tcW w:w="1400" w:type="dxa"/>
            <w:vAlign w:val="bottom"/>
            <w:tcBorders>
              <w:bottom w:val="single" w:sz="8" w:color="FB4E0B"/>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Base salary payout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1,630,000</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1,630,000</w:t>
            </w:r>
          </w:p>
        </w:tc>
        <w:tc>
          <w:tcPr>
            <w:tcW w:w="0" w:type="dxa"/>
            <w:vAlign w:val="bottom"/>
          </w:tcPr>
          <w:p>
            <w:pPr>
              <w:spacing w:after="0"/>
              <w:rPr>
                <w:sz w:val="1"/>
                <w:szCs w:val="1"/>
                <w:color w:val="auto"/>
              </w:rPr>
            </w:pPr>
          </w:p>
        </w:tc>
      </w:tr>
      <w:tr>
        <w:trPr>
          <w:trHeight w:val="51"/>
        </w:trPr>
        <w:tc>
          <w:tcPr>
            <w:tcW w:w="22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Bonus payout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1,829,887</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1,829,887</w:t>
            </w:r>
          </w:p>
        </w:tc>
        <w:tc>
          <w:tcPr>
            <w:tcW w:w="134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1,829,887</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1,829,887</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1,829,887</w:t>
            </w:r>
          </w:p>
        </w:tc>
        <w:tc>
          <w:tcPr>
            <w:tcW w:w="0" w:type="dxa"/>
            <w:vAlign w:val="bottom"/>
          </w:tcPr>
          <w:p>
            <w:pPr>
              <w:spacing w:after="0"/>
              <w:rPr>
                <w:sz w:val="1"/>
                <w:szCs w:val="1"/>
                <w:color w:val="auto"/>
              </w:rPr>
            </w:pPr>
          </w:p>
        </w:tc>
      </w:tr>
      <w:tr>
        <w:trPr>
          <w:trHeight w:val="51"/>
        </w:trPr>
        <w:tc>
          <w:tcPr>
            <w:tcW w:w="22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Life insurance</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4,239</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51"/>
        </w:trPr>
        <w:tc>
          <w:tcPr>
            <w:tcW w:w="22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Health insurance</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42,433</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42,433</w:t>
            </w:r>
          </w:p>
        </w:tc>
        <w:tc>
          <w:tcPr>
            <w:tcW w:w="0" w:type="dxa"/>
            <w:vAlign w:val="bottom"/>
          </w:tcPr>
          <w:p>
            <w:pPr>
              <w:spacing w:after="0"/>
              <w:rPr>
                <w:sz w:val="1"/>
                <w:szCs w:val="1"/>
                <w:color w:val="auto"/>
              </w:rPr>
            </w:pPr>
          </w:p>
        </w:tc>
      </w:tr>
      <w:tr>
        <w:trPr>
          <w:trHeight w:val="51"/>
        </w:trPr>
        <w:tc>
          <w:tcPr>
            <w:tcW w:w="22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Restricted stock units</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11,979,040</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11,979,040</w:t>
            </w:r>
          </w:p>
        </w:tc>
        <w:tc>
          <w:tcPr>
            <w:tcW w:w="134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10,913,156</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4,786,228</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11,979,040</w:t>
            </w:r>
          </w:p>
        </w:tc>
        <w:tc>
          <w:tcPr>
            <w:tcW w:w="0" w:type="dxa"/>
            <w:vAlign w:val="bottom"/>
          </w:tcPr>
          <w:p>
            <w:pPr>
              <w:spacing w:after="0"/>
              <w:rPr>
                <w:sz w:val="1"/>
                <w:szCs w:val="1"/>
                <w:color w:val="auto"/>
              </w:rPr>
            </w:pPr>
          </w:p>
        </w:tc>
      </w:tr>
      <w:tr>
        <w:trPr>
          <w:trHeight w:val="51"/>
        </w:trPr>
        <w:tc>
          <w:tcPr>
            <w:tcW w:w="22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restricted</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12,393,127</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12,393,127</w:t>
            </w:r>
          </w:p>
        </w:tc>
        <w:tc>
          <w:tcPr>
            <w:tcW w:w="134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12,393,127</w:t>
            </w:r>
            <w:r>
              <w:rPr>
                <w:rFonts w:ascii="Arial" w:cs="Arial" w:eastAsia="Arial" w:hAnsi="Arial"/>
                <w:sz w:val="10"/>
                <w:szCs w:val="10"/>
                <w:color w:val="auto"/>
              </w:rPr>
              <w:t>(1)</w:t>
            </w:r>
          </w:p>
        </w:tc>
        <w:tc>
          <w:tcPr>
            <w:tcW w:w="14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16,259,394</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12,393,127</w:t>
            </w:r>
          </w:p>
        </w:tc>
        <w:tc>
          <w:tcPr>
            <w:tcW w:w="0" w:type="dxa"/>
            <w:vAlign w:val="bottom"/>
          </w:tcPr>
          <w:p>
            <w:pPr>
              <w:spacing w:after="0"/>
              <w:rPr>
                <w:sz w:val="1"/>
                <w:szCs w:val="1"/>
                <w:color w:val="auto"/>
              </w:rPr>
            </w:pPr>
          </w:p>
        </w:tc>
      </w:tr>
      <w:tr>
        <w:trPr>
          <w:trHeight w:val="181"/>
        </w:trPr>
        <w:tc>
          <w:tcPr>
            <w:tcW w:w="2280" w:type="dxa"/>
            <w:vAlign w:val="bottom"/>
            <w:tcBorders>
              <w:bottom w:val="single" w:sz="8" w:color="FB4E0B"/>
              <w:right w:val="single" w:sz="8" w:color="auto"/>
            </w:tcBorders>
          </w:tcPr>
          <w:p>
            <w:pPr>
              <w:ind w:left="40"/>
              <w:spacing w:after="0"/>
              <w:rPr>
                <w:sz w:val="20"/>
                <w:szCs w:val="20"/>
                <w:color w:val="auto"/>
              </w:rPr>
            </w:pPr>
            <w:r>
              <w:rPr>
                <w:rFonts w:ascii="Arial" w:cs="Arial" w:eastAsia="Arial" w:hAnsi="Arial"/>
                <w:sz w:val="14"/>
                <w:szCs w:val="14"/>
                <w:color w:val="auto"/>
              </w:rPr>
              <w:t>stock units</w:t>
            </w:r>
          </w:p>
        </w:tc>
        <w:tc>
          <w:tcPr>
            <w:tcW w:w="1400" w:type="dxa"/>
            <w:vAlign w:val="bottom"/>
            <w:tcBorders>
              <w:bottom w:val="single" w:sz="8" w:color="FB4E0B"/>
              <w:right w:val="single" w:sz="8" w:color="auto"/>
            </w:tcBorders>
          </w:tcPr>
          <w:p>
            <w:pPr>
              <w:spacing w:after="0"/>
              <w:rPr>
                <w:sz w:val="15"/>
                <w:szCs w:val="15"/>
                <w:color w:val="auto"/>
              </w:rPr>
            </w:pPr>
          </w:p>
        </w:tc>
        <w:tc>
          <w:tcPr>
            <w:tcW w:w="1400" w:type="dxa"/>
            <w:vAlign w:val="bottom"/>
            <w:tcBorders>
              <w:bottom w:val="single" w:sz="8" w:color="FB4E0B"/>
              <w:right w:val="single" w:sz="8" w:color="auto"/>
            </w:tcBorders>
          </w:tcPr>
          <w:p>
            <w:pPr>
              <w:spacing w:after="0"/>
              <w:rPr>
                <w:sz w:val="15"/>
                <w:szCs w:val="15"/>
                <w:color w:val="auto"/>
              </w:rPr>
            </w:pPr>
          </w:p>
        </w:tc>
        <w:tc>
          <w:tcPr>
            <w:tcW w:w="1340" w:type="dxa"/>
            <w:vAlign w:val="bottom"/>
            <w:tcBorders>
              <w:bottom w:val="single" w:sz="8" w:color="FB4E0B"/>
              <w:right w:val="single" w:sz="8" w:color="auto"/>
            </w:tcBorders>
          </w:tcPr>
          <w:p>
            <w:pPr>
              <w:spacing w:after="0"/>
              <w:rPr>
                <w:sz w:val="15"/>
                <w:szCs w:val="15"/>
                <w:color w:val="auto"/>
              </w:rPr>
            </w:pPr>
          </w:p>
        </w:tc>
        <w:tc>
          <w:tcPr>
            <w:tcW w:w="1400" w:type="dxa"/>
            <w:vAlign w:val="bottom"/>
            <w:tcBorders>
              <w:bottom w:val="single" w:sz="8" w:color="FB4E0B"/>
              <w:right w:val="single" w:sz="8" w:color="auto"/>
            </w:tcBorders>
          </w:tcPr>
          <w:p>
            <w:pPr>
              <w:spacing w:after="0"/>
              <w:rPr>
                <w:sz w:val="15"/>
                <w:szCs w:val="15"/>
                <w:color w:val="auto"/>
              </w:rPr>
            </w:pPr>
          </w:p>
        </w:tc>
        <w:tc>
          <w:tcPr>
            <w:tcW w:w="1400" w:type="dxa"/>
            <w:vAlign w:val="bottom"/>
            <w:tcBorders>
              <w:bottom w:val="single" w:sz="8" w:color="FB4E0B"/>
              <w:right w:val="single" w:sz="8" w:color="auto"/>
            </w:tcBorders>
          </w:tcPr>
          <w:p>
            <w:pPr>
              <w:spacing w:after="0"/>
              <w:rPr>
                <w:sz w:val="15"/>
                <w:szCs w:val="15"/>
                <w:color w:val="auto"/>
              </w:rPr>
            </w:pPr>
          </w:p>
        </w:tc>
        <w:tc>
          <w:tcPr>
            <w:tcW w:w="1400" w:type="dxa"/>
            <w:vAlign w:val="bottom"/>
            <w:tcBorders>
              <w:bottom w:val="single" w:sz="8" w:color="FB4E0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20" w:right="40" w:hanging="4"/>
        <w:spacing w:after="0" w:line="241" w:lineRule="auto"/>
        <w:tabs>
          <w:tab w:leader="none" w:pos="504"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Maurizio Nicolelli</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Either Mr. Nicolelli or we may terminate Mr. Nicolelli’s employment at any time with 30 days’ notice (or 90 days’ notice if termination is by</w:t>
      </w:r>
    </w:p>
    <w:p>
      <w:pPr>
        <w:spacing w:after="0" w:line="25"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Mr. Nicolelli). If Mr. Nicolelli is terminated by us without “cause” (other than due to death or disability), or if Mr. Nicolelli resigns for “good reason”, Mr. Nicolelli will receive a cash severance payment equal to twelve months’ of his then-current base salary, with 25% payable on the first payroll date at least 10 days following termination and the remainder payable in nine equal monthly installments.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a “change in control” (as defined in the 2018 Plan) or death, Mr. Nicolelli’s outstanding equity awards will vest as described below:</w:t>
      </w:r>
    </w:p>
    <w:p>
      <w:pPr>
        <w:spacing w:after="0" w:line="124" w:lineRule="exact"/>
        <w:rPr>
          <w:sz w:val="20"/>
          <w:szCs w:val="20"/>
          <w:color w:val="auto"/>
        </w:rPr>
      </w:pPr>
    </w:p>
    <w:p>
      <w:pPr>
        <w:ind w:left="1140" w:right="80" w:hanging="407"/>
        <w:spacing w:after="0" w:line="302" w:lineRule="auto"/>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 xml:space="preserve">Time-Vested RSUs: </w:t>
      </w:r>
      <w:r>
        <w:rPr>
          <w:rFonts w:ascii="Arial" w:cs="Arial" w:eastAsia="Arial" w:hAnsi="Arial"/>
          <w:sz w:val="15"/>
          <w:szCs w:val="15"/>
          <w:color w:val="auto"/>
        </w:rPr>
        <w:t>If a change in control occurs prior to the end of the four-year vesting period, Mr. Nicolelli’s Time-Vested RSUs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advanced by one year. In addition, all of Mr. Nicolelli’s outstanding Time-Vested RSUs will become fully vested if, following or in specific contemplation of a change in control, he is terminated without cause or, following a change in control, he terminates his employment for good reason. If Mr. Nicolelli dies before the end of the four-year vesting period, all of Mr. Nicolelli’s outstanding Time-Vested RSUs will become fully vested. If Mr. Nicolelli retires with at least 10 years of service and the applicable award has been outstanding for at least 6 months, Mr. Nicolelli will become vested in all unvested RSUs that would have vested within the next 12 months absent his retirement. If Mr. Nicolelli retires with at least 5 years of service but less than 10, the number of vested Time-Vested PRSUs will be calculated as</w:t>
      </w:r>
    </w:p>
    <w:p>
      <w:pPr>
        <w:spacing w:after="0" w:line="67" w:lineRule="exact"/>
        <w:rPr>
          <w:sz w:val="20"/>
          <w:szCs w:val="20"/>
          <w:color w:val="auto"/>
        </w:rPr>
      </w:pPr>
    </w:p>
    <w:p>
      <w:pPr>
        <w:ind w:left="420"/>
        <w:spacing w:after="0"/>
        <w:tabs>
          <w:tab w:leader="none" w:pos="940" w:val="left"/>
          <w:tab w:leader="none" w:pos="1280" w:val="left"/>
        </w:tabs>
        <w:rPr>
          <w:sz w:val="20"/>
          <w:szCs w:val="20"/>
          <w:color w:val="auto"/>
        </w:rPr>
      </w:pPr>
      <w:r>
        <w:rPr>
          <w:rFonts w:ascii="Arial" w:cs="Arial" w:eastAsia="Arial" w:hAnsi="Arial"/>
          <w:sz w:val="17"/>
          <w:szCs w:val="17"/>
          <w:b w:val="1"/>
          <w:bCs w:val="1"/>
          <w:color w:val="auto"/>
        </w:rPr>
        <w:t>98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jc w:val="both"/>
        <w:ind w:left="1160" w:right="140"/>
        <w:spacing w:after="0" w:line="270" w:lineRule="auto"/>
        <w:rPr>
          <w:sz w:val="20"/>
          <w:szCs w:val="20"/>
          <w:color w:val="auto"/>
        </w:rPr>
      </w:pPr>
      <w:r>
        <w:rPr>
          <w:rFonts w:ascii="Arial" w:cs="Arial" w:eastAsia="Arial" w:hAnsi="Arial"/>
          <w:sz w:val="17"/>
          <w:szCs w:val="17"/>
          <w:color w:val="auto"/>
        </w:rPr>
        <w:t>described in the preceding sentence and then reduced by 50%. Vesting of the restricted stock units granted in September 2021, however, is only accelerated (i) on Mr. Nicolelli’s death or (ii) if following or in specific contemplation of a change in control, he is terminated without cause or, following a change in control, he terminates his employment for good reason.</w:t>
      </w:r>
    </w:p>
    <w:p>
      <w:pPr>
        <w:spacing w:after="0" w:line="76" w:lineRule="exact"/>
        <w:rPr>
          <w:sz w:val="20"/>
          <w:szCs w:val="20"/>
          <w:color w:val="auto"/>
        </w:rPr>
      </w:pPr>
    </w:p>
    <w:p>
      <w:pPr>
        <w:ind w:left="1140" w:right="40" w:hanging="407"/>
        <w:spacing w:after="0" w:line="292" w:lineRule="auto"/>
        <w:tabs>
          <w:tab w:leader="none" w:pos="114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Revenue-Linked PRSUs: </w:t>
      </w:r>
      <w:r>
        <w:rPr>
          <w:rFonts w:ascii="Arial" w:cs="Arial" w:eastAsia="Arial" w:hAnsi="Arial"/>
          <w:sz w:val="15"/>
          <w:szCs w:val="15"/>
          <w:color w:val="auto"/>
        </w:rPr>
        <w:t>If a change in control occurs prior to the end of the performance period, 100% of Mr. Nicolelli’s Revenue-Linked</w:t>
      </w:r>
      <w:r>
        <w:rPr>
          <w:rFonts w:ascii="Arial" w:cs="Arial" w:eastAsia="Arial" w:hAnsi="Arial"/>
          <w:sz w:val="15"/>
          <w:szCs w:val="15"/>
          <w:b w:val="1"/>
          <w:bCs w:val="1"/>
          <w:color w:val="auto"/>
        </w:rPr>
        <w:t xml:space="preserve"> </w:t>
      </w:r>
      <w:r>
        <w:rPr>
          <w:rFonts w:ascii="Arial" w:cs="Arial" w:eastAsia="Arial" w:hAnsi="Arial"/>
          <w:sz w:val="15"/>
          <w:szCs w:val="15"/>
          <w:color w:val="auto"/>
        </w:rPr>
        <w:t>PRSUs will be deemed earned, will be subject to a new three year installment vesting schedule and will be advanced by one year under such schedule. In addition, all of Mr. Nicolelli’s outstanding Revenue-Linked PRSUs will become fully vested if, following or in specific contemplation of a change in control, he is terminated without cause or, following a change in control, he (i) terminates his employment for good reason or, (ii) dies. If Mr. Nicolelli dies prior to the end of the performance period and no change in control has occurred, Mr. Nicolelli will become vested in a portion of the outstanding Revenue-Linked PRSUs equal to (x) the number of completed full months during the 3 year performance period up to the date of Mr. Nicolelli’s death divided by (y) 36 multiplied by (z) 100% of Mr. Nicolelli’s Revenue-Linked PRSUs. If Mr. Nicolelli retires with at least 10 years of service and the award has been outstanding for at least 6 months, Mr. Nicolelli will become vested in a portion of the outstanding Revenue-Linked PRSUs equal to (x) the number of years of service completed by</w:t>
      </w:r>
    </w:p>
    <w:p>
      <w:pPr>
        <w:spacing w:after="0" w:line="2" w:lineRule="exact"/>
        <w:rPr>
          <w:rFonts w:ascii="Arial" w:cs="Arial" w:eastAsia="Arial" w:hAnsi="Arial"/>
          <w:sz w:val="15"/>
          <w:szCs w:val="15"/>
          <w:color w:val="auto"/>
        </w:rPr>
      </w:pPr>
    </w:p>
    <w:p>
      <w:pPr>
        <w:ind w:left="1140" w:right="280"/>
        <w:spacing w:after="0" w:line="287" w:lineRule="auto"/>
        <w:rPr>
          <w:rFonts w:ascii="Arial" w:cs="Arial" w:eastAsia="Arial" w:hAnsi="Arial"/>
          <w:sz w:val="15"/>
          <w:szCs w:val="15"/>
          <w:color w:val="auto"/>
        </w:rPr>
      </w:pPr>
      <w:r>
        <w:rPr>
          <w:rFonts w:ascii="Arial" w:cs="Arial" w:eastAsia="Arial" w:hAnsi="Arial"/>
          <w:sz w:val="16"/>
          <w:szCs w:val="16"/>
          <w:color w:val="auto"/>
        </w:rPr>
        <w:t>Mr. Nicolelli from the grant date (rounding up to the closest whole number) divided by (y) 3 multiplied by (z) the number of Revenue-Linked PRSUs earned based on actual performance. If Mr. Nicolelli retires with at least 5 years of service but less than 10, the number of vested Revenue-Linked PRSUs will be calculated as described in the preceding sentence and then reduced by 50%.</w:t>
      </w:r>
    </w:p>
    <w:p>
      <w:pPr>
        <w:spacing w:after="0" w:line="63" w:lineRule="exact"/>
        <w:rPr>
          <w:rFonts w:ascii="Arial" w:cs="Arial" w:eastAsia="Arial" w:hAnsi="Arial"/>
          <w:sz w:val="15"/>
          <w:szCs w:val="15"/>
          <w:color w:val="auto"/>
        </w:rPr>
      </w:pPr>
    </w:p>
    <w:p>
      <w:pPr>
        <w:ind w:left="1140" w:right="20" w:hanging="407"/>
        <w:spacing w:after="0" w:line="275"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Relative TSR-Linked PRSUs: </w:t>
      </w:r>
      <w:r>
        <w:rPr>
          <w:rFonts w:ascii="Arial" w:cs="Arial" w:eastAsia="Arial" w:hAnsi="Arial"/>
          <w:sz w:val="16"/>
          <w:szCs w:val="16"/>
          <w:color w:val="auto"/>
        </w:rPr>
        <w:t>If a change in control occurs on or prior to the first anniversary of the grant date, 100% of Mr. Nicolelli’s</w:t>
      </w:r>
      <w:r>
        <w:rPr>
          <w:rFonts w:ascii="Arial" w:cs="Arial" w:eastAsia="Arial" w:hAnsi="Arial"/>
          <w:sz w:val="16"/>
          <w:szCs w:val="16"/>
          <w:b w:val="1"/>
          <w:bCs w:val="1"/>
          <w:color w:val="auto"/>
        </w:rPr>
        <w:t xml:space="preserve"> </w:t>
      </w:r>
      <w:r>
        <w:rPr>
          <w:rFonts w:ascii="Arial" w:cs="Arial" w:eastAsia="Arial" w:hAnsi="Arial"/>
          <w:sz w:val="16"/>
          <w:szCs w:val="16"/>
          <w:color w:val="auto"/>
        </w:rPr>
        <w:t>Relative TSR-Linked PRSUs will be deemed earned. If a change in control occurs after the first anniversary of the grant date, the performance period will be deemed to end on the date of the change in control and the Compensation and Talent Management Committee will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Nicolelli’s outstanding, earned TSR-Linked PRSUs will become fully vested if, following or in specific contemplation of a change in control, he is terminated without cause or, following a change in control, he (i) voluntarily terminates his employment for good reason or, (ii) dies. If Mr. Nicolelli dies prior to the end of the performance period and no change in control has occurred, Mr. Nicolelli will become vested in a portion of the outstanding Relative TSR-Linked PRSUs equal to (x) the number of completed full months during the 3 year performance period up to the date of Mr. Nicolelli’s death divided by (y) 36 multiplied by (z) 100% of Mr. Nicolelli’s Relative TSR-Linked PRSUs. If Mr. Nicolelli retires with at least 10 years of service and the award has been outstanding for at least 6 months, Mr. Nicolelli will become vested in a portion of the outstanding Relative TSR-Linked PRSUs equal to (x) the number of years of service completed by Mr. Nicolelli from the grant date (rounding up to the closest whole number) divided by (y) 3 multiplied by (z) the number of Relative TSR-Linked PRSUs earned based on actual performance. If Mr. Nicolelli retires with at least 5 years of service but less than 10, the number of vested Relative TSR-Linked PRSUs will be calculated as described in the preceding sentence and then reduced by 50%.</w:t>
      </w:r>
    </w:p>
    <w:p>
      <w:pPr>
        <w:spacing w:after="0" w:line="74" w:lineRule="exact"/>
        <w:rPr>
          <w:rFonts w:ascii="Arial" w:cs="Arial" w:eastAsia="Arial" w:hAnsi="Arial"/>
          <w:sz w:val="16"/>
          <w:szCs w:val="16"/>
          <w:color w:val="auto"/>
        </w:rPr>
      </w:pPr>
    </w:p>
    <w:p>
      <w:pPr>
        <w:ind w:left="1140" w:right="220" w:hanging="407"/>
        <w:spacing w:after="0" w:line="293" w:lineRule="auto"/>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Share Matching Program Awards: </w:t>
      </w:r>
      <w:r>
        <w:rPr>
          <w:rFonts w:ascii="Arial" w:cs="Arial" w:eastAsia="Arial" w:hAnsi="Arial"/>
          <w:sz w:val="17"/>
          <w:szCs w:val="17"/>
          <w:color w:val="auto"/>
        </w:rPr>
        <w:t>In addition, all of Mr. Nicolelli’s outstanding SMP RSUs will become fully vested if, following or in</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contemplation of a change in control, he is terminated without cause or, following a change in</w:t>
      </w:r>
    </w:p>
    <w:p>
      <w:pPr>
        <w:spacing w:after="0" w:line="212" w:lineRule="exact"/>
        <w:rPr>
          <w:sz w:val="20"/>
          <w:szCs w:val="20"/>
          <w:color w:val="auto"/>
        </w:rPr>
      </w:pPr>
    </w:p>
    <w:p>
      <w:pPr>
        <w:ind w:left="8160"/>
        <w:spacing w:after="0"/>
        <w:tabs>
          <w:tab w:leader="none" w:pos="10160" w:val="left"/>
          <w:tab w:leader="none" w:pos="105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6"/>
          <w:szCs w:val="16"/>
          <w:b w:val="1"/>
          <w:bCs w:val="1"/>
          <w:color w:val="auto"/>
        </w:rPr>
        <w:t>99</w:t>
      </w:r>
    </w:p>
    <w:p>
      <w:pPr>
        <w:sectPr>
          <w:pgSz w:w="11900" w:h="16838" w:orient="portrait"/>
          <w:cols w:equalWidth="0" w:num="1">
            <w:col w:w="10940"/>
          </w:cols>
          <w:pgMar w:left="320" w:top="473" w:right="6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1160" w:right="500"/>
        <w:spacing w:after="0" w:line="286" w:lineRule="auto"/>
        <w:rPr>
          <w:sz w:val="20"/>
          <w:szCs w:val="20"/>
          <w:color w:val="auto"/>
        </w:rPr>
      </w:pPr>
      <w:r>
        <w:rPr>
          <w:rFonts w:ascii="Arial" w:cs="Arial" w:eastAsia="Arial" w:hAnsi="Arial"/>
          <w:sz w:val="17"/>
          <w:szCs w:val="17"/>
          <w:color w:val="auto"/>
        </w:rPr>
        <w:t>control, he terminates his employment for good reason. If Mr. Nicolelli dies before the end of the vesting period, all of Mr. Nicolelli’s outstanding SMP RSUs will become fully vested.</w:t>
      </w:r>
    </w:p>
    <w:p>
      <w:pPr>
        <w:spacing w:after="0" w:line="159" w:lineRule="exact"/>
        <w:rPr>
          <w:sz w:val="20"/>
          <w:szCs w:val="20"/>
          <w:color w:val="auto"/>
        </w:rPr>
      </w:pPr>
    </w:p>
    <w:p>
      <w:pPr>
        <w:ind w:left="320" w:right="120"/>
        <w:spacing w:after="0" w:line="270" w:lineRule="auto"/>
        <w:rPr>
          <w:sz w:val="20"/>
          <w:szCs w:val="20"/>
          <w:color w:val="auto"/>
        </w:rPr>
      </w:pPr>
      <w:r>
        <w:rPr>
          <w:rFonts w:ascii="Arial" w:cs="Arial" w:eastAsia="Arial" w:hAnsi="Arial"/>
          <w:sz w:val="17"/>
          <w:szCs w:val="17"/>
          <w:color w:val="auto"/>
        </w:rPr>
        <w:t>Mr. Nicolelli’s severance payments and termination-related equity acceleration are subject to his execution of a waiver and release of claims against us. Mr. Nicolelli is subject to confidentiality restrictions at all times, as well as noncompetition and nonsolicitation restrictions for two years following termination of his employment.</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Indicative Payouts for Maurizio Nicolelli</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without cause or</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following change</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in control or</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termination</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Termination for</w:t>
            </w:r>
          </w:p>
        </w:tc>
        <w:tc>
          <w:tcPr>
            <w:tcW w:w="15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without cause in</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Death prior to a</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Death after a</w:t>
            </w:r>
          </w:p>
        </w:tc>
        <w:tc>
          <w:tcPr>
            <w:tcW w:w="154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specific</w:t>
            </w:r>
          </w:p>
        </w:tc>
        <w:tc>
          <w:tcPr>
            <w:tcW w:w="0" w:type="dxa"/>
            <w:vAlign w:val="bottom"/>
          </w:tcPr>
          <w:p>
            <w:pPr>
              <w:spacing w:after="0"/>
              <w:rPr>
                <w:sz w:val="1"/>
                <w:szCs w:val="1"/>
                <w:color w:val="auto"/>
              </w:rPr>
            </w:pPr>
          </w:p>
        </w:tc>
      </w:tr>
      <w:tr>
        <w:trPr>
          <w:trHeight w:val="143"/>
        </w:trPr>
        <w:tc>
          <w:tcPr>
            <w:tcW w:w="3120" w:type="dxa"/>
            <w:vAlign w:val="bottom"/>
            <w:vMerge w:val="restart"/>
          </w:tcPr>
          <w:p>
            <w:pPr>
              <w:ind w:left="40"/>
              <w:spacing w:after="0"/>
              <w:rPr>
                <w:sz w:val="20"/>
                <w:szCs w:val="20"/>
                <w:color w:val="auto"/>
              </w:rPr>
            </w:pPr>
            <w:r>
              <w:rPr>
                <w:rFonts w:ascii="Arial" w:cs="Arial" w:eastAsia="Arial" w:hAnsi="Arial"/>
                <w:sz w:val="14"/>
                <w:szCs w:val="14"/>
                <w:b w:val="1"/>
                <w:bCs w:val="1"/>
                <w:color w:val="FB4E0B"/>
              </w:rPr>
              <w:t>Payments upon</w:t>
            </w:r>
          </w:p>
        </w:tc>
        <w:tc>
          <w:tcPr>
            <w:tcW w:w="148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5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good reason or</w:t>
            </w:r>
          </w:p>
        </w:tc>
        <w:tc>
          <w:tcPr>
            <w:tcW w:w="1500" w:type="dxa"/>
            <w:vAlign w:val="bottom"/>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contemplation of</w:t>
            </w:r>
          </w:p>
        </w:tc>
        <w:tc>
          <w:tcPr>
            <w:tcW w:w="0" w:type="dxa"/>
            <w:vAlign w:val="bottom"/>
          </w:tcPr>
          <w:p>
            <w:pPr>
              <w:spacing w:after="0"/>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5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5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without cause</w:t>
            </w:r>
          </w:p>
        </w:tc>
        <w:tc>
          <w:tcPr>
            <w:tcW w:w="15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control</w:t>
            </w: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0" w:type="dxa"/>
            <w:vAlign w:val="bottom"/>
          </w:tcPr>
          <w:p>
            <w:pPr>
              <w:spacing w:after="0"/>
              <w:rPr>
                <w:sz w:val="1"/>
                <w:szCs w:val="1"/>
                <w:color w:val="auto"/>
              </w:rPr>
            </w:pPr>
          </w:p>
        </w:tc>
      </w:tr>
      <w:tr>
        <w:trPr>
          <w:trHeight w:val="180"/>
        </w:trPr>
        <w:tc>
          <w:tcPr>
            <w:tcW w:w="3120" w:type="dxa"/>
            <w:vAlign w:val="bottom"/>
          </w:tcPr>
          <w:p>
            <w:pPr>
              <w:ind w:left="40"/>
              <w:spacing w:after="0"/>
              <w:rPr>
                <w:sz w:val="20"/>
                <w:szCs w:val="20"/>
                <w:color w:val="auto"/>
              </w:rPr>
            </w:pPr>
            <w:r>
              <w:rPr>
                <w:rFonts w:ascii="Arial" w:cs="Arial" w:eastAsia="Arial" w:hAnsi="Arial"/>
                <w:sz w:val="14"/>
                <w:szCs w:val="14"/>
                <w:b w:val="1"/>
                <w:bCs w:val="1"/>
                <w:color w:val="FB4E0B"/>
              </w:rPr>
              <w:t>termination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70"/>
        </w:trPr>
        <w:tc>
          <w:tcPr>
            <w:tcW w:w="3120" w:type="dxa"/>
            <w:vAlign w:val="bottom"/>
            <w:tcBorders>
              <w:bottom w:val="single" w:sz="8" w:color="FB4E0B"/>
            </w:tcBorders>
          </w:tcPr>
          <w:p>
            <w:pPr>
              <w:spacing w:after="0"/>
              <w:rPr>
                <w:sz w:val="6"/>
                <w:szCs w:val="6"/>
                <w:color w:val="auto"/>
              </w:rPr>
            </w:pPr>
          </w:p>
        </w:tc>
        <w:tc>
          <w:tcPr>
            <w:tcW w:w="1480" w:type="dxa"/>
            <w:vAlign w:val="bottom"/>
            <w:tcBorders>
              <w:bottom w:val="single" w:sz="8" w:color="FB4E0B"/>
            </w:tcBorders>
          </w:tcPr>
          <w:p>
            <w:pPr>
              <w:spacing w:after="0"/>
              <w:rPr>
                <w:sz w:val="6"/>
                <w:szCs w:val="6"/>
                <w:color w:val="auto"/>
              </w:rPr>
            </w:pPr>
          </w:p>
        </w:tc>
        <w:tc>
          <w:tcPr>
            <w:tcW w:w="1500" w:type="dxa"/>
            <w:vAlign w:val="bottom"/>
            <w:tcBorders>
              <w:bottom w:val="single" w:sz="8" w:color="FB4E0B"/>
            </w:tcBorders>
          </w:tcPr>
          <w:p>
            <w:pPr>
              <w:spacing w:after="0"/>
              <w:rPr>
                <w:sz w:val="6"/>
                <w:szCs w:val="6"/>
                <w:color w:val="auto"/>
              </w:rPr>
            </w:pPr>
          </w:p>
        </w:tc>
        <w:tc>
          <w:tcPr>
            <w:tcW w:w="1540" w:type="dxa"/>
            <w:vAlign w:val="bottom"/>
            <w:tcBorders>
              <w:bottom w:val="single" w:sz="8" w:color="FB4E0B"/>
            </w:tcBorders>
          </w:tcPr>
          <w:p>
            <w:pPr>
              <w:spacing w:after="0"/>
              <w:rPr>
                <w:sz w:val="6"/>
                <w:szCs w:val="6"/>
                <w:color w:val="auto"/>
              </w:rPr>
            </w:pPr>
          </w:p>
        </w:tc>
        <w:tc>
          <w:tcPr>
            <w:tcW w:w="1500" w:type="dxa"/>
            <w:vAlign w:val="bottom"/>
            <w:tcBorders>
              <w:bottom w:val="single" w:sz="8" w:color="FB4E0B"/>
            </w:tcBorders>
          </w:tcPr>
          <w:p>
            <w:pPr>
              <w:spacing w:after="0"/>
              <w:rPr>
                <w:sz w:val="6"/>
                <w:szCs w:val="6"/>
                <w:color w:val="auto"/>
              </w:rPr>
            </w:pPr>
          </w:p>
        </w:tc>
        <w:tc>
          <w:tcPr>
            <w:tcW w:w="1480" w:type="dxa"/>
            <w:vAlign w:val="bottom"/>
            <w:tcBorders>
              <w:bottom w:val="single" w:sz="8" w:color="FB4E0B"/>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Base salary payout</w:t>
            </w:r>
          </w:p>
        </w:tc>
        <w:tc>
          <w:tcPr>
            <w:tcW w:w="14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510,000</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510,000</w:t>
            </w:r>
          </w:p>
        </w:tc>
        <w:tc>
          <w:tcPr>
            <w:tcW w:w="0" w:type="dxa"/>
            <w:vAlign w:val="bottom"/>
          </w:tcPr>
          <w:p>
            <w:pPr>
              <w:spacing w:after="0"/>
              <w:rPr>
                <w:sz w:val="1"/>
                <w:szCs w:val="1"/>
                <w:color w:val="auto"/>
              </w:rPr>
            </w:pPr>
          </w:p>
        </w:tc>
      </w:tr>
      <w:tr>
        <w:trPr>
          <w:trHeight w:val="51"/>
        </w:trPr>
        <w:tc>
          <w:tcPr>
            <w:tcW w:w="3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Restricted stock units</w:t>
            </w:r>
          </w:p>
        </w:tc>
        <w:tc>
          <w:tcPr>
            <w:tcW w:w="14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4,490,573</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4,490,573</w:t>
            </w:r>
          </w:p>
        </w:tc>
        <w:tc>
          <w:tcPr>
            <w:tcW w:w="154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892,345</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4,490,573</w:t>
            </w:r>
          </w:p>
        </w:tc>
        <w:tc>
          <w:tcPr>
            <w:tcW w:w="0" w:type="dxa"/>
            <w:vAlign w:val="bottom"/>
          </w:tcPr>
          <w:p>
            <w:pPr>
              <w:spacing w:after="0"/>
              <w:rPr>
                <w:sz w:val="1"/>
                <w:szCs w:val="1"/>
                <w:color w:val="auto"/>
              </w:rPr>
            </w:pPr>
          </w:p>
        </w:tc>
      </w:tr>
      <w:tr>
        <w:trPr>
          <w:trHeight w:val="51"/>
        </w:trPr>
        <w:tc>
          <w:tcPr>
            <w:tcW w:w="312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Performance restricted stock units</w:t>
            </w:r>
          </w:p>
        </w:tc>
        <w:tc>
          <w:tcPr>
            <w:tcW w:w="14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1,110,676</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3,332,010</w:t>
            </w:r>
          </w:p>
        </w:tc>
        <w:tc>
          <w:tcPr>
            <w:tcW w:w="154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3,003,010</w:t>
            </w:r>
          </w:p>
        </w:tc>
        <w:tc>
          <w:tcPr>
            <w:tcW w:w="1480" w:type="dxa"/>
            <w:vAlign w:val="bottom"/>
          </w:tcPr>
          <w:p>
            <w:pPr>
              <w:jc w:val="right"/>
              <w:ind w:right="91"/>
              <w:spacing w:after="0"/>
              <w:rPr>
                <w:sz w:val="20"/>
                <w:szCs w:val="20"/>
                <w:color w:val="auto"/>
              </w:rPr>
            </w:pPr>
            <w:r>
              <w:rPr>
                <w:rFonts w:ascii="Arial" w:cs="Arial" w:eastAsia="Arial" w:hAnsi="Arial"/>
                <w:sz w:val="14"/>
                <w:szCs w:val="14"/>
                <w:color w:val="auto"/>
              </w:rPr>
              <w:t>3,332,010</w:t>
            </w:r>
          </w:p>
        </w:tc>
        <w:tc>
          <w:tcPr>
            <w:tcW w:w="0" w:type="dxa"/>
            <w:vAlign w:val="bottom"/>
          </w:tcPr>
          <w:p>
            <w:pPr>
              <w:spacing w:after="0"/>
              <w:rPr>
                <w:sz w:val="1"/>
                <w:szCs w:val="1"/>
                <w:color w:val="auto"/>
              </w:rPr>
            </w:pPr>
          </w:p>
        </w:tc>
      </w:tr>
      <w:tr>
        <w:trPr>
          <w:trHeight w:val="26"/>
        </w:trPr>
        <w:tc>
          <w:tcPr>
            <w:tcW w:w="3120" w:type="dxa"/>
            <w:vAlign w:val="bottom"/>
            <w:tcBorders>
              <w:right w:val="single" w:sz="8" w:color="FB4E0B"/>
            </w:tcBorders>
            <w:shd w:val="clear" w:color="auto" w:fill="FB4E0B"/>
          </w:tcPr>
          <w:p>
            <w:pPr>
              <w:spacing w:after="0"/>
              <w:rPr>
                <w:sz w:val="2"/>
                <w:szCs w:val="2"/>
                <w:color w:val="auto"/>
              </w:rPr>
            </w:pPr>
          </w:p>
        </w:tc>
        <w:tc>
          <w:tcPr>
            <w:tcW w:w="1480" w:type="dxa"/>
            <w:vAlign w:val="bottom"/>
            <w:tcBorders>
              <w:right w:val="single" w:sz="8" w:color="FB4E0B"/>
            </w:tcBorders>
            <w:shd w:val="clear" w:color="auto" w:fill="FB4E0B"/>
          </w:tcPr>
          <w:p>
            <w:pPr>
              <w:spacing w:after="0"/>
              <w:rPr>
                <w:sz w:val="2"/>
                <w:szCs w:val="2"/>
                <w:color w:val="auto"/>
              </w:rPr>
            </w:pPr>
          </w:p>
        </w:tc>
        <w:tc>
          <w:tcPr>
            <w:tcW w:w="1500" w:type="dxa"/>
            <w:vAlign w:val="bottom"/>
            <w:tcBorders>
              <w:right w:val="single" w:sz="8" w:color="FB4E0B"/>
            </w:tcBorders>
            <w:shd w:val="clear" w:color="auto" w:fill="FB4E0B"/>
          </w:tcPr>
          <w:p>
            <w:pPr>
              <w:spacing w:after="0"/>
              <w:rPr>
                <w:sz w:val="2"/>
                <w:szCs w:val="2"/>
                <w:color w:val="auto"/>
              </w:rPr>
            </w:pPr>
          </w:p>
        </w:tc>
        <w:tc>
          <w:tcPr>
            <w:tcW w:w="1540" w:type="dxa"/>
            <w:vAlign w:val="bottom"/>
            <w:tcBorders>
              <w:right w:val="single" w:sz="8" w:color="FB4E0B"/>
            </w:tcBorders>
            <w:shd w:val="clear" w:color="auto" w:fill="FB4E0B"/>
          </w:tcPr>
          <w:p>
            <w:pPr>
              <w:spacing w:after="0"/>
              <w:rPr>
                <w:sz w:val="2"/>
                <w:szCs w:val="2"/>
                <w:color w:val="auto"/>
              </w:rPr>
            </w:pPr>
          </w:p>
        </w:tc>
        <w:tc>
          <w:tcPr>
            <w:tcW w:w="1500" w:type="dxa"/>
            <w:vAlign w:val="bottom"/>
            <w:tcBorders>
              <w:right w:val="single" w:sz="8" w:color="FB4E0B"/>
            </w:tcBorders>
            <w:shd w:val="clear" w:color="auto" w:fill="FB4E0B"/>
          </w:tcPr>
          <w:p>
            <w:pPr>
              <w:spacing w:after="0"/>
              <w:rPr>
                <w:sz w:val="2"/>
                <w:szCs w:val="2"/>
                <w:color w:val="auto"/>
              </w:rPr>
            </w:pPr>
          </w:p>
        </w:tc>
        <w:tc>
          <w:tcPr>
            <w:tcW w:w="1480" w:type="dxa"/>
            <w:vAlign w:val="bottom"/>
            <w:shd w:val="clear" w:color="auto" w:fill="FB4E0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Vikas Bhalla</w:t>
      </w:r>
    </w:p>
    <w:p>
      <w:pPr>
        <w:spacing w:after="0" w:line="247"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Either Mr. Bhalla or we may terminate Mr. Bhalla’s employment at any time (though we must give Mr. Bhalla 30 days’ notice if the termination is without “cause” and Mr. Bhalla must give us 90 days’ advance notice upon his resignation). If Mr. Bhalla’s employment with the Company is terminated by the Company without “cause” (other than due to death or disability) or by Mr. Bhalla for “good reason” (both “cause” and “good reason” as defined below), Mr. Bhalla will receive a cash severance payment equal to 12 months’ annual fixed compensation, with 25% payable as a lump sum payment and the remaining 75% payable in accordance with the Company’s regular payroll practices.</w:t>
      </w:r>
    </w:p>
    <w:p>
      <w:pPr>
        <w:spacing w:after="0" w:line="178" w:lineRule="exact"/>
        <w:rPr>
          <w:sz w:val="20"/>
          <w:szCs w:val="20"/>
          <w:color w:val="auto"/>
        </w:rPr>
      </w:pPr>
    </w:p>
    <w:p>
      <w:pPr>
        <w:ind w:left="320" w:right="260"/>
        <w:spacing w:after="0" w:line="270" w:lineRule="auto"/>
        <w:rPr>
          <w:sz w:val="20"/>
          <w:szCs w:val="20"/>
          <w:color w:val="auto"/>
        </w:rPr>
      </w:pPr>
      <w:r>
        <w:rPr>
          <w:rFonts w:ascii="Arial" w:cs="Arial" w:eastAsia="Arial" w:hAnsi="Arial"/>
          <w:sz w:val="17"/>
          <w:szCs w:val="17"/>
          <w:color w:val="auto"/>
        </w:rPr>
        <w:t>On a “change in control” (as defined in the 2018 Plan) or death, Mr. Bhalla’s outstanding equity awards will vest in the same manner as described for Mr. Nicolelli’s outstanding equity awards beginning on page 98, except that his restricted stock units granted in September 2021 will not vest if he terminates his employment for good reason following a change in control.</w:t>
      </w:r>
    </w:p>
    <w:p>
      <w:pPr>
        <w:spacing w:after="0" w:line="173" w:lineRule="exact"/>
        <w:rPr>
          <w:sz w:val="20"/>
          <w:szCs w:val="20"/>
          <w:color w:val="auto"/>
        </w:rPr>
      </w:pPr>
    </w:p>
    <w:p>
      <w:pPr>
        <w:ind w:left="320" w:right="280"/>
        <w:spacing w:after="0" w:line="270" w:lineRule="auto"/>
        <w:rPr>
          <w:sz w:val="20"/>
          <w:szCs w:val="20"/>
          <w:color w:val="auto"/>
        </w:rPr>
      </w:pPr>
      <w:r>
        <w:rPr>
          <w:rFonts w:ascii="Arial" w:cs="Arial" w:eastAsia="Arial" w:hAnsi="Arial"/>
          <w:sz w:val="17"/>
          <w:szCs w:val="17"/>
          <w:color w:val="auto"/>
        </w:rPr>
        <w:t>Mr. Bhalla’s severance payments and termination-related equity acceleration are subject to his execution of a waiver and release of claims against us. Mr. Bhalla is subject to confidentiality restrictions at all times, as well as noncompetition and nonsolicitation restrictions for one year following termination of his employment.</w:t>
      </w:r>
    </w:p>
    <w:p>
      <w:pPr>
        <w:spacing w:after="0" w:line="88"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100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Indicative payouts for Vikas Bhalla</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8"/>
              </w:rPr>
              <w:t>without cause or for</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3"/>
              </w:rPr>
              <w:t>good reason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7"/>
              </w:rPr>
              <w:t>following change in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control or termination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1"/>
              </w:rPr>
              <w:t>Termination for</w:t>
            </w: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without cause in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specific</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60"/>
              <w:spacing w:after="0"/>
              <w:rPr>
                <w:sz w:val="20"/>
                <w:szCs w:val="20"/>
                <w:color w:val="auto"/>
              </w:rPr>
            </w:pPr>
            <w:r>
              <w:rPr>
                <w:rFonts w:ascii="Arial" w:cs="Arial" w:eastAsia="Arial" w:hAnsi="Arial"/>
                <w:sz w:val="14"/>
                <w:szCs w:val="14"/>
                <w:b w:val="1"/>
                <w:bCs w:val="1"/>
                <w:color w:val="FB4E0B"/>
              </w:rPr>
              <w:t>Payments upon</w:t>
            </w:r>
          </w:p>
        </w:tc>
        <w:tc>
          <w:tcPr>
            <w:tcW w:w="1600" w:type="dxa"/>
            <w:vAlign w:val="bottom"/>
          </w:tcPr>
          <w:p>
            <w:pPr>
              <w:jc w:val="center"/>
              <w:ind w:right="31"/>
              <w:spacing w:after="0" w:line="153" w:lineRule="exact"/>
              <w:rPr>
                <w:sz w:val="20"/>
                <w:szCs w:val="20"/>
                <w:color w:val="auto"/>
              </w:rPr>
            </w:pPr>
            <w:r>
              <w:rPr>
                <w:rFonts w:ascii="Arial" w:cs="Arial" w:eastAsia="Arial" w:hAnsi="Arial"/>
                <w:sz w:val="14"/>
                <w:szCs w:val="14"/>
                <w:b w:val="1"/>
                <w:bCs w:val="1"/>
                <w:color w:val="auto"/>
                <w:w w:val="90"/>
              </w:rPr>
              <w:t>Death prior to a</w:t>
            </w:r>
          </w:p>
        </w:tc>
        <w:tc>
          <w:tcPr>
            <w:tcW w:w="1600" w:type="dxa"/>
            <w:vAlign w:val="bottom"/>
          </w:tcPr>
          <w:p>
            <w:pPr>
              <w:jc w:val="center"/>
              <w:ind w:right="31"/>
              <w:spacing w:after="0" w:line="153" w:lineRule="exact"/>
              <w:rPr>
                <w:sz w:val="20"/>
                <w:szCs w:val="20"/>
                <w:color w:val="auto"/>
              </w:rPr>
            </w:pPr>
            <w:r>
              <w:rPr>
                <w:rFonts w:ascii="Arial" w:cs="Arial" w:eastAsia="Arial" w:hAnsi="Arial"/>
                <w:sz w:val="14"/>
                <w:szCs w:val="14"/>
                <w:b w:val="1"/>
                <w:bCs w:val="1"/>
                <w:color w:val="auto"/>
                <w:w w:val="91"/>
              </w:rPr>
              <w:t>Death after a</w:t>
            </w:r>
          </w:p>
        </w:tc>
        <w:tc>
          <w:tcPr>
            <w:tcW w:w="1640" w:type="dxa"/>
            <w:vAlign w:val="bottom"/>
          </w:tcPr>
          <w:p>
            <w:pPr>
              <w:jc w:val="center"/>
              <w:ind w:right="51"/>
              <w:spacing w:after="0" w:line="153" w:lineRule="exact"/>
              <w:rPr>
                <w:sz w:val="20"/>
                <w:szCs w:val="20"/>
                <w:color w:val="auto"/>
              </w:rPr>
            </w:pPr>
            <w:r>
              <w:rPr>
                <w:rFonts w:ascii="Arial" w:cs="Arial" w:eastAsia="Arial" w:hAnsi="Arial"/>
                <w:sz w:val="14"/>
                <w:szCs w:val="14"/>
                <w:b w:val="1"/>
                <w:bCs w:val="1"/>
                <w:color w:val="auto"/>
                <w:w w:val="86"/>
              </w:rPr>
              <w:t>good reason or</w:t>
            </w:r>
          </w:p>
        </w:tc>
        <w:tc>
          <w:tcPr>
            <w:tcW w:w="1600" w:type="dxa"/>
            <w:vAlign w:val="bottom"/>
          </w:tcPr>
          <w:p>
            <w:pPr>
              <w:jc w:val="center"/>
              <w:ind w:right="11"/>
              <w:spacing w:after="0" w:line="153" w:lineRule="exact"/>
              <w:rPr>
                <w:sz w:val="20"/>
                <w:szCs w:val="20"/>
                <w:color w:val="auto"/>
              </w:rPr>
            </w:pPr>
            <w:r>
              <w:rPr>
                <w:rFonts w:ascii="Arial" w:cs="Arial" w:eastAsia="Arial" w:hAnsi="Arial"/>
                <w:sz w:val="14"/>
                <w:szCs w:val="14"/>
                <w:b w:val="1"/>
                <w:bCs w:val="1"/>
                <w:color w:val="auto"/>
                <w:w w:val="88"/>
              </w:rPr>
              <w:t>Change in</w:t>
            </w:r>
          </w:p>
        </w:tc>
        <w:tc>
          <w:tcPr>
            <w:tcW w:w="1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contemplation of</w:t>
            </w:r>
          </w:p>
        </w:tc>
        <w:tc>
          <w:tcPr>
            <w:tcW w:w="0" w:type="dxa"/>
            <w:vAlign w:val="bottom"/>
          </w:tcPr>
          <w:p>
            <w:pPr>
              <w:spacing w:after="0"/>
              <w:rPr>
                <w:sz w:val="1"/>
                <w:szCs w:val="1"/>
                <w:color w:val="auto"/>
              </w:rPr>
            </w:pPr>
          </w:p>
        </w:tc>
      </w:tr>
      <w:tr>
        <w:trPr>
          <w:trHeight w:val="143"/>
        </w:trPr>
        <w:tc>
          <w:tcPr>
            <w:tcW w:w="2560" w:type="dxa"/>
            <w:vAlign w:val="bottom"/>
            <w:vMerge w:val="continue"/>
          </w:tcPr>
          <w:p>
            <w:pPr>
              <w:spacing w:after="0"/>
              <w:rPr>
                <w:sz w:val="12"/>
                <w:szCs w:val="12"/>
                <w:color w:val="auto"/>
              </w:rPr>
            </w:pP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64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without cause</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8"/>
              </w:rPr>
              <w:t>control</w:t>
            </w: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0" w:type="dxa"/>
            <w:vAlign w:val="bottom"/>
          </w:tcPr>
          <w:p>
            <w:pPr>
              <w:spacing w:after="0"/>
              <w:rPr>
                <w:sz w:val="1"/>
                <w:szCs w:val="1"/>
                <w:color w:val="auto"/>
              </w:rPr>
            </w:pPr>
          </w:p>
        </w:tc>
      </w:tr>
      <w:tr>
        <w:trPr>
          <w:trHeight w:val="183"/>
        </w:trPr>
        <w:tc>
          <w:tcPr>
            <w:tcW w:w="2560" w:type="dxa"/>
            <w:vAlign w:val="bottom"/>
          </w:tcPr>
          <w:p>
            <w:pPr>
              <w:ind w:left="60"/>
              <w:spacing w:after="0"/>
              <w:rPr>
                <w:sz w:val="20"/>
                <w:szCs w:val="20"/>
                <w:color w:val="auto"/>
              </w:rPr>
            </w:pPr>
            <w:r>
              <w:rPr>
                <w:rFonts w:ascii="Arial" w:cs="Arial" w:eastAsia="Arial" w:hAnsi="Arial"/>
                <w:sz w:val="14"/>
                <w:szCs w:val="14"/>
                <w:b w:val="1"/>
                <w:bCs w:val="1"/>
                <w:color w:val="FB4E0B"/>
              </w:rPr>
              <w:t>termination</w:t>
            </w:r>
          </w:p>
        </w:tc>
        <w:tc>
          <w:tcPr>
            <w:tcW w:w="160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6"/>
        </w:trPr>
        <w:tc>
          <w:tcPr>
            <w:tcW w:w="2560" w:type="dxa"/>
            <w:vAlign w:val="bottom"/>
            <w:tcBorders>
              <w:bottom w:val="single" w:sz="8" w:color="FB4E0B"/>
            </w:tcBorders>
          </w:tcPr>
          <w:p>
            <w:pPr>
              <w:spacing w:after="0"/>
              <w:rPr>
                <w:sz w:val="8"/>
                <w:szCs w:val="8"/>
                <w:color w:val="auto"/>
              </w:rPr>
            </w:pPr>
          </w:p>
        </w:tc>
        <w:tc>
          <w:tcPr>
            <w:tcW w:w="1600" w:type="dxa"/>
            <w:vAlign w:val="bottom"/>
            <w:tcBorders>
              <w:bottom w:val="single" w:sz="8" w:color="FB4E0B"/>
            </w:tcBorders>
          </w:tcPr>
          <w:p>
            <w:pPr>
              <w:spacing w:after="0"/>
              <w:rPr>
                <w:sz w:val="8"/>
                <w:szCs w:val="8"/>
                <w:color w:val="auto"/>
              </w:rPr>
            </w:pPr>
          </w:p>
        </w:tc>
        <w:tc>
          <w:tcPr>
            <w:tcW w:w="1600" w:type="dxa"/>
            <w:vAlign w:val="bottom"/>
            <w:tcBorders>
              <w:bottom w:val="single" w:sz="8" w:color="FB4E0B"/>
            </w:tcBorders>
          </w:tcPr>
          <w:p>
            <w:pPr>
              <w:spacing w:after="0"/>
              <w:rPr>
                <w:sz w:val="8"/>
                <w:szCs w:val="8"/>
                <w:color w:val="auto"/>
              </w:rPr>
            </w:pPr>
          </w:p>
        </w:tc>
        <w:tc>
          <w:tcPr>
            <w:tcW w:w="1640" w:type="dxa"/>
            <w:vAlign w:val="bottom"/>
            <w:tcBorders>
              <w:bottom w:val="single" w:sz="8" w:color="FB4E0B"/>
            </w:tcBorders>
          </w:tcPr>
          <w:p>
            <w:pPr>
              <w:spacing w:after="0"/>
              <w:rPr>
                <w:sz w:val="8"/>
                <w:szCs w:val="8"/>
                <w:color w:val="auto"/>
              </w:rPr>
            </w:pPr>
          </w:p>
        </w:tc>
        <w:tc>
          <w:tcPr>
            <w:tcW w:w="1600" w:type="dxa"/>
            <w:vAlign w:val="bottom"/>
            <w:tcBorders>
              <w:bottom w:val="single" w:sz="8" w:color="FB4E0B"/>
            </w:tcBorders>
          </w:tcPr>
          <w:p>
            <w:pPr>
              <w:spacing w:after="0"/>
              <w:rPr>
                <w:sz w:val="8"/>
                <w:szCs w:val="8"/>
                <w:color w:val="auto"/>
              </w:rPr>
            </w:pPr>
          </w:p>
        </w:tc>
        <w:tc>
          <w:tcPr>
            <w:tcW w:w="162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337,282</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337,282</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5,433,451</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5,433,451</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1,136,028</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5,433,451</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1,197,423</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3,592,255</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3,223,951</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3,592,255</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10"/>
                <w:szCs w:val="10"/>
                <w:color w:val="auto"/>
              </w:rPr>
              <w:t>(1)</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124,859</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124,859</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124,859</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124,859</w:t>
            </w:r>
          </w:p>
        </w:tc>
        <w:tc>
          <w:tcPr>
            <w:tcW w:w="0" w:type="dxa"/>
            <w:vAlign w:val="bottom"/>
          </w:tcPr>
          <w:p>
            <w:pPr>
              <w:spacing w:after="0"/>
              <w:rPr>
                <w:sz w:val="1"/>
                <w:szCs w:val="1"/>
                <w:color w:val="auto"/>
              </w:rPr>
            </w:pPr>
          </w:p>
        </w:tc>
      </w:tr>
      <w:tr>
        <w:trPr>
          <w:trHeight w:val="96"/>
        </w:trPr>
        <w:tc>
          <w:tcPr>
            <w:tcW w:w="256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4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2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 Represents distributions under the Gratuity Plan, which is due to Mr. Bhalla because he has earned over five years of credited service.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Vivek Jetley</w:t>
      </w:r>
    </w:p>
    <w:p>
      <w:pPr>
        <w:spacing w:after="0" w:line="117" w:lineRule="exact"/>
        <w:rPr>
          <w:sz w:val="20"/>
          <w:szCs w:val="20"/>
          <w:color w:val="auto"/>
        </w:rPr>
      </w:pPr>
    </w:p>
    <w:p>
      <w:pPr>
        <w:ind w:left="320" w:right="40"/>
        <w:spacing w:after="0" w:line="263" w:lineRule="auto"/>
        <w:rPr>
          <w:sz w:val="20"/>
          <w:szCs w:val="20"/>
          <w:color w:val="auto"/>
        </w:rPr>
      </w:pPr>
      <w:r>
        <w:rPr>
          <w:rFonts w:ascii="Arial" w:cs="Arial" w:eastAsia="Arial" w:hAnsi="Arial"/>
          <w:sz w:val="17"/>
          <w:szCs w:val="17"/>
          <w:color w:val="auto"/>
        </w:rPr>
        <w:t>Either Mr. Jetley or we may terminate Mr. Jetley’s employment at any time (though we must give Mr. Jetley 30 days’ notice if the termination is without “cause” and Mr. Jetley must give us 90 days’ advance notice upon his resignation). If Mr. Jetley’s employment with the Company is terminated by the Company without “cause” (other than due to death or disability) or by Mr. Jetley for “good reason” (both “cause” and “good reason” as defined below), Mr. Jetley will receive a cash severance payment equal to 12 months’ base salary, with 25% payable as a lump sum payment and the remaining 75% payable in accordance with the Company’s regular payroll practices.</w:t>
      </w:r>
    </w:p>
    <w:p>
      <w:pPr>
        <w:spacing w:after="0" w:line="178" w:lineRule="exact"/>
        <w:rPr>
          <w:sz w:val="20"/>
          <w:szCs w:val="20"/>
          <w:color w:val="auto"/>
        </w:rPr>
      </w:pPr>
    </w:p>
    <w:p>
      <w:pPr>
        <w:ind w:left="320" w:right="300"/>
        <w:spacing w:after="0" w:line="270" w:lineRule="auto"/>
        <w:rPr>
          <w:sz w:val="20"/>
          <w:szCs w:val="20"/>
          <w:color w:val="auto"/>
        </w:rPr>
      </w:pPr>
      <w:r>
        <w:rPr>
          <w:rFonts w:ascii="Arial" w:cs="Arial" w:eastAsia="Arial" w:hAnsi="Arial"/>
          <w:sz w:val="17"/>
          <w:szCs w:val="17"/>
          <w:color w:val="auto"/>
        </w:rPr>
        <w:t>On a “change in control” (as defined in the 2018 Plan) or death, Mr. Jetley’s outstanding equity awards will vest in the same manner as described for Mr. Nicolelli’s outstanding equity awards beginning on page 98, except that his restricted stock units granted in September 2021 will not vest if he terminates his employment for good reason following a change in control.</w:t>
      </w:r>
    </w:p>
    <w:p>
      <w:pPr>
        <w:spacing w:after="0" w:line="173" w:lineRule="exact"/>
        <w:rPr>
          <w:sz w:val="20"/>
          <w:szCs w:val="20"/>
          <w:color w:val="auto"/>
        </w:rPr>
      </w:pPr>
    </w:p>
    <w:p>
      <w:pPr>
        <w:jc w:val="both"/>
        <w:ind w:left="320" w:right="200"/>
        <w:spacing w:after="0" w:line="270" w:lineRule="auto"/>
        <w:rPr>
          <w:sz w:val="20"/>
          <w:szCs w:val="20"/>
          <w:color w:val="auto"/>
        </w:rPr>
      </w:pPr>
      <w:r>
        <w:rPr>
          <w:rFonts w:ascii="Arial" w:cs="Arial" w:eastAsia="Arial" w:hAnsi="Arial"/>
          <w:sz w:val="17"/>
          <w:szCs w:val="17"/>
          <w:color w:val="auto"/>
        </w:rPr>
        <w:t>Mr. Jetley’s severance payments and termination-related equity acceleration are subject to his execution of a release of claims against us. Mr. Jetley is subject to confidentiality restrictions at all times, as well as noncompetition, nondisparagement and nonsolicitation restrictions during his employment and for one year thereafter.</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Indicative payouts for Vivek Jetley</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8"/>
              </w:rPr>
              <w:t>without cause or for</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3"/>
              </w:rPr>
              <w:t>good reason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following change</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0"/>
              </w:rPr>
              <w:t>in control or</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1"/>
              </w:rPr>
              <w:t>termination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1"/>
              </w:rPr>
              <w:t>Termination for</w:t>
            </w: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without cause in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0"/>
              </w:rPr>
              <w:t>Death prior to a</w:t>
            </w:r>
          </w:p>
        </w:tc>
        <w:tc>
          <w:tcPr>
            <w:tcW w:w="16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1"/>
              </w:rPr>
              <w:t>Death after a</w:t>
            </w:r>
          </w:p>
        </w:tc>
        <w:tc>
          <w:tcPr>
            <w:tcW w:w="1640" w:type="dxa"/>
            <w:vAlign w:val="bottom"/>
            <w:vMerge w:val="continue"/>
          </w:tcPr>
          <w:p>
            <w:pPr>
              <w:spacing w:after="0"/>
              <w:rPr>
                <w:sz w:val="12"/>
                <w:szCs w:val="12"/>
                <w:color w:val="auto"/>
              </w:rPr>
            </w:pPr>
          </w:p>
        </w:tc>
        <w:tc>
          <w:tcPr>
            <w:tcW w:w="16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88"/>
              </w:rPr>
              <w:t>Change in</w:t>
            </w: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specific</w:t>
            </w:r>
          </w:p>
        </w:tc>
        <w:tc>
          <w:tcPr>
            <w:tcW w:w="0" w:type="dxa"/>
            <w:vAlign w:val="bottom"/>
          </w:tcPr>
          <w:p>
            <w:pPr>
              <w:spacing w:after="0"/>
              <w:rPr>
                <w:sz w:val="1"/>
                <w:szCs w:val="1"/>
                <w:color w:val="auto"/>
              </w:rPr>
            </w:pPr>
          </w:p>
        </w:tc>
      </w:tr>
      <w:tr>
        <w:trPr>
          <w:trHeight w:val="143"/>
        </w:trPr>
        <w:tc>
          <w:tcPr>
            <w:tcW w:w="2560" w:type="dxa"/>
            <w:vAlign w:val="bottom"/>
            <w:vMerge w:val="restart"/>
          </w:tcPr>
          <w:p>
            <w:pPr>
              <w:ind w:left="60"/>
              <w:spacing w:after="0"/>
              <w:rPr>
                <w:sz w:val="20"/>
                <w:szCs w:val="20"/>
                <w:color w:val="auto"/>
              </w:rPr>
            </w:pPr>
            <w:r>
              <w:rPr>
                <w:rFonts w:ascii="Arial" w:cs="Arial" w:eastAsia="Arial" w:hAnsi="Arial"/>
                <w:sz w:val="14"/>
                <w:szCs w:val="14"/>
                <w:b w:val="1"/>
                <w:bCs w:val="1"/>
                <w:color w:val="FB4E0B"/>
              </w:rPr>
              <w:t>Payments upon</w:t>
            </w:r>
          </w:p>
        </w:tc>
        <w:tc>
          <w:tcPr>
            <w:tcW w:w="16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640" w:type="dxa"/>
            <w:vAlign w:val="bottom"/>
          </w:tcPr>
          <w:p>
            <w:pPr>
              <w:jc w:val="center"/>
              <w:ind w:right="51"/>
              <w:spacing w:after="0" w:line="143" w:lineRule="exact"/>
              <w:rPr>
                <w:sz w:val="20"/>
                <w:szCs w:val="20"/>
                <w:color w:val="auto"/>
              </w:rPr>
            </w:pPr>
            <w:r>
              <w:rPr>
                <w:rFonts w:ascii="Arial" w:cs="Arial" w:eastAsia="Arial" w:hAnsi="Arial"/>
                <w:sz w:val="14"/>
                <w:szCs w:val="14"/>
                <w:b w:val="1"/>
                <w:bCs w:val="1"/>
                <w:color w:val="auto"/>
                <w:w w:val="86"/>
              </w:rPr>
              <w:t>good reason or</w:t>
            </w:r>
          </w:p>
        </w:tc>
        <w:tc>
          <w:tcPr>
            <w:tcW w:w="1600" w:type="dxa"/>
            <w:vAlign w:val="bottom"/>
            <w:vMerge w:val="continue"/>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contemplation of</w:t>
            </w:r>
          </w:p>
        </w:tc>
        <w:tc>
          <w:tcPr>
            <w:tcW w:w="0" w:type="dxa"/>
            <w:vAlign w:val="bottom"/>
          </w:tcPr>
          <w:p>
            <w:pPr>
              <w:spacing w:after="0"/>
              <w:rPr>
                <w:sz w:val="1"/>
                <w:szCs w:val="1"/>
                <w:color w:val="auto"/>
              </w:rPr>
            </w:pPr>
          </w:p>
        </w:tc>
      </w:tr>
      <w:tr>
        <w:trPr>
          <w:trHeight w:val="143"/>
        </w:trPr>
        <w:tc>
          <w:tcPr>
            <w:tcW w:w="2560" w:type="dxa"/>
            <w:vAlign w:val="bottom"/>
            <w:vMerge w:val="continue"/>
          </w:tcPr>
          <w:p>
            <w:pPr>
              <w:spacing w:after="0"/>
              <w:rPr>
                <w:sz w:val="12"/>
                <w:szCs w:val="12"/>
                <w:color w:val="auto"/>
              </w:rPr>
            </w:pP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64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without cause</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8"/>
              </w:rPr>
              <w:t>control</w:t>
            </w: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0" w:type="dxa"/>
            <w:vAlign w:val="bottom"/>
          </w:tcPr>
          <w:p>
            <w:pPr>
              <w:spacing w:after="0"/>
              <w:rPr>
                <w:sz w:val="1"/>
                <w:szCs w:val="1"/>
                <w:color w:val="auto"/>
              </w:rPr>
            </w:pPr>
          </w:p>
        </w:tc>
      </w:tr>
      <w:tr>
        <w:trPr>
          <w:trHeight w:val="180"/>
        </w:trPr>
        <w:tc>
          <w:tcPr>
            <w:tcW w:w="2560" w:type="dxa"/>
            <w:vAlign w:val="bottom"/>
          </w:tcPr>
          <w:p>
            <w:pPr>
              <w:ind w:left="60"/>
              <w:spacing w:after="0"/>
              <w:rPr>
                <w:sz w:val="20"/>
                <w:szCs w:val="20"/>
                <w:color w:val="auto"/>
              </w:rPr>
            </w:pPr>
            <w:r>
              <w:rPr>
                <w:rFonts w:ascii="Arial" w:cs="Arial" w:eastAsia="Arial" w:hAnsi="Arial"/>
                <w:sz w:val="14"/>
                <w:szCs w:val="14"/>
                <w:b w:val="1"/>
                <w:bCs w:val="1"/>
                <w:color w:val="FB4E0B"/>
              </w:rPr>
              <w:t>termination</w:t>
            </w:r>
          </w:p>
        </w:tc>
        <w:tc>
          <w:tcPr>
            <w:tcW w:w="160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9"/>
        </w:trPr>
        <w:tc>
          <w:tcPr>
            <w:tcW w:w="2560" w:type="dxa"/>
            <w:vAlign w:val="bottom"/>
            <w:tcBorders>
              <w:bottom w:val="single" w:sz="8" w:color="FB4E0B"/>
            </w:tcBorders>
          </w:tcPr>
          <w:p>
            <w:pPr>
              <w:spacing w:after="0"/>
              <w:rPr>
                <w:sz w:val="9"/>
                <w:szCs w:val="9"/>
                <w:color w:val="auto"/>
              </w:rPr>
            </w:pPr>
          </w:p>
        </w:tc>
        <w:tc>
          <w:tcPr>
            <w:tcW w:w="1600" w:type="dxa"/>
            <w:vAlign w:val="bottom"/>
            <w:tcBorders>
              <w:bottom w:val="single" w:sz="8" w:color="FB4E0B"/>
            </w:tcBorders>
          </w:tcPr>
          <w:p>
            <w:pPr>
              <w:spacing w:after="0"/>
              <w:rPr>
                <w:sz w:val="9"/>
                <w:szCs w:val="9"/>
                <w:color w:val="auto"/>
              </w:rPr>
            </w:pPr>
          </w:p>
        </w:tc>
        <w:tc>
          <w:tcPr>
            <w:tcW w:w="1600" w:type="dxa"/>
            <w:vAlign w:val="bottom"/>
            <w:tcBorders>
              <w:bottom w:val="single" w:sz="8" w:color="FB4E0B"/>
            </w:tcBorders>
          </w:tcPr>
          <w:p>
            <w:pPr>
              <w:spacing w:after="0"/>
              <w:rPr>
                <w:sz w:val="9"/>
                <w:szCs w:val="9"/>
                <w:color w:val="auto"/>
              </w:rPr>
            </w:pPr>
          </w:p>
        </w:tc>
        <w:tc>
          <w:tcPr>
            <w:tcW w:w="1640" w:type="dxa"/>
            <w:vAlign w:val="bottom"/>
            <w:tcBorders>
              <w:bottom w:val="single" w:sz="8" w:color="FB4E0B"/>
            </w:tcBorders>
          </w:tcPr>
          <w:p>
            <w:pPr>
              <w:spacing w:after="0"/>
              <w:rPr>
                <w:sz w:val="9"/>
                <w:szCs w:val="9"/>
                <w:color w:val="auto"/>
              </w:rPr>
            </w:pPr>
          </w:p>
        </w:tc>
        <w:tc>
          <w:tcPr>
            <w:tcW w:w="1600" w:type="dxa"/>
            <w:vAlign w:val="bottom"/>
            <w:tcBorders>
              <w:bottom w:val="single" w:sz="8" w:color="FB4E0B"/>
            </w:tcBorders>
          </w:tcPr>
          <w:p>
            <w:pPr>
              <w:spacing w:after="0"/>
              <w:rPr>
                <w:sz w:val="9"/>
                <w:szCs w:val="9"/>
                <w:color w:val="auto"/>
              </w:rPr>
            </w:pPr>
          </w:p>
        </w:tc>
        <w:tc>
          <w:tcPr>
            <w:tcW w:w="162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500,000</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4,705,241</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4,705,241</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730,752</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4,705,241</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1,014,885</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3,044,657</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2,702,443</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3,044,657</w:t>
            </w:r>
          </w:p>
        </w:tc>
        <w:tc>
          <w:tcPr>
            <w:tcW w:w="0" w:type="dxa"/>
            <w:vAlign w:val="bottom"/>
          </w:tcPr>
          <w:p>
            <w:pPr>
              <w:spacing w:after="0"/>
              <w:rPr>
                <w:sz w:val="1"/>
                <w:szCs w:val="1"/>
                <w:color w:val="auto"/>
              </w:rPr>
            </w:pPr>
          </w:p>
        </w:tc>
      </w:tr>
      <w:tr>
        <w:trPr>
          <w:trHeight w:val="96"/>
        </w:trPr>
        <w:tc>
          <w:tcPr>
            <w:tcW w:w="256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4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2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73" w:right="639" w:bottom="1440" w:gutter="0" w:footer="0" w:header="0"/>
        </w:sectPr>
      </w:pPr>
    </w:p>
    <w:p>
      <w:pPr>
        <w:spacing w:after="0" w:line="54"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101</w:t>
      </w:r>
    </w:p>
    <w:p>
      <w:pPr>
        <w:sectPr>
          <w:pgSz w:w="11900" w:h="16838" w:orient="portrait"/>
          <w:cols w:equalWidth="0" w:num="1">
            <w:col w:w="10940"/>
          </w:cols>
          <w:pgMar w:left="320" w:top="473" w:right="6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Ankor Rai</w:t>
      </w:r>
    </w:p>
    <w:p>
      <w:pPr>
        <w:spacing w:after="0" w:line="117" w:lineRule="exact"/>
        <w:rPr>
          <w:sz w:val="20"/>
          <w:szCs w:val="20"/>
          <w:color w:val="auto"/>
        </w:rPr>
      </w:pPr>
    </w:p>
    <w:p>
      <w:pPr>
        <w:ind w:left="320" w:right="260"/>
        <w:spacing w:after="0" w:line="263" w:lineRule="auto"/>
        <w:rPr>
          <w:sz w:val="20"/>
          <w:szCs w:val="20"/>
          <w:color w:val="auto"/>
        </w:rPr>
      </w:pPr>
      <w:r>
        <w:rPr>
          <w:rFonts w:ascii="Arial" w:cs="Arial" w:eastAsia="Arial" w:hAnsi="Arial"/>
          <w:sz w:val="17"/>
          <w:szCs w:val="17"/>
          <w:color w:val="auto"/>
        </w:rPr>
        <w:t>Either Mr. Rai or we may terminate Mr. Rai’s employment at any time (though we must give Mr. Rai 30 days’ notice if the termination is without “cause” and Mr. Rai must give us 90 days’ advance notice upon any resignation). If Mr. Rai’s employment with the Company is terminated by the Company without “cause” (other than due to death or disability) or by Mr. Rai for “good reason” (both “cause” and “good reason” as defined below), Mr. Rai will receive a cash severance payment equal to 12 months’ base salary, with 25% payable as a lump sum payment and the remaining 75% payable in accordance with the Company’s regular payroll practices.</w:t>
      </w:r>
    </w:p>
    <w:p>
      <w:pPr>
        <w:spacing w:after="0" w:line="178" w:lineRule="exact"/>
        <w:rPr>
          <w:sz w:val="20"/>
          <w:szCs w:val="20"/>
          <w:color w:val="auto"/>
        </w:rPr>
      </w:pPr>
    </w:p>
    <w:p>
      <w:pPr>
        <w:ind w:left="320" w:right="480"/>
        <w:spacing w:after="0" w:line="286" w:lineRule="auto"/>
        <w:rPr>
          <w:sz w:val="20"/>
          <w:szCs w:val="20"/>
          <w:color w:val="auto"/>
        </w:rPr>
      </w:pPr>
      <w:r>
        <w:rPr>
          <w:rFonts w:ascii="Arial" w:cs="Arial" w:eastAsia="Arial" w:hAnsi="Arial"/>
          <w:sz w:val="17"/>
          <w:szCs w:val="17"/>
          <w:color w:val="auto"/>
        </w:rPr>
        <w:t>On a “change in control” (as defined in the 2018 Plan) or death, Mr. Rai’s outstanding equity awards will vest in the same manner as described for Mr. Nicolelli’s outstanding equity awards beginning on page 98.</w:t>
      </w:r>
    </w:p>
    <w:p>
      <w:pPr>
        <w:spacing w:after="0" w:line="159"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Mr. Rai’s severance payments and termination-related equity acceleration are subject to his execution of a release of claims against us. Mr. Rai is subject to confidentiality restrictions at all times, as well as noncompetition, nondisparagement and nonsolicitation restrictions during his employment and for one year thereafter.</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Mr. Rai resigned from the Company in April 2023.</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Indicative payouts for Ankor Rai</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8"/>
              </w:rPr>
              <w:t>without cause or for</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3"/>
              </w:rPr>
              <w:t>good reason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following change</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0"/>
              </w:rPr>
              <w:t>in control or</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1"/>
              </w:rPr>
              <w:t>termination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1"/>
              </w:rPr>
              <w:t>Termination for</w:t>
            </w:r>
          </w:p>
        </w:tc>
        <w:tc>
          <w:tcPr>
            <w:tcW w:w="1600" w:type="dxa"/>
            <w:vAlign w:val="bottom"/>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without cause in</w:t>
            </w:r>
          </w:p>
        </w:tc>
        <w:tc>
          <w:tcPr>
            <w:tcW w:w="0" w:type="dxa"/>
            <w:vAlign w:val="bottom"/>
          </w:tcPr>
          <w:p>
            <w:pPr>
              <w:spacing w:after="0"/>
              <w:rPr>
                <w:sz w:val="1"/>
                <w:szCs w:val="1"/>
                <w:color w:val="auto"/>
              </w:rPr>
            </w:pPr>
          </w:p>
        </w:tc>
      </w:tr>
      <w:tr>
        <w:trPr>
          <w:trHeight w:val="143"/>
        </w:trPr>
        <w:tc>
          <w:tcPr>
            <w:tcW w:w="2560" w:type="dxa"/>
            <w:vAlign w:val="bottom"/>
          </w:tcPr>
          <w:p>
            <w:pPr>
              <w:spacing w:after="0"/>
              <w:rPr>
                <w:sz w:val="12"/>
                <w:szCs w:val="12"/>
                <w:color w:val="auto"/>
              </w:rPr>
            </w:pPr>
          </w:p>
        </w:tc>
        <w:tc>
          <w:tcPr>
            <w:tcW w:w="16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0"/>
              </w:rPr>
              <w:t>Death prior to a</w:t>
            </w:r>
          </w:p>
        </w:tc>
        <w:tc>
          <w:tcPr>
            <w:tcW w:w="16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1"/>
              </w:rPr>
              <w:t>Death after a</w:t>
            </w:r>
          </w:p>
        </w:tc>
        <w:tc>
          <w:tcPr>
            <w:tcW w:w="1640" w:type="dxa"/>
            <w:vAlign w:val="bottom"/>
            <w:vMerge w:val="continue"/>
          </w:tcPr>
          <w:p>
            <w:pPr>
              <w:spacing w:after="0"/>
              <w:rPr>
                <w:sz w:val="12"/>
                <w:szCs w:val="12"/>
                <w:color w:val="auto"/>
              </w:rPr>
            </w:pPr>
          </w:p>
        </w:tc>
        <w:tc>
          <w:tcPr>
            <w:tcW w:w="16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88"/>
              </w:rPr>
              <w:t>Change in</w:t>
            </w: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specific</w:t>
            </w:r>
          </w:p>
        </w:tc>
        <w:tc>
          <w:tcPr>
            <w:tcW w:w="0" w:type="dxa"/>
            <w:vAlign w:val="bottom"/>
          </w:tcPr>
          <w:p>
            <w:pPr>
              <w:spacing w:after="0"/>
              <w:rPr>
                <w:sz w:val="1"/>
                <w:szCs w:val="1"/>
                <w:color w:val="auto"/>
              </w:rPr>
            </w:pPr>
          </w:p>
        </w:tc>
      </w:tr>
      <w:tr>
        <w:trPr>
          <w:trHeight w:val="143"/>
        </w:trPr>
        <w:tc>
          <w:tcPr>
            <w:tcW w:w="2560" w:type="dxa"/>
            <w:vAlign w:val="bottom"/>
            <w:vMerge w:val="restart"/>
          </w:tcPr>
          <w:p>
            <w:pPr>
              <w:ind w:left="60"/>
              <w:spacing w:after="0"/>
              <w:rPr>
                <w:sz w:val="20"/>
                <w:szCs w:val="20"/>
                <w:color w:val="auto"/>
              </w:rPr>
            </w:pPr>
            <w:r>
              <w:rPr>
                <w:rFonts w:ascii="Arial" w:cs="Arial" w:eastAsia="Arial" w:hAnsi="Arial"/>
                <w:sz w:val="14"/>
                <w:szCs w:val="14"/>
                <w:b w:val="1"/>
                <w:bCs w:val="1"/>
                <w:color w:val="FB4E0B"/>
              </w:rPr>
              <w:t>Payments upon</w:t>
            </w:r>
          </w:p>
        </w:tc>
        <w:tc>
          <w:tcPr>
            <w:tcW w:w="16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640" w:type="dxa"/>
            <w:vAlign w:val="bottom"/>
          </w:tcPr>
          <w:p>
            <w:pPr>
              <w:jc w:val="center"/>
              <w:ind w:right="51"/>
              <w:spacing w:after="0" w:line="143" w:lineRule="exact"/>
              <w:rPr>
                <w:sz w:val="20"/>
                <w:szCs w:val="20"/>
                <w:color w:val="auto"/>
              </w:rPr>
            </w:pPr>
            <w:r>
              <w:rPr>
                <w:rFonts w:ascii="Arial" w:cs="Arial" w:eastAsia="Arial" w:hAnsi="Arial"/>
                <w:sz w:val="14"/>
                <w:szCs w:val="14"/>
                <w:b w:val="1"/>
                <w:bCs w:val="1"/>
                <w:color w:val="auto"/>
                <w:w w:val="86"/>
              </w:rPr>
              <w:t>good reason or</w:t>
            </w:r>
          </w:p>
        </w:tc>
        <w:tc>
          <w:tcPr>
            <w:tcW w:w="1600" w:type="dxa"/>
            <w:vAlign w:val="bottom"/>
            <w:vMerge w:val="continue"/>
          </w:tcPr>
          <w:p>
            <w:pPr>
              <w:spacing w:after="0"/>
              <w:rPr>
                <w:sz w:val="12"/>
                <w:szCs w:val="12"/>
                <w:color w:val="auto"/>
              </w:rPr>
            </w:pP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contemplation of</w:t>
            </w:r>
          </w:p>
        </w:tc>
        <w:tc>
          <w:tcPr>
            <w:tcW w:w="0" w:type="dxa"/>
            <w:vAlign w:val="bottom"/>
          </w:tcPr>
          <w:p>
            <w:pPr>
              <w:spacing w:after="0"/>
              <w:rPr>
                <w:sz w:val="1"/>
                <w:szCs w:val="1"/>
                <w:color w:val="auto"/>
              </w:rPr>
            </w:pPr>
          </w:p>
        </w:tc>
      </w:tr>
      <w:tr>
        <w:trPr>
          <w:trHeight w:val="143"/>
        </w:trPr>
        <w:tc>
          <w:tcPr>
            <w:tcW w:w="2560" w:type="dxa"/>
            <w:vAlign w:val="bottom"/>
            <w:vMerge w:val="continue"/>
          </w:tcPr>
          <w:p>
            <w:pPr>
              <w:spacing w:after="0"/>
              <w:rPr>
                <w:sz w:val="12"/>
                <w:szCs w:val="12"/>
                <w:color w:val="auto"/>
              </w:rPr>
            </w:pP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164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without cause</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8"/>
              </w:rPr>
              <w:t>control</w:t>
            </w:r>
          </w:p>
        </w:tc>
        <w:tc>
          <w:tcPr>
            <w:tcW w:w="16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7"/>
              </w:rPr>
              <w:t>change in control</w:t>
            </w:r>
          </w:p>
        </w:tc>
        <w:tc>
          <w:tcPr>
            <w:tcW w:w="0" w:type="dxa"/>
            <w:vAlign w:val="bottom"/>
          </w:tcPr>
          <w:p>
            <w:pPr>
              <w:spacing w:after="0"/>
              <w:rPr>
                <w:sz w:val="1"/>
                <w:szCs w:val="1"/>
                <w:color w:val="auto"/>
              </w:rPr>
            </w:pPr>
          </w:p>
        </w:tc>
      </w:tr>
      <w:tr>
        <w:trPr>
          <w:trHeight w:val="180"/>
        </w:trPr>
        <w:tc>
          <w:tcPr>
            <w:tcW w:w="2560" w:type="dxa"/>
            <w:vAlign w:val="bottom"/>
          </w:tcPr>
          <w:p>
            <w:pPr>
              <w:ind w:left="60"/>
              <w:spacing w:after="0"/>
              <w:rPr>
                <w:sz w:val="20"/>
                <w:szCs w:val="20"/>
                <w:color w:val="auto"/>
              </w:rPr>
            </w:pPr>
            <w:r>
              <w:rPr>
                <w:rFonts w:ascii="Arial" w:cs="Arial" w:eastAsia="Arial" w:hAnsi="Arial"/>
                <w:sz w:val="14"/>
                <w:szCs w:val="14"/>
                <w:b w:val="1"/>
                <w:bCs w:val="1"/>
                <w:color w:val="FB4E0B"/>
              </w:rPr>
              <w:t>termination</w:t>
            </w:r>
          </w:p>
        </w:tc>
        <w:tc>
          <w:tcPr>
            <w:tcW w:w="160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9"/>
        </w:trPr>
        <w:tc>
          <w:tcPr>
            <w:tcW w:w="2560" w:type="dxa"/>
            <w:vAlign w:val="bottom"/>
            <w:tcBorders>
              <w:bottom w:val="single" w:sz="8" w:color="FB4E0B"/>
            </w:tcBorders>
          </w:tcPr>
          <w:p>
            <w:pPr>
              <w:spacing w:after="0"/>
              <w:rPr>
                <w:sz w:val="9"/>
                <w:szCs w:val="9"/>
                <w:color w:val="auto"/>
              </w:rPr>
            </w:pPr>
          </w:p>
        </w:tc>
        <w:tc>
          <w:tcPr>
            <w:tcW w:w="1600" w:type="dxa"/>
            <w:vAlign w:val="bottom"/>
            <w:tcBorders>
              <w:bottom w:val="single" w:sz="8" w:color="FB4E0B"/>
            </w:tcBorders>
          </w:tcPr>
          <w:p>
            <w:pPr>
              <w:spacing w:after="0"/>
              <w:rPr>
                <w:sz w:val="9"/>
                <w:szCs w:val="9"/>
                <w:color w:val="auto"/>
              </w:rPr>
            </w:pPr>
          </w:p>
        </w:tc>
        <w:tc>
          <w:tcPr>
            <w:tcW w:w="1600" w:type="dxa"/>
            <w:vAlign w:val="bottom"/>
            <w:tcBorders>
              <w:bottom w:val="single" w:sz="8" w:color="FB4E0B"/>
            </w:tcBorders>
          </w:tcPr>
          <w:p>
            <w:pPr>
              <w:spacing w:after="0"/>
              <w:rPr>
                <w:sz w:val="9"/>
                <w:szCs w:val="9"/>
                <w:color w:val="auto"/>
              </w:rPr>
            </w:pPr>
          </w:p>
        </w:tc>
        <w:tc>
          <w:tcPr>
            <w:tcW w:w="1640" w:type="dxa"/>
            <w:vAlign w:val="bottom"/>
            <w:tcBorders>
              <w:bottom w:val="single" w:sz="8" w:color="FB4E0B"/>
            </w:tcBorders>
          </w:tcPr>
          <w:p>
            <w:pPr>
              <w:spacing w:after="0"/>
              <w:rPr>
                <w:sz w:val="9"/>
                <w:szCs w:val="9"/>
                <w:color w:val="auto"/>
              </w:rPr>
            </w:pPr>
          </w:p>
        </w:tc>
        <w:tc>
          <w:tcPr>
            <w:tcW w:w="1600" w:type="dxa"/>
            <w:vAlign w:val="bottom"/>
            <w:tcBorders>
              <w:bottom w:val="single" w:sz="8" w:color="FB4E0B"/>
            </w:tcBorders>
          </w:tcPr>
          <w:p>
            <w:pPr>
              <w:spacing w:after="0"/>
              <w:rPr>
                <w:sz w:val="9"/>
                <w:szCs w:val="9"/>
                <w:color w:val="auto"/>
              </w:rPr>
            </w:pPr>
          </w:p>
        </w:tc>
        <w:tc>
          <w:tcPr>
            <w:tcW w:w="162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450,000</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4,184,582</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4,184,582</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550,478</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4,184,582</w:t>
            </w:r>
          </w:p>
        </w:tc>
        <w:tc>
          <w:tcPr>
            <w:tcW w:w="0" w:type="dxa"/>
            <w:vAlign w:val="bottom"/>
          </w:tcPr>
          <w:p>
            <w:pPr>
              <w:spacing w:after="0"/>
              <w:rPr>
                <w:sz w:val="1"/>
                <w:szCs w:val="1"/>
                <w:color w:val="auto"/>
              </w:rPr>
            </w:pPr>
          </w:p>
        </w:tc>
      </w:tr>
      <w:tr>
        <w:trPr>
          <w:trHeight w:val="90"/>
        </w:trPr>
        <w:tc>
          <w:tcPr>
            <w:tcW w:w="256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697,030</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2,091,105</w:t>
            </w:r>
          </w:p>
        </w:tc>
        <w:tc>
          <w:tcPr>
            <w:tcW w:w="16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Arial" w:cs="Arial" w:eastAsia="Arial" w:hAnsi="Arial"/>
                <w:sz w:val="14"/>
                <w:szCs w:val="14"/>
                <w:color w:val="auto"/>
              </w:rPr>
              <w:t>1,827,837</w:t>
            </w: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2,091,105</w:t>
            </w:r>
          </w:p>
        </w:tc>
        <w:tc>
          <w:tcPr>
            <w:tcW w:w="0" w:type="dxa"/>
            <w:vAlign w:val="bottom"/>
          </w:tcPr>
          <w:p>
            <w:pPr>
              <w:spacing w:after="0"/>
              <w:rPr>
                <w:sz w:val="1"/>
                <w:szCs w:val="1"/>
                <w:color w:val="auto"/>
              </w:rPr>
            </w:pPr>
          </w:p>
        </w:tc>
      </w:tr>
      <w:tr>
        <w:trPr>
          <w:trHeight w:val="96"/>
        </w:trPr>
        <w:tc>
          <w:tcPr>
            <w:tcW w:w="256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4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2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Certain defined terms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Definition of cause</w:t>
      </w:r>
    </w:p>
    <w:p>
      <w:pPr>
        <w:spacing w:after="0" w:line="123" w:lineRule="exact"/>
        <w:rPr>
          <w:sz w:val="20"/>
          <w:szCs w:val="20"/>
          <w:color w:val="auto"/>
        </w:rPr>
      </w:pPr>
    </w:p>
    <w:p>
      <w:pPr>
        <w:ind w:left="320" w:right="100"/>
        <w:spacing w:after="0" w:line="260" w:lineRule="auto"/>
        <w:rPr>
          <w:sz w:val="20"/>
          <w:szCs w:val="20"/>
          <w:color w:val="auto"/>
        </w:rPr>
      </w:pPr>
      <w:r>
        <w:rPr>
          <w:rFonts w:ascii="Arial" w:cs="Arial" w:eastAsia="Arial" w:hAnsi="Arial"/>
          <w:sz w:val="17"/>
          <w:szCs w:val="17"/>
          <w:color w:val="auto"/>
        </w:rPr>
        <w:t>The following definition of “cause” applies to all named executive officers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(for Mr. Kapoor, which is not remedied within 15 days of receipt of notice from the Company specifying the breach in reasonable detail); (iv) the executive willfully and continually fails to substantially perform his duties (other than for reason of physical or mental incapacity) which continues beyond 15 days after we notify him in writing of his</w:t>
      </w:r>
    </w:p>
    <w:p>
      <w:pPr>
        <w:spacing w:after="0" w:line="98"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20"/>
        <w:spacing w:after="0" w:line="258" w:lineRule="auto"/>
        <w:rPr>
          <w:sz w:val="20"/>
          <w:szCs w:val="20"/>
          <w:color w:val="auto"/>
        </w:rPr>
      </w:pPr>
      <w:r>
        <w:rPr>
          <w:rFonts w:ascii="Arial" w:cs="Arial" w:eastAsia="Arial" w:hAnsi="Arial"/>
          <w:sz w:val="17"/>
          <w:szCs w:val="17"/>
          <w:color w:val="auto"/>
        </w:rPr>
        <w:t>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Mr. Kapoor,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Definition of good reason</w:t>
      </w:r>
    </w:p>
    <w:p>
      <w:pPr>
        <w:spacing w:after="0" w:line="123" w:lineRule="exact"/>
        <w:rPr>
          <w:sz w:val="20"/>
          <w:szCs w:val="20"/>
          <w:color w:val="auto"/>
        </w:rPr>
      </w:pPr>
    </w:p>
    <w:p>
      <w:pPr>
        <w:ind w:left="320" w:right="60"/>
        <w:spacing w:after="0" w:line="277" w:lineRule="auto"/>
        <w:rPr>
          <w:sz w:val="20"/>
          <w:szCs w:val="20"/>
          <w:color w:val="auto"/>
        </w:rPr>
      </w:pPr>
      <w:r>
        <w:rPr>
          <w:rFonts w:ascii="Arial" w:cs="Arial" w:eastAsia="Arial" w:hAnsi="Arial"/>
          <w:sz w:val="16"/>
          <w:szCs w:val="16"/>
          <w:color w:val="auto"/>
        </w:rPr>
        <w:t>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 it being understood that “good reason” shall be deemed to exist if Mr. Kapoor is no longer the chief executive officer of the Company or any entity that acquires the Company; (ii) his base salary is reduced,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170" w:lineRule="exact"/>
        <w:rPr>
          <w:sz w:val="20"/>
          <w:szCs w:val="20"/>
          <w:color w:val="auto"/>
        </w:rPr>
      </w:pPr>
    </w:p>
    <w:p>
      <w:pPr>
        <w:ind w:left="320" w:right="20"/>
        <w:spacing w:after="0" w:line="278" w:lineRule="auto"/>
        <w:rPr>
          <w:sz w:val="20"/>
          <w:szCs w:val="20"/>
          <w:color w:val="auto"/>
        </w:rPr>
      </w:pPr>
      <w:r>
        <w:rPr>
          <w:rFonts w:ascii="Arial" w:cs="Arial" w:eastAsia="Arial" w:hAnsi="Arial"/>
          <w:sz w:val="16"/>
          <w:szCs w:val="16"/>
          <w:color w:val="auto"/>
        </w:rPr>
        <w:t>The following definition of “good reason” applies to Messrs. Nicolelli, Bhalla, Jetley and Rai unless stated otherwise. “Good reason” means, without the executive’s prior written consent: (i) the executive’s duties or responsibilities are substantially reduced, or he is required to report to anyone other than our board of directors, or our CEO; (ii) the executive’s title as our officer is adversely changed; however, if following a change in control (as defined in the 2018 Plan), his new title and authority are similar to his old title and authority, then any change in the executive’s title will not constitute a significant reduction in his duties and authorities; (iii) for Mr. Nicolelli only, there is a change in the office or location where the executive is based of more than 50 miles (100 kilometers for Mr. Bhalla); or (iv) we breach any material term of the executive’s employment agreement or severance 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Definition of change in control</w:t>
      </w:r>
    </w:p>
    <w:p>
      <w:pPr>
        <w:spacing w:after="0" w:line="123"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A “change in control” (as generally defined in Mr. Kapoor’s employment agreement and the 2018 Plan, as applicable) generally means any of the following events: (i) 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w:t>
      </w:r>
    </w:p>
    <w:p>
      <w:pPr>
        <w:spacing w:after="0" w:line="236"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103</w:t>
      </w:r>
    </w:p>
    <w:p>
      <w:pPr>
        <w:sectPr>
          <w:pgSz w:w="11900" w:h="16838" w:orient="portrait"/>
          <w:cols w:equalWidth="0" w:num="1">
            <w:col w:w="10940"/>
          </w:cols>
          <w:pgMar w:left="320" w:top="473" w:right="6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board of directors changes from those in office as of the date of Mr. Kapoor’s employment agreement or the effective date of the 2018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Definition of retirement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“retirement” generally means a named executive officer’s voluntary termination of employment that is effective after he reaches age 60.</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CEO pay ratio</w:t>
      </w:r>
    </w:p>
    <w:p>
      <w:pPr>
        <w:spacing w:after="0" w:line="117" w:lineRule="exact"/>
        <w:rPr>
          <w:sz w:val="20"/>
          <w:szCs w:val="20"/>
          <w:color w:val="auto"/>
        </w:rPr>
      </w:pPr>
    </w:p>
    <w:p>
      <w:pPr>
        <w:ind w:left="320" w:right="100"/>
        <w:spacing w:after="0" w:line="265" w:lineRule="auto"/>
        <w:rPr>
          <w:sz w:val="20"/>
          <w:szCs w:val="20"/>
          <w:color w:val="auto"/>
        </w:rPr>
      </w:pPr>
      <w:r>
        <w:rPr>
          <w:rFonts w:ascii="Arial" w:cs="Arial" w:eastAsia="Arial" w:hAnsi="Arial"/>
          <w:sz w:val="17"/>
          <w:szCs w:val="17"/>
          <w:color w:val="auto"/>
        </w:rPr>
        <w:t>In accordance with SEC rules and the Dodd-Frank Wall Street Reform and Consumer Protection Act, presented below is an estimate of the ratio of our CEO’s annual total compensation to our median employee’s annual total compensation (our “Pay Ratio”). Due to the size and complexity of our organization, which as of December 31, 2022, was made up of approximately 45,400 professionals throughout the world, with delivery centers in over 10 countries, our Pay Ratio is based on reasonable assumptions and estimates described below.</w:t>
      </w:r>
    </w:p>
    <w:p>
      <w:pPr>
        <w:spacing w:after="0" w:line="177" w:lineRule="exact"/>
        <w:rPr>
          <w:sz w:val="20"/>
          <w:szCs w:val="20"/>
          <w:color w:val="auto"/>
        </w:rPr>
      </w:pPr>
    </w:p>
    <w:p>
      <w:pPr>
        <w:ind w:left="320" w:right="20"/>
        <w:spacing w:after="0" w:line="281" w:lineRule="auto"/>
        <w:rPr>
          <w:sz w:val="20"/>
          <w:szCs w:val="20"/>
          <w:color w:val="auto"/>
        </w:rPr>
      </w:pPr>
      <w:r>
        <w:rPr>
          <w:rFonts w:ascii="Arial" w:cs="Arial" w:eastAsia="Arial" w:hAnsi="Arial"/>
          <w:sz w:val="16"/>
          <w:szCs w:val="16"/>
          <w:color w:val="auto"/>
        </w:rPr>
        <w:t>We selected the median employee used for Pay Ratio in 2021 by looking at our entire employee population (excluding our CEO) as of December 31, 2021, but excluding leased employees and independent contractors. The median employee used for our Pay Ratio in 2021 changed positions and therefore, was not used for our Pay Ratio in 2022. Instead, and per the SEC rules, we use another employee whose compensation is substantially similar to the 2021 median employee based on each employee’s 2021 “total pay.” Each employee’s “total pay” was calculated using the sum of his or her fixed pay / base salary and variable pay (including any performance bonus, sales commission, and retention or signing bonus). We also annualized total pay for all full-time and part-time employees that were employed for less than the full fiscal year 2021.</w:t>
      </w:r>
    </w:p>
    <w:p>
      <w:pPr>
        <w:spacing w:after="0" w:line="80"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104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80"/>
          </w:cols>
          <w:pgMar w:left="320" w:top="473" w:right="69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40"/>
        <w:spacing w:after="0" w:line="265" w:lineRule="auto"/>
        <w:rPr>
          <w:sz w:val="20"/>
          <w:szCs w:val="20"/>
          <w:color w:val="auto"/>
        </w:rPr>
      </w:pPr>
      <w:r>
        <w:rPr>
          <w:rFonts w:ascii="Arial" w:cs="Arial" w:eastAsia="Arial" w:hAnsi="Arial"/>
          <w:sz w:val="17"/>
          <w:szCs w:val="17"/>
          <w:color w:val="auto"/>
        </w:rPr>
        <w:t>For all employees located in jurisdictions other than the United States, a cost-of-living adjustment was made to align their compensation with the cost-of-living standards in the United States, the jurisdiction in which our CEO resides. Finally, we identified the median employee and calculated his or her annual total compensation and the CEO’s annual total compensation in the manner required by Item 402(u) of Regulation S-K, to determine the pay ratio shown in the table below.</w:t>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B4E0B"/>
        </w:rPr>
        <w:t>Pay Ratio – all employees (with COLA)</w:t>
      </w:r>
      <w:r>
        <w:rPr>
          <w:rFonts w:ascii="Arial" w:cs="Arial" w:eastAsia="Arial" w:hAnsi="Arial"/>
          <w:sz w:val="26"/>
          <w:szCs w:val="26"/>
          <w:b w:val="1"/>
          <w:bCs w:val="1"/>
          <w:color w:val="FB4E0B"/>
          <w:vertAlign w:val="superscript"/>
        </w:rPr>
        <w:t>(1)</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305"/>
        </w:trPr>
        <w:tc>
          <w:tcPr>
            <w:tcW w:w="9460" w:type="dxa"/>
            <w:vAlign w:val="bottom"/>
            <w:tcBorders>
              <w:top w:val="single" w:sz="8" w:color="FB4E0B"/>
              <w:right w:val="single" w:sz="8" w:color="auto"/>
            </w:tcBorders>
          </w:tcPr>
          <w:p>
            <w:pPr>
              <w:ind w:left="40"/>
              <w:spacing w:after="0"/>
              <w:rPr>
                <w:sz w:val="20"/>
                <w:szCs w:val="20"/>
                <w:color w:val="auto"/>
              </w:rPr>
            </w:pPr>
            <w:r>
              <w:rPr>
                <w:rFonts w:ascii="Arial" w:cs="Arial" w:eastAsia="Arial" w:hAnsi="Arial"/>
                <w:sz w:val="17"/>
                <w:szCs w:val="17"/>
                <w:color w:val="auto"/>
              </w:rPr>
              <w:t>Chief Executive Officer’s annual total compensation</w:t>
            </w:r>
          </w:p>
        </w:tc>
        <w:tc>
          <w:tcPr>
            <w:tcW w:w="220" w:type="dxa"/>
            <w:vAlign w:val="bottom"/>
            <w:tcBorders>
              <w:top w:val="single" w:sz="8" w:color="FB4E0B"/>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FB4E0B"/>
            </w:tcBorders>
          </w:tcPr>
          <w:p>
            <w:pPr>
              <w:jc w:val="right"/>
              <w:ind w:right="33"/>
              <w:spacing w:after="0"/>
              <w:rPr>
                <w:sz w:val="20"/>
                <w:szCs w:val="20"/>
                <w:color w:val="auto"/>
              </w:rPr>
            </w:pPr>
            <w:r>
              <w:rPr>
                <w:rFonts w:ascii="Arial" w:cs="Arial" w:eastAsia="Arial" w:hAnsi="Arial"/>
                <w:sz w:val="17"/>
                <w:szCs w:val="17"/>
                <w:color w:val="auto"/>
                <w:w w:val="93"/>
              </w:rPr>
              <w:t>11,010,906</w:t>
            </w:r>
          </w:p>
        </w:tc>
      </w:tr>
      <w:tr>
        <w:trPr>
          <w:trHeight w:val="104"/>
        </w:trPr>
        <w:tc>
          <w:tcPr>
            <w:tcW w:w="9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92"/>
        </w:trPr>
        <w:tc>
          <w:tcPr>
            <w:tcW w:w="94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Median employee’s annual total compensation</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14,147</w:t>
            </w:r>
          </w:p>
        </w:tc>
      </w:tr>
      <w:tr>
        <w:trPr>
          <w:trHeight w:val="104"/>
        </w:trPr>
        <w:tc>
          <w:tcPr>
            <w:tcW w:w="9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92"/>
        </w:trPr>
        <w:tc>
          <w:tcPr>
            <w:tcW w:w="94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Ratio of Chief Executive Officer’s annual total compensation to median employee’s annual total compensation</w:t>
            </w:r>
          </w:p>
        </w:tc>
        <w:tc>
          <w:tcPr>
            <w:tcW w:w="22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7"/>
                <w:szCs w:val="17"/>
                <w:color w:val="auto"/>
              </w:rPr>
              <w:t>778:1</w:t>
            </w:r>
          </w:p>
        </w:tc>
      </w:tr>
      <w:tr>
        <w:trPr>
          <w:trHeight w:val="110"/>
        </w:trPr>
        <w:tc>
          <w:tcPr>
            <w:tcW w:w="9460" w:type="dxa"/>
            <w:vAlign w:val="bottom"/>
            <w:tcBorders>
              <w:bottom w:val="single" w:sz="8" w:color="FB4E0B"/>
              <w:right w:val="single" w:sz="8" w:color="auto"/>
            </w:tcBorders>
          </w:tcPr>
          <w:p>
            <w:pPr>
              <w:spacing w:after="0"/>
              <w:rPr>
                <w:sz w:val="9"/>
                <w:szCs w:val="9"/>
                <w:color w:val="auto"/>
              </w:rPr>
            </w:pPr>
          </w:p>
        </w:tc>
        <w:tc>
          <w:tcPr>
            <w:tcW w:w="220" w:type="dxa"/>
            <w:vAlign w:val="bottom"/>
            <w:tcBorders>
              <w:bottom w:val="single" w:sz="8" w:color="FB4E0B"/>
            </w:tcBorders>
          </w:tcPr>
          <w:p>
            <w:pPr>
              <w:spacing w:after="0"/>
              <w:rPr>
                <w:sz w:val="9"/>
                <w:szCs w:val="9"/>
                <w:color w:val="auto"/>
              </w:rPr>
            </w:pPr>
          </w:p>
        </w:tc>
        <w:tc>
          <w:tcPr>
            <w:tcW w:w="940" w:type="dxa"/>
            <w:vAlign w:val="bottom"/>
            <w:tcBorders>
              <w:bottom w:val="single" w:sz="8" w:color="FB4E0B"/>
            </w:tcBorders>
          </w:tcPr>
          <w:p>
            <w:pPr>
              <w:spacing w:after="0"/>
              <w:rPr>
                <w:sz w:val="9"/>
                <w:szCs w:val="9"/>
                <w:color w:val="auto"/>
              </w:rPr>
            </w:pPr>
          </w:p>
        </w:tc>
      </w:tr>
    </w:tbl>
    <w:p>
      <w:pPr>
        <w:ind w:left="320" w:right="200" w:hanging="4"/>
        <w:spacing w:after="0" w:line="231" w:lineRule="auto"/>
        <w:tabs>
          <w:tab w:leader="none" w:pos="504" w:val="left"/>
        </w:tabs>
        <w:numPr>
          <w:ilvl w:val="0"/>
          <w:numId w:val="38"/>
        </w:numPr>
        <w:rPr>
          <w:rFonts w:ascii="Arial" w:cs="Arial" w:eastAsia="Arial" w:hAnsi="Arial"/>
          <w:sz w:val="13"/>
          <w:szCs w:val="13"/>
          <w:color w:val="auto"/>
        </w:rPr>
      </w:pPr>
      <w:r>
        <w:rPr>
          <w:rFonts w:ascii="Arial" w:cs="Arial" w:eastAsia="Arial" w:hAnsi="Arial"/>
          <w:sz w:val="13"/>
          <w:szCs w:val="13"/>
          <w:color w:val="auto"/>
        </w:rPr>
        <w:t>2022 Mercer Combined Index. Our median employee, identified without performing a cost-of-living adjustment, is based in India and had an annual total compensation of $6,654, resulting in a pay ratio of 1,655:1.</w:t>
      </w:r>
    </w:p>
    <w:p>
      <w:pPr>
        <w:ind w:left="320" w:right="180"/>
        <w:spacing w:after="0" w:line="260" w:lineRule="auto"/>
        <w:rPr>
          <w:sz w:val="20"/>
          <w:szCs w:val="20"/>
          <w:color w:val="auto"/>
        </w:rPr>
      </w:pPr>
      <w:r>
        <w:rPr>
          <w:rFonts w:ascii="Arial" w:cs="Arial" w:eastAsia="Arial" w:hAnsi="Arial"/>
          <w:sz w:val="17"/>
          <w:szCs w:val="17"/>
          <w:color w:val="auto"/>
        </w:rPr>
        <w:t>Approximately 94% of our employees are located outside of the United States, primarily in India and the Philippines. As is common with many global companies, our compensation programs are market based, and as such they may differ for employees based on the country where an employee works. Accordingly, we believe that it is important to show our pay-ratio calculated in a similar manner as described above using the median U.S.-based employee to provide a commensurable view of our pay practices.</w:t>
      </w:r>
    </w:p>
    <w:p>
      <w:pPr>
        <w:spacing w:after="0" w:line="31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B4E0B"/>
        </w:rPr>
        <w:t>Pay Ratio – United States employees</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325"/>
        </w:trPr>
        <w:tc>
          <w:tcPr>
            <w:tcW w:w="9460" w:type="dxa"/>
            <w:vAlign w:val="bottom"/>
            <w:tcBorders>
              <w:top w:val="single" w:sz="8" w:color="FB4E0B"/>
              <w:right w:val="single" w:sz="8" w:color="auto"/>
            </w:tcBorders>
          </w:tcPr>
          <w:p>
            <w:pPr>
              <w:ind w:left="40"/>
              <w:spacing w:after="0"/>
              <w:rPr>
                <w:sz w:val="20"/>
                <w:szCs w:val="20"/>
                <w:color w:val="auto"/>
              </w:rPr>
            </w:pPr>
            <w:r>
              <w:rPr>
                <w:rFonts w:ascii="Arial" w:cs="Arial" w:eastAsia="Arial" w:hAnsi="Arial"/>
                <w:sz w:val="17"/>
                <w:szCs w:val="17"/>
                <w:color w:val="auto"/>
              </w:rPr>
              <w:t>Chief Executive Officer’s annual total compensation</w:t>
            </w:r>
          </w:p>
        </w:tc>
        <w:tc>
          <w:tcPr>
            <w:tcW w:w="220" w:type="dxa"/>
            <w:vAlign w:val="bottom"/>
            <w:tcBorders>
              <w:top w:val="single" w:sz="8" w:color="FB4E0B"/>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FB4E0B"/>
            </w:tcBorders>
            <w:gridSpan w:val="2"/>
          </w:tcPr>
          <w:p>
            <w:pPr>
              <w:jc w:val="right"/>
              <w:ind w:right="33"/>
              <w:spacing w:after="0"/>
              <w:rPr>
                <w:sz w:val="20"/>
                <w:szCs w:val="20"/>
                <w:color w:val="auto"/>
              </w:rPr>
            </w:pPr>
            <w:r>
              <w:rPr>
                <w:rFonts w:ascii="Arial" w:cs="Arial" w:eastAsia="Arial" w:hAnsi="Arial"/>
                <w:sz w:val="17"/>
                <w:szCs w:val="17"/>
                <w:color w:val="auto"/>
                <w:w w:val="93"/>
              </w:rPr>
              <w:t>11,010,906</w:t>
            </w:r>
          </w:p>
        </w:tc>
      </w:tr>
      <w:tr>
        <w:trPr>
          <w:trHeight w:val="104"/>
        </w:trPr>
        <w:tc>
          <w:tcPr>
            <w:tcW w:w="9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292"/>
        </w:trPr>
        <w:tc>
          <w:tcPr>
            <w:tcW w:w="94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Median employee’s annual total compensation</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Arial" w:cs="Arial" w:eastAsia="Arial" w:hAnsi="Arial"/>
                <w:sz w:val="17"/>
                <w:szCs w:val="17"/>
                <w:color w:val="auto"/>
                <w:w w:val="97"/>
              </w:rPr>
              <w:t>102,618</w:t>
            </w:r>
          </w:p>
        </w:tc>
      </w:tr>
      <w:tr>
        <w:trPr>
          <w:trHeight w:val="104"/>
        </w:trPr>
        <w:tc>
          <w:tcPr>
            <w:tcW w:w="9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292"/>
        </w:trPr>
        <w:tc>
          <w:tcPr>
            <w:tcW w:w="94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Ratio of Chief Executive Officer’s annual total compensation to median employee’s annual total compensation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Arial" w:cs="Arial" w:eastAsia="Arial" w:hAnsi="Arial"/>
                <w:sz w:val="17"/>
                <w:szCs w:val="17"/>
                <w:color w:val="auto"/>
              </w:rPr>
              <w:t>107:1</w:t>
            </w:r>
          </w:p>
        </w:tc>
      </w:tr>
      <w:tr>
        <w:trPr>
          <w:trHeight w:val="110"/>
        </w:trPr>
        <w:tc>
          <w:tcPr>
            <w:tcW w:w="9460" w:type="dxa"/>
            <w:vAlign w:val="bottom"/>
            <w:tcBorders>
              <w:bottom w:val="single" w:sz="8" w:color="FB4E0B"/>
              <w:right w:val="single" w:sz="8" w:color="auto"/>
            </w:tcBorders>
          </w:tcPr>
          <w:p>
            <w:pPr>
              <w:spacing w:after="0"/>
              <w:rPr>
                <w:sz w:val="9"/>
                <w:szCs w:val="9"/>
                <w:color w:val="auto"/>
              </w:rPr>
            </w:pPr>
          </w:p>
        </w:tc>
        <w:tc>
          <w:tcPr>
            <w:tcW w:w="220" w:type="dxa"/>
            <w:vAlign w:val="bottom"/>
            <w:tcBorders>
              <w:bottom w:val="single" w:sz="8" w:color="FB4E0B"/>
            </w:tcBorders>
          </w:tcPr>
          <w:p>
            <w:pPr>
              <w:spacing w:after="0"/>
              <w:rPr>
                <w:sz w:val="9"/>
                <w:szCs w:val="9"/>
                <w:color w:val="auto"/>
              </w:rPr>
            </w:pPr>
          </w:p>
        </w:tc>
        <w:tc>
          <w:tcPr>
            <w:tcW w:w="200" w:type="dxa"/>
            <w:vAlign w:val="bottom"/>
            <w:tcBorders>
              <w:bottom w:val="single" w:sz="8" w:color="FB4E0B"/>
            </w:tcBorders>
          </w:tcPr>
          <w:p>
            <w:pPr>
              <w:spacing w:after="0"/>
              <w:rPr>
                <w:sz w:val="9"/>
                <w:szCs w:val="9"/>
                <w:color w:val="auto"/>
              </w:rPr>
            </w:pPr>
          </w:p>
        </w:tc>
        <w:tc>
          <w:tcPr>
            <w:tcW w:w="740" w:type="dxa"/>
            <w:vAlign w:val="bottom"/>
            <w:tcBorders>
              <w:bottom w:val="single" w:sz="8" w:color="FB4E0B"/>
            </w:tcBorders>
          </w:tcPr>
          <w:p>
            <w:pPr>
              <w:spacing w:after="0"/>
              <w:rPr>
                <w:sz w:val="9"/>
                <w:szCs w:val="9"/>
                <w:color w:val="auto"/>
              </w:rPr>
            </w:pPr>
          </w:p>
        </w:tc>
      </w:tr>
      <w:tr>
        <w:trPr>
          <w:trHeight w:val="967"/>
        </w:trPr>
        <w:tc>
          <w:tcPr>
            <w:tcW w:w="9460" w:type="dxa"/>
            <w:vAlign w:val="bottom"/>
          </w:tcPr>
          <w:p>
            <w:pPr>
              <w:ind w:left="7740"/>
              <w:spacing w:after="0"/>
              <w:rPr>
                <w:sz w:val="20"/>
                <w:szCs w:val="20"/>
                <w:color w:val="auto"/>
              </w:rPr>
            </w:pPr>
            <w:r>
              <w:rPr>
                <w:rFonts w:ascii="Arial" w:cs="Arial" w:eastAsia="Arial" w:hAnsi="Arial"/>
                <w:sz w:val="13"/>
                <w:szCs w:val="13"/>
                <w:color w:val="auto"/>
              </w:rPr>
              <w:t>EXL 2023 Proxy Statement</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8"/>
                <w:szCs w:val="28"/>
                <w:b w:val="1"/>
                <w:bCs w:val="1"/>
                <w:color w:val="FB4E0B"/>
              </w:rPr>
              <w:t>/</w:t>
            </w:r>
          </w:p>
        </w:tc>
        <w:tc>
          <w:tcPr>
            <w:tcW w:w="740" w:type="dxa"/>
            <w:vAlign w:val="bottom"/>
          </w:tcPr>
          <w:p>
            <w:pPr>
              <w:jc w:val="right"/>
              <w:ind w:right="133"/>
              <w:spacing w:after="0"/>
              <w:rPr>
                <w:sz w:val="20"/>
                <w:szCs w:val="20"/>
                <w:color w:val="auto"/>
              </w:rPr>
            </w:pPr>
            <w:r>
              <w:rPr>
                <w:rFonts w:ascii="Arial" w:cs="Arial" w:eastAsia="Arial" w:hAnsi="Arial"/>
                <w:sz w:val="17"/>
                <w:szCs w:val="17"/>
                <w:b w:val="1"/>
                <w:bCs w:val="1"/>
                <w:color w:val="auto"/>
              </w:rPr>
              <w:t>105</w:t>
            </w:r>
          </w:p>
        </w:tc>
      </w:tr>
    </w:tbl>
    <w:p>
      <w:pPr>
        <w:sectPr>
          <w:pgSz w:w="11900" w:h="16838" w:orient="portrait"/>
          <w:cols w:equalWidth="0" w:num="1">
            <w:col w:w="10940"/>
          </w:cols>
          <w:pgMar w:left="320" w:top="473" w:right="63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139"/>
          </w:cols>
          <w:pgMar w:left="320" w:top="473" w:right="1440" w:bottom="1440" w:gutter="0" w:footer="0" w:header="0"/>
        </w:sectPr>
      </w:pPr>
    </w:p>
    <w:bookmarkStart w:id="107" w:name="page108"/>
    <w:bookmarkEnd w:id="107"/>
    <w:p>
      <w:pPr>
        <w:ind w:left="4"/>
        <w:spacing w:after="0"/>
        <w:rPr>
          <w:sz w:val="20"/>
          <w:szCs w:val="20"/>
          <w:color w:val="auto"/>
        </w:rPr>
      </w:pPr>
      <w:r>
        <w:rPr>
          <w:rFonts w:ascii="Arial" w:cs="Arial" w:eastAsia="Arial" w:hAnsi="Arial"/>
          <w:sz w:val="14"/>
          <w:szCs w:val="14"/>
          <w:b w:val="1"/>
          <w:bCs w:val="1"/>
          <w:color w:val="D8D8D8"/>
        </w:rPr>
        <w:t>Executive compensation</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24"/>
          <w:szCs w:val="24"/>
          <w:color w:val="auto"/>
        </w:rPr>
        <w:t>Pay versus performance</w:t>
      </w:r>
    </w:p>
    <w:p>
      <w:pPr>
        <w:spacing w:after="0" w:line="117"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Our executive compensation philosophy is focused on pay-for-performance. In this regard, we link a significant portion of each NEO’s total compensation to the achievement of specified performance goals. This variable compensation is “at-risk” and rewards performance and contributions to both short- and long-term financial performance.</w:t>
      </w:r>
    </w:p>
    <w:p>
      <w:pPr>
        <w:spacing w:after="0" w:line="69" w:lineRule="exact"/>
        <w:rPr>
          <w:sz w:val="20"/>
          <w:szCs w:val="20"/>
          <w:color w:val="auto"/>
        </w:rPr>
      </w:pPr>
    </w:p>
    <w:p>
      <w:pPr>
        <w:ind w:left="4" w:right="160"/>
        <w:spacing w:after="0" w:line="263" w:lineRule="auto"/>
        <w:rPr>
          <w:sz w:val="20"/>
          <w:szCs w:val="20"/>
          <w:color w:val="auto"/>
        </w:rPr>
      </w:pPr>
      <w:r>
        <w:rPr>
          <w:rFonts w:ascii="Arial" w:cs="Arial" w:eastAsia="Arial" w:hAnsi="Arial"/>
          <w:sz w:val="17"/>
          <w:szCs w:val="17"/>
          <w:color w:val="auto"/>
        </w:rPr>
        <w:t>In accordance with SEC rules and the Dodd-Frank Wall Street Reform and Consumer Protection Act, the following table shows the past three fiscal years’ total compensation for our named executive officers as set forth in the Summary Compensation Table, the “compensation actually paid” to our named executive officers (as determined under SEC rules), our total shareholder return (TSR), the TSR of the peer group over the same period, our net income, and our revenue, which we have selected as our Company Selected Measure because of its role as a component of both our annual and long-term incentive compensation program.</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FB4E0B"/>
        </w:rPr>
        <w:t>2022 Pay versus performance table</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Avg. Summary</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Company Selected Measure:</w:t>
            </w:r>
          </w:p>
        </w:tc>
        <w:tc>
          <w:tcPr>
            <w:tcW w:w="0" w:type="dxa"/>
            <w:vAlign w:val="bottom"/>
          </w:tcPr>
          <w:p>
            <w:pPr>
              <w:spacing w:after="0"/>
              <w:rPr>
                <w:sz w:val="1"/>
                <w:szCs w:val="1"/>
                <w:color w:val="auto"/>
              </w:rPr>
            </w:pPr>
          </w:p>
        </w:tc>
      </w:tr>
      <w:tr>
        <w:trPr>
          <w:trHeight w:val="86"/>
        </w:trPr>
        <w:tc>
          <w:tcPr>
            <w:tcW w:w="1620" w:type="dxa"/>
            <w:vAlign w:val="bottom"/>
          </w:tcPr>
          <w:p>
            <w:pPr>
              <w:spacing w:after="0"/>
              <w:rPr>
                <w:sz w:val="7"/>
                <w:szCs w:val="7"/>
                <w:color w:val="auto"/>
              </w:rPr>
            </w:pPr>
          </w:p>
        </w:tc>
        <w:tc>
          <w:tcPr>
            <w:tcW w:w="128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90"/>
              </w:rPr>
              <w:t>Summary</w:t>
            </w:r>
          </w:p>
        </w:tc>
        <w:tc>
          <w:tcPr>
            <w:tcW w:w="128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88"/>
              </w:rPr>
              <w:t>Compensation Table</w:t>
            </w:r>
          </w:p>
        </w:tc>
        <w:tc>
          <w:tcPr>
            <w:tcW w:w="98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116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86"/>
              </w:rPr>
              <w:t>Avg. compensation</w:t>
            </w: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40" w:type="dxa"/>
            <w:vAlign w:val="bottom"/>
            <w:tcBorders>
              <w:bottom w:val="single" w:sz="8" w:color="FB4E0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Table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total for other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actually paid to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actually paid to</w:t>
            </w:r>
          </w:p>
        </w:tc>
        <w:tc>
          <w:tcPr>
            <w:tcW w:w="560" w:type="dxa"/>
            <w:vAlign w:val="bottom"/>
            <w:vMerge w:val="restart"/>
          </w:tcPr>
          <w:p>
            <w:pPr>
              <w:ind w:left="100"/>
              <w:spacing w:after="0"/>
              <w:rPr>
                <w:sz w:val="20"/>
                <w:szCs w:val="20"/>
                <w:color w:val="auto"/>
              </w:rPr>
            </w:pPr>
            <w:r>
              <w:rPr>
                <w:rFonts w:ascii="Arial" w:cs="Arial" w:eastAsia="Arial" w:hAnsi="Arial"/>
                <w:sz w:val="27"/>
                <w:szCs w:val="27"/>
                <w:b w:val="1"/>
                <w:bCs w:val="1"/>
                <w:color w:val="auto"/>
                <w:w w:val="89"/>
                <w:vertAlign w:val="subscript"/>
              </w:rPr>
              <w:t>TSR</w:t>
            </w:r>
            <w:r>
              <w:rPr>
                <w:rFonts w:ascii="Arial" w:cs="Arial" w:eastAsia="Arial" w:hAnsi="Arial"/>
                <w:sz w:val="9"/>
                <w:szCs w:val="9"/>
                <w:b w:val="1"/>
                <w:bCs w:val="1"/>
                <w:color w:val="auto"/>
                <w:w w:val="89"/>
              </w:rPr>
              <w:t>(4)</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Peer group TSR</w:t>
            </w:r>
            <w:r>
              <w:rPr>
                <w:rFonts w:ascii="Arial" w:cs="Arial" w:eastAsia="Arial" w:hAnsi="Arial"/>
                <w:sz w:val="8"/>
                <w:szCs w:val="8"/>
                <w:b w:val="1"/>
                <w:bCs w:val="1"/>
                <w:color w:val="auto"/>
                <w:w w:val="93"/>
              </w:rPr>
              <w:t>(4)</w:t>
            </w:r>
          </w:p>
        </w:tc>
        <w:tc>
          <w:tcPr>
            <w:tcW w:w="8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Net income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43"/>
        </w:trPr>
        <w:tc>
          <w:tcPr>
            <w:tcW w:w="1620" w:type="dxa"/>
            <w:vAlign w:val="bottom"/>
            <w:vMerge w:val="restart"/>
          </w:tcPr>
          <w:p>
            <w:pPr>
              <w:ind w:left="60"/>
              <w:spacing w:after="0"/>
              <w:rPr>
                <w:sz w:val="20"/>
                <w:szCs w:val="20"/>
                <w:color w:val="auto"/>
              </w:rPr>
            </w:pPr>
            <w:r>
              <w:rPr>
                <w:rFonts w:ascii="Arial" w:cs="Arial" w:eastAsia="Arial" w:hAnsi="Arial"/>
                <w:sz w:val="14"/>
                <w:szCs w:val="14"/>
                <w:b w:val="1"/>
                <w:bCs w:val="1"/>
                <w:color w:val="FB4E0B"/>
              </w:rPr>
              <w:t>Year</w:t>
            </w: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total for CEO</w:t>
            </w:r>
            <w:r>
              <w:rPr>
                <w:rFonts w:ascii="Arial" w:cs="Arial" w:eastAsia="Arial" w:hAnsi="Arial"/>
                <w:sz w:val="8"/>
                <w:szCs w:val="8"/>
                <w:b w:val="1"/>
                <w:bCs w:val="1"/>
                <w:color w:val="auto"/>
                <w:w w:val="95"/>
              </w:rPr>
              <w:t>(1)</w:t>
            </w: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NEOs</w:t>
            </w:r>
            <w:r>
              <w:rPr>
                <w:rFonts w:ascii="Arial" w:cs="Arial" w:eastAsia="Arial" w:hAnsi="Arial"/>
                <w:sz w:val="8"/>
                <w:szCs w:val="8"/>
                <w:b w:val="1"/>
                <w:bCs w:val="1"/>
                <w:color w:val="auto"/>
                <w:w w:val="95"/>
              </w:rPr>
              <w:t>(2)</w:t>
            </w:r>
          </w:p>
        </w:tc>
        <w:tc>
          <w:tcPr>
            <w:tcW w:w="9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CEO</w:t>
            </w:r>
            <w:r>
              <w:rPr>
                <w:rFonts w:ascii="Arial" w:cs="Arial" w:eastAsia="Arial" w:hAnsi="Arial"/>
                <w:sz w:val="8"/>
                <w:szCs w:val="8"/>
                <w:b w:val="1"/>
                <w:bCs w:val="1"/>
                <w:color w:val="auto"/>
              </w:rPr>
              <w:t>(1)(3)</w:t>
            </w: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other NEOs</w:t>
            </w:r>
            <w:r>
              <w:rPr>
                <w:rFonts w:ascii="Arial" w:cs="Arial" w:eastAsia="Arial" w:hAnsi="Arial"/>
                <w:sz w:val="8"/>
                <w:szCs w:val="8"/>
                <w:b w:val="1"/>
                <w:bCs w:val="1"/>
                <w:color w:val="auto"/>
                <w:w w:val="93"/>
              </w:rPr>
              <w:t>(2)(3)</w:t>
            </w:r>
          </w:p>
        </w:tc>
        <w:tc>
          <w:tcPr>
            <w:tcW w:w="5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FB4E0B"/>
            </w:tcBorders>
            <w:vMerge w:val="continue"/>
          </w:tcPr>
          <w:p>
            <w:pPr>
              <w:spacing w:after="0"/>
              <w:rPr>
                <w:sz w:val="12"/>
                <w:szCs w:val="12"/>
                <w:color w:val="auto"/>
              </w:rPr>
            </w:pPr>
          </w:p>
        </w:tc>
        <w:tc>
          <w:tcPr>
            <w:tcW w:w="1280" w:type="dxa"/>
            <w:vAlign w:val="bottom"/>
            <w:tcBorders>
              <w:bottom w:val="single" w:sz="8" w:color="FB4E0B"/>
            </w:tcBorders>
          </w:tcPr>
          <w:p>
            <w:pPr>
              <w:jc w:val="center"/>
              <w:spacing w:after="0" w:line="143" w:lineRule="exact"/>
              <w:rPr>
                <w:sz w:val="20"/>
                <w:szCs w:val="20"/>
                <w:color w:val="auto"/>
              </w:rPr>
            </w:pPr>
            <w:r>
              <w:rPr>
                <w:rFonts w:ascii="Arial" w:cs="Arial" w:eastAsia="Arial" w:hAnsi="Arial"/>
                <w:sz w:val="14"/>
                <w:szCs w:val="14"/>
                <w:b w:val="1"/>
                <w:bCs w:val="1"/>
                <w:color w:val="auto"/>
                <w:w w:val="93"/>
              </w:rPr>
              <w:t>($)</w:t>
            </w:r>
          </w:p>
        </w:tc>
        <w:tc>
          <w:tcPr>
            <w:tcW w:w="1280" w:type="dxa"/>
            <w:vAlign w:val="bottom"/>
            <w:tcBorders>
              <w:bottom w:val="single" w:sz="8" w:color="FB4E0B"/>
            </w:tcBorders>
          </w:tcPr>
          <w:p>
            <w:pPr>
              <w:jc w:val="center"/>
              <w:spacing w:after="0" w:line="143" w:lineRule="exact"/>
              <w:rPr>
                <w:sz w:val="20"/>
                <w:szCs w:val="20"/>
                <w:color w:val="auto"/>
              </w:rPr>
            </w:pPr>
            <w:r>
              <w:rPr>
                <w:rFonts w:ascii="Arial" w:cs="Arial" w:eastAsia="Arial" w:hAnsi="Arial"/>
                <w:sz w:val="14"/>
                <w:szCs w:val="14"/>
                <w:b w:val="1"/>
                <w:bCs w:val="1"/>
                <w:color w:val="auto"/>
                <w:w w:val="93"/>
              </w:rPr>
              <w:t>($)</w:t>
            </w:r>
          </w:p>
        </w:tc>
        <w:tc>
          <w:tcPr>
            <w:tcW w:w="980" w:type="dxa"/>
            <w:vAlign w:val="bottom"/>
            <w:tcBorders>
              <w:bottom w:val="single" w:sz="8" w:color="FB4E0B"/>
            </w:tcBorders>
          </w:tcPr>
          <w:p>
            <w:pPr>
              <w:jc w:val="center"/>
              <w:spacing w:after="0" w:line="143" w:lineRule="exact"/>
              <w:rPr>
                <w:sz w:val="20"/>
                <w:szCs w:val="20"/>
                <w:color w:val="auto"/>
              </w:rPr>
            </w:pPr>
            <w:r>
              <w:rPr>
                <w:rFonts w:ascii="Arial" w:cs="Arial" w:eastAsia="Arial" w:hAnsi="Arial"/>
                <w:sz w:val="14"/>
                <w:szCs w:val="14"/>
                <w:b w:val="1"/>
                <w:bCs w:val="1"/>
                <w:color w:val="auto"/>
                <w:w w:val="93"/>
              </w:rPr>
              <w:t>($)</w:t>
            </w:r>
          </w:p>
        </w:tc>
        <w:tc>
          <w:tcPr>
            <w:tcW w:w="1160" w:type="dxa"/>
            <w:vAlign w:val="bottom"/>
            <w:tcBorders>
              <w:bottom w:val="single" w:sz="8" w:color="FB4E0B"/>
            </w:tcBorders>
          </w:tcPr>
          <w:p>
            <w:pPr>
              <w:jc w:val="center"/>
              <w:spacing w:after="0" w:line="143" w:lineRule="exact"/>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FB4E0B"/>
            </w:tcBorders>
          </w:tcPr>
          <w:p>
            <w:pPr>
              <w:ind w:left="220"/>
              <w:spacing w:after="0" w:line="143"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FB4E0B"/>
            </w:tcBorders>
          </w:tcPr>
          <w:p>
            <w:pPr>
              <w:jc w:val="right"/>
              <w:ind w:right="391"/>
              <w:spacing w:after="0" w:line="143"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FB4E0B"/>
            </w:tcBorders>
          </w:tcPr>
          <w:p>
            <w:pPr>
              <w:jc w:val="right"/>
              <w:spacing w:after="0" w:line="143" w:lineRule="exact"/>
              <w:rPr>
                <w:sz w:val="20"/>
                <w:szCs w:val="20"/>
                <w:color w:val="auto"/>
              </w:rPr>
            </w:pPr>
            <w:r>
              <w:rPr>
                <w:rFonts w:ascii="Arial" w:cs="Arial" w:eastAsia="Arial" w:hAnsi="Arial"/>
                <w:sz w:val="14"/>
                <w:szCs w:val="14"/>
                <w:b w:val="1"/>
                <w:bCs w:val="1"/>
                <w:color w:val="auto"/>
                <w:w w:val="93"/>
              </w:rPr>
              <w:t>($ in millions)</w:t>
            </w:r>
          </w:p>
        </w:tc>
        <w:tc>
          <w:tcPr>
            <w:tcW w:w="1740" w:type="dxa"/>
            <w:vAlign w:val="bottom"/>
            <w:tcBorders>
              <w:bottom w:val="single" w:sz="8" w:color="FB4E0B"/>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2022</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11,010,906</w:t>
            </w:r>
          </w:p>
        </w:tc>
        <w:tc>
          <w:tcPr>
            <w:tcW w:w="12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2,697,045</w:t>
            </w:r>
          </w:p>
        </w:tc>
        <w:tc>
          <w:tcPr>
            <w:tcW w:w="9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16,069,419</w:t>
            </w:r>
          </w:p>
        </w:tc>
        <w:tc>
          <w:tcPr>
            <w:tcW w:w="11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4,081,949</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244</w:t>
            </w:r>
          </w:p>
        </w:tc>
        <w:tc>
          <w:tcPr>
            <w:tcW w:w="112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116</w:t>
            </w:r>
          </w:p>
        </w:tc>
        <w:tc>
          <w:tcPr>
            <w:tcW w:w="8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143</w:t>
            </w:r>
          </w:p>
        </w:tc>
        <w:tc>
          <w:tcPr>
            <w:tcW w:w="1740" w:type="dxa"/>
            <w:vAlign w:val="bottom"/>
          </w:tcPr>
          <w:p>
            <w:pPr>
              <w:jc w:val="right"/>
              <w:ind w:right="71"/>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90"/>
        </w:trPr>
        <w:tc>
          <w:tcPr>
            <w:tcW w:w="162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10,033,589</w:t>
            </w:r>
          </w:p>
        </w:tc>
        <w:tc>
          <w:tcPr>
            <w:tcW w:w="12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3,445,143</w:t>
            </w:r>
          </w:p>
        </w:tc>
        <w:tc>
          <w:tcPr>
            <w:tcW w:w="9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19,117,355</w:t>
            </w:r>
          </w:p>
        </w:tc>
        <w:tc>
          <w:tcPr>
            <w:tcW w:w="11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5,740,391</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208</w:t>
            </w:r>
          </w:p>
        </w:tc>
        <w:tc>
          <w:tcPr>
            <w:tcW w:w="112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130</w:t>
            </w:r>
          </w:p>
        </w:tc>
        <w:tc>
          <w:tcPr>
            <w:tcW w:w="8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115</w:t>
            </w:r>
          </w:p>
        </w:tc>
        <w:tc>
          <w:tcPr>
            <w:tcW w:w="1740" w:type="dxa"/>
            <w:vAlign w:val="bottom"/>
          </w:tcPr>
          <w:p>
            <w:pPr>
              <w:jc w:val="right"/>
              <w:ind w:right="71"/>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90"/>
        </w:trPr>
        <w:tc>
          <w:tcPr>
            <w:tcW w:w="162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7,141,267</w:t>
            </w:r>
          </w:p>
        </w:tc>
        <w:tc>
          <w:tcPr>
            <w:tcW w:w="12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1,913,189</w:t>
            </w:r>
          </w:p>
        </w:tc>
        <w:tc>
          <w:tcPr>
            <w:tcW w:w="9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8,690,902</w:t>
            </w:r>
          </w:p>
        </w:tc>
        <w:tc>
          <w:tcPr>
            <w:tcW w:w="11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3,166,120</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123</w:t>
            </w:r>
          </w:p>
        </w:tc>
        <w:tc>
          <w:tcPr>
            <w:tcW w:w="112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102</w:t>
            </w:r>
          </w:p>
        </w:tc>
        <w:tc>
          <w:tcPr>
            <w:tcW w:w="8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89</w:t>
            </w:r>
          </w:p>
        </w:tc>
        <w:tc>
          <w:tcPr>
            <w:tcW w:w="1740" w:type="dxa"/>
            <w:vAlign w:val="bottom"/>
          </w:tcPr>
          <w:p>
            <w:pPr>
              <w:jc w:val="right"/>
              <w:ind w:right="71"/>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96"/>
        </w:trPr>
        <w:tc>
          <w:tcPr>
            <w:tcW w:w="1620" w:type="dxa"/>
            <w:vAlign w:val="bottom"/>
            <w:tcBorders>
              <w:bottom w:val="single" w:sz="8" w:color="FB4E0B"/>
              <w:right w:val="single" w:sz="8" w:color="auto"/>
            </w:tcBorders>
          </w:tcPr>
          <w:p>
            <w:pPr>
              <w:spacing w:after="0"/>
              <w:rPr>
                <w:sz w:val="8"/>
                <w:szCs w:val="8"/>
                <w:color w:val="auto"/>
              </w:rPr>
            </w:pPr>
          </w:p>
        </w:tc>
        <w:tc>
          <w:tcPr>
            <w:tcW w:w="1280" w:type="dxa"/>
            <w:vAlign w:val="bottom"/>
            <w:tcBorders>
              <w:bottom w:val="single" w:sz="8" w:color="FB4E0B"/>
              <w:right w:val="single" w:sz="8" w:color="auto"/>
            </w:tcBorders>
          </w:tcPr>
          <w:p>
            <w:pPr>
              <w:spacing w:after="0"/>
              <w:rPr>
                <w:sz w:val="8"/>
                <w:szCs w:val="8"/>
                <w:color w:val="auto"/>
              </w:rPr>
            </w:pPr>
          </w:p>
        </w:tc>
        <w:tc>
          <w:tcPr>
            <w:tcW w:w="1280" w:type="dxa"/>
            <w:vAlign w:val="bottom"/>
            <w:tcBorders>
              <w:bottom w:val="single" w:sz="8" w:color="FB4E0B"/>
              <w:right w:val="single" w:sz="8" w:color="auto"/>
            </w:tcBorders>
          </w:tcPr>
          <w:p>
            <w:pPr>
              <w:spacing w:after="0"/>
              <w:rPr>
                <w:sz w:val="8"/>
                <w:szCs w:val="8"/>
                <w:color w:val="auto"/>
              </w:rPr>
            </w:pPr>
          </w:p>
        </w:tc>
        <w:tc>
          <w:tcPr>
            <w:tcW w:w="980" w:type="dxa"/>
            <w:vAlign w:val="bottom"/>
            <w:tcBorders>
              <w:bottom w:val="single" w:sz="8" w:color="FB4E0B"/>
              <w:right w:val="single" w:sz="8" w:color="auto"/>
            </w:tcBorders>
          </w:tcPr>
          <w:p>
            <w:pPr>
              <w:spacing w:after="0"/>
              <w:rPr>
                <w:sz w:val="8"/>
                <w:szCs w:val="8"/>
                <w:color w:val="auto"/>
              </w:rPr>
            </w:pPr>
          </w:p>
        </w:tc>
        <w:tc>
          <w:tcPr>
            <w:tcW w:w="1160" w:type="dxa"/>
            <w:vAlign w:val="bottom"/>
            <w:tcBorders>
              <w:bottom w:val="single" w:sz="8" w:color="FB4E0B"/>
              <w:right w:val="single" w:sz="8" w:color="auto"/>
            </w:tcBorders>
          </w:tcPr>
          <w:p>
            <w:pPr>
              <w:spacing w:after="0"/>
              <w:rPr>
                <w:sz w:val="8"/>
                <w:szCs w:val="8"/>
                <w:color w:val="auto"/>
              </w:rPr>
            </w:pPr>
          </w:p>
        </w:tc>
        <w:tc>
          <w:tcPr>
            <w:tcW w:w="560" w:type="dxa"/>
            <w:vAlign w:val="bottom"/>
            <w:tcBorders>
              <w:bottom w:val="single" w:sz="8" w:color="FB4E0B"/>
              <w:right w:val="single" w:sz="8" w:color="auto"/>
            </w:tcBorders>
          </w:tcPr>
          <w:p>
            <w:pPr>
              <w:spacing w:after="0"/>
              <w:rPr>
                <w:sz w:val="8"/>
                <w:szCs w:val="8"/>
                <w:color w:val="auto"/>
              </w:rPr>
            </w:pPr>
          </w:p>
        </w:tc>
        <w:tc>
          <w:tcPr>
            <w:tcW w:w="1120" w:type="dxa"/>
            <w:vAlign w:val="bottom"/>
            <w:tcBorders>
              <w:bottom w:val="single" w:sz="8" w:color="FB4E0B"/>
              <w:right w:val="single" w:sz="8" w:color="auto"/>
            </w:tcBorders>
          </w:tcPr>
          <w:p>
            <w:pPr>
              <w:spacing w:after="0"/>
              <w:rPr>
                <w:sz w:val="8"/>
                <w:szCs w:val="8"/>
                <w:color w:val="auto"/>
              </w:rPr>
            </w:pPr>
          </w:p>
        </w:tc>
        <w:tc>
          <w:tcPr>
            <w:tcW w:w="880" w:type="dxa"/>
            <w:vAlign w:val="bottom"/>
            <w:tcBorders>
              <w:bottom w:val="single" w:sz="8" w:color="FB4E0B"/>
              <w:right w:val="single" w:sz="8" w:color="auto"/>
            </w:tcBorders>
          </w:tcPr>
          <w:p>
            <w:pPr>
              <w:spacing w:after="0"/>
              <w:rPr>
                <w:sz w:val="8"/>
                <w:szCs w:val="8"/>
                <w:color w:val="auto"/>
              </w:rPr>
            </w:pPr>
          </w:p>
        </w:tc>
        <w:tc>
          <w:tcPr>
            <w:tcW w:w="174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4" w:hanging="184"/>
        <w:spacing w:after="0"/>
        <w:tabs>
          <w:tab w:leader="none" w:pos="1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CEO for each of 2022, 2021, and 2020 was Rohit Kapoor.</w:t>
      </w:r>
    </w:p>
    <w:p>
      <w:pPr>
        <w:spacing w:after="0" w:line="3" w:lineRule="exact"/>
        <w:rPr>
          <w:rFonts w:ascii="Arial" w:cs="Arial" w:eastAsia="Arial" w:hAnsi="Arial"/>
          <w:sz w:val="13"/>
          <w:szCs w:val="13"/>
          <w:color w:val="auto"/>
        </w:rPr>
      </w:pPr>
    </w:p>
    <w:p>
      <w:pPr>
        <w:ind w:left="184" w:hanging="184"/>
        <w:spacing w:after="0"/>
        <w:tabs>
          <w:tab w:leader="none" w:pos="1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other named executive officers for each applicable year are as follows:</w:t>
      </w:r>
    </w:p>
    <w:p>
      <w:pPr>
        <w:spacing w:after="0" w:line="100" w:lineRule="exact"/>
        <w:rPr>
          <w:rFonts w:ascii="Arial" w:cs="Arial" w:eastAsia="Arial" w:hAnsi="Arial"/>
          <w:sz w:val="13"/>
          <w:szCs w:val="13"/>
          <w:color w:val="auto"/>
        </w:rPr>
      </w:pPr>
    </w:p>
    <w:p>
      <w:pPr>
        <w:ind w:left="624" w:hanging="311"/>
        <w:spacing w:after="0"/>
        <w:tabs>
          <w:tab w:leader="none" w:pos="624" w:val="left"/>
        </w:tabs>
        <w:numPr>
          <w:ilvl w:val="1"/>
          <w:numId w:val="39"/>
        </w:numPr>
        <w:rPr>
          <w:rFonts w:ascii="Arial" w:cs="Arial" w:eastAsia="Arial" w:hAnsi="Arial"/>
          <w:sz w:val="13"/>
          <w:szCs w:val="13"/>
          <w:color w:val="auto"/>
        </w:rPr>
      </w:pPr>
      <w:r>
        <w:rPr>
          <w:rFonts w:ascii="Arial" w:cs="Arial" w:eastAsia="Arial" w:hAnsi="Arial"/>
          <w:sz w:val="13"/>
          <w:szCs w:val="13"/>
          <w:color w:val="auto"/>
        </w:rPr>
        <w:t>2022: Maurizio Nicolelli, Vikas Bhalla, Vivek Jetley, and Ankor Rai</w:t>
      </w:r>
    </w:p>
    <w:p>
      <w:pPr>
        <w:spacing w:after="0" w:line="3" w:lineRule="exact"/>
        <w:rPr>
          <w:rFonts w:ascii="Arial" w:cs="Arial" w:eastAsia="Arial" w:hAnsi="Arial"/>
          <w:sz w:val="13"/>
          <w:szCs w:val="13"/>
          <w:color w:val="auto"/>
        </w:rPr>
      </w:pPr>
    </w:p>
    <w:p>
      <w:pPr>
        <w:ind w:left="624" w:hanging="311"/>
        <w:spacing w:after="0" w:line="229" w:lineRule="auto"/>
        <w:tabs>
          <w:tab w:leader="none" w:pos="624" w:val="left"/>
        </w:tabs>
        <w:numPr>
          <w:ilvl w:val="1"/>
          <w:numId w:val="39"/>
        </w:numPr>
        <w:rPr>
          <w:rFonts w:ascii="Arial" w:cs="Arial" w:eastAsia="Arial" w:hAnsi="Arial"/>
          <w:sz w:val="13"/>
          <w:szCs w:val="13"/>
          <w:color w:val="auto"/>
        </w:rPr>
      </w:pPr>
      <w:r>
        <w:rPr>
          <w:rFonts w:ascii="Arial" w:cs="Arial" w:eastAsia="Arial" w:hAnsi="Arial"/>
          <w:sz w:val="13"/>
          <w:szCs w:val="13"/>
          <w:color w:val="auto"/>
        </w:rPr>
        <w:t>2021: Maurizio Nicolelli, Vikas Bhalla, Vivek Jetley, and Samuel Meckey</w:t>
      </w:r>
    </w:p>
    <w:p>
      <w:pPr>
        <w:ind w:left="624" w:hanging="311"/>
        <w:spacing w:after="0"/>
        <w:tabs>
          <w:tab w:leader="none" w:pos="624" w:val="left"/>
        </w:tabs>
        <w:numPr>
          <w:ilvl w:val="1"/>
          <w:numId w:val="39"/>
        </w:numPr>
        <w:rPr>
          <w:rFonts w:ascii="Arial" w:cs="Arial" w:eastAsia="Arial" w:hAnsi="Arial"/>
          <w:sz w:val="13"/>
          <w:szCs w:val="13"/>
          <w:color w:val="auto"/>
        </w:rPr>
      </w:pPr>
      <w:r>
        <w:rPr>
          <w:rFonts w:ascii="Arial" w:cs="Arial" w:eastAsia="Arial" w:hAnsi="Arial"/>
          <w:sz w:val="13"/>
          <w:szCs w:val="13"/>
          <w:color w:val="auto"/>
        </w:rPr>
        <w:t>2020: Maurizio Nicolelli, Pavan Bagai, Nalin Miglani, Vikas Bhalla, and Samuel Meckey</w:t>
      </w:r>
    </w:p>
    <w:p>
      <w:pPr>
        <w:spacing w:after="0" w:line="87" w:lineRule="exact"/>
        <w:rPr>
          <w:rFonts w:ascii="Arial" w:cs="Arial" w:eastAsia="Arial" w:hAnsi="Arial"/>
          <w:sz w:val="13"/>
          <w:szCs w:val="13"/>
          <w:color w:val="auto"/>
        </w:rPr>
      </w:pPr>
    </w:p>
    <w:p>
      <w:pPr>
        <w:ind w:left="4" w:right="20" w:hanging="4"/>
        <w:spacing w:after="0" w:line="256" w:lineRule="auto"/>
        <w:tabs>
          <w:tab w:leader="none" w:pos="1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SEC rules require certain adjustments be made to the Summary Compensation Table totals to determine “compensation actually paid” as reported in the Pay versus Performance Table. “Compensation actually paid” does not represent cash and/or equity value transferred to, or actually earned or realized by,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December 31, 2022, or, if earlier, the vesting date (rather than the grant date) and factor in dividends and interest accrued with respect to such awards. For purposes of the pension valuation adjustments shown below, there was no prior service cost to report. In addition, for purposes of the equity award adjustments shown below, no equity awards were cancelled due to failure to meet vesting conditions, no equity awards were granted and vested in the same year, and there are no dividends or interest accrued to report. The following table details these adjustments:</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3"/>
              </w:rPr>
              <w:t>Summary</w:t>
            </w:r>
          </w:p>
        </w:tc>
        <w:tc>
          <w:tcPr>
            <w:tcW w:w="108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87"/>
              </w:rPr>
              <w:t>Deduct change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Add year-end value</w:t>
            </w:r>
          </w:p>
        </w:tc>
        <w:tc>
          <w:tcPr>
            <w:tcW w:w="16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88"/>
              </w:rPr>
              <w:t>Add change in value of</w:t>
            </w:r>
          </w:p>
        </w:tc>
        <w:tc>
          <w:tcPr>
            <w:tcW w:w="1520" w:type="dxa"/>
            <w:vAlign w:val="bottom"/>
          </w:tcPr>
          <w:p>
            <w:pPr>
              <w:jc w:val="center"/>
              <w:ind w:right="11"/>
              <w:spacing w:after="0"/>
              <w:rPr>
                <w:sz w:val="20"/>
                <w:szCs w:val="20"/>
                <w:color w:val="auto"/>
              </w:rPr>
            </w:pPr>
            <w:r>
              <w:rPr>
                <w:rFonts w:ascii="Arial" w:cs="Arial" w:eastAsia="Arial" w:hAnsi="Arial"/>
                <w:sz w:val="14"/>
                <w:szCs w:val="14"/>
                <w:b w:val="1"/>
                <w:bCs w:val="1"/>
                <w:color w:val="auto"/>
                <w:w w:val="88"/>
              </w:rPr>
              <w:t>Add change in value</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89"/>
              </w:rPr>
              <w:t>Add pension</w:t>
            </w:r>
          </w:p>
        </w:tc>
        <w:tc>
          <w:tcPr>
            <w:tcW w:w="9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Deduct stock</w:t>
            </w:r>
          </w:p>
        </w:tc>
        <w:tc>
          <w:tcPr>
            <w:tcW w:w="138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87"/>
              </w:rPr>
              <w:t>of unvested equity</w:t>
            </w:r>
          </w:p>
        </w:tc>
        <w:tc>
          <w:tcPr>
            <w:tcW w:w="1600" w:type="dxa"/>
            <w:vAlign w:val="bottom"/>
            <w:vMerge w:val="continue"/>
          </w:tcPr>
          <w:p>
            <w:pPr>
              <w:spacing w:after="0"/>
              <w:rPr>
                <w:sz w:val="12"/>
                <w:szCs w:val="12"/>
                <w:color w:val="auto"/>
              </w:rPr>
            </w:pPr>
          </w:p>
        </w:tc>
        <w:tc>
          <w:tcPr>
            <w:tcW w:w="15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of equity awards</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5"/>
              </w:rPr>
              <w:t>in pension</w:t>
            </w:r>
          </w:p>
        </w:tc>
        <w:tc>
          <w:tcPr>
            <w:tcW w:w="9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8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90"/>
              </w:rPr>
              <w:t>awards granted in</w:t>
            </w:r>
          </w:p>
        </w:tc>
        <w:tc>
          <w:tcPr>
            <w:tcW w:w="160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8"/>
              </w:rPr>
              <w:t>unvested equity awards</w:t>
            </w:r>
          </w:p>
        </w:tc>
        <w:tc>
          <w:tcPr>
            <w:tcW w:w="15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granted in prior years</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1"/>
              </w:rPr>
              <w:t>Table total</w:t>
            </w:r>
          </w:p>
        </w:tc>
        <w:tc>
          <w:tcPr>
            <w:tcW w:w="108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9"/>
              </w:rPr>
              <w:t>value</w:t>
            </w:r>
          </w:p>
        </w:tc>
        <w:tc>
          <w:tcPr>
            <w:tcW w:w="96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3"/>
              </w:rPr>
              <w:t>service cost</w:t>
            </w:r>
          </w:p>
        </w:tc>
        <w:tc>
          <w:tcPr>
            <w:tcW w:w="960" w:type="dxa"/>
            <w:vAlign w:val="bottom"/>
          </w:tcPr>
          <w:p>
            <w:pPr>
              <w:jc w:val="right"/>
              <w:ind w:right="231"/>
              <w:spacing w:after="0" w:line="143" w:lineRule="exact"/>
              <w:rPr>
                <w:sz w:val="20"/>
                <w:szCs w:val="20"/>
                <w:color w:val="auto"/>
              </w:rPr>
            </w:pPr>
            <w:r>
              <w:rPr>
                <w:rFonts w:ascii="Arial" w:cs="Arial" w:eastAsia="Arial" w:hAnsi="Arial"/>
                <w:sz w:val="14"/>
                <w:szCs w:val="14"/>
                <w:b w:val="1"/>
                <w:bCs w:val="1"/>
                <w:color w:val="auto"/>
              </w:rPr>
              <w:t>awards</w:t>
            </w:r>
          </w:p>
        </w:tc>
        <w:tc>
          <w:tcPr>
            <w:tcW w:w="138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0"/>
              </w:rPr>
              <w:t>year</w:t>
            </w:r>
          </w:p>
        </w:tc>
        <w:tc>
          <w:tcPr>
            <w:tcW w:w="160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90"/>
              </w:rPr>
              <w:t>granted in prior years</w:t>
            </w:r>
          </w:p>
        </w:tc>
        <w:tc>
          <w:tcPr>
            <w:tcW w:w="15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87"/>
              </w:rPr>
              <w:t>which vested in year</w:t>
            </w:r>
          </w:p>
        </w:tc>
        <w:tc>
          <w:tcPr>
            <w:tcW w:w="0" w:type="dxa"/>
            <w:vAlign w:val="bottom"/>
          </w:tcPr>
          <w:p>
            <w:pPr>
              <w:spacing w:after="0"/>
              <w:rPr>
                <w:sz w:val="1"/>
                <w:szCs w:val="1"/>
                <w:color w:val="auto"/>
              </w:rPr>
            </w:pPr>
          </w:p>
        </w:tc>
      </w:tr>
      <w:tr>
        <w:trPr>
          <w:trHeight w:val="193"/>
        </w:trPr>
        <w:tc>
          <w:tcPr>
            <w:tcW w:w="1020" w:type="dxa"/>
            <w:vAlign w:val="bottom"/>
          </w:tcPr>
          <w:p>
            <w:pPr>
              <w:ind w:left="60"/>
              <w:spacing w:after="0"/>
              <w:rPr>
                <w:sz w:val="20"/>
                <w:szCs w:val="20"/>
                <w:color w:val="auto"/>
              </w:rPr>
            </w:pPr>
            <w:r>
              <w:rPr>
                <w:rFonts w:ascii="Arial" w:cs="Arial" w:eastAsia="Arial" w:hAnsi="Arial"/>
                <w:sz w:val="14"/>
                <w:szCs w:val="14"/>
                <w:b w:val="1"/>
                <w:bCs w:val="1"/>
                <w:color w:val="FB4E0B"/>
              </w:rPr>
              <w:t>Year</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Executive(s)</w:t>
            </w:r>
          </w:p>
        </w:tc>
        <w:tc>
          <w:tcPr>
            <w:tcW w:w="104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96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w:t>
            </w:r>
          </w:p>
        </w:tc>
        <w:tc>
          <w:tcPr>
            <w:tcW w:w="160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152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6"/>
        </w:trPr>
        <w:tc>
          <w:tcPr>
            <w:tcW w:w="1020" w:type="dxa"/>
            <w:vAlign w:val="bottom"/>
            <w:tcBorders>
              <w:bottom w:val="single" w:sz="8" w:color="FB4E0B"/>
            </w:tcBorders>
          </w:tcPr>
          <w:p>
            <w:pPr>
              <w:spacing w:after="0"/>
              <w:rPr>
                <w:sz w:val="8"/>
                <w:szCs w:val="8"/>
                <w:color w:val="auto"/>
              </w:rPr>
            </w:pPr>
          </w:p>
        </w:tc>
        <w:tc>
          <w:tcPr>
            <w:tcW w:w="1060" w:type="dxa"/>
            <w:vAlign w:val="bottom"/>
            <w:tcBorders>
              <w:bottom w:val="single" w:sz="8" w:color="FB4E0B"/>
            </w:tcBorders>
          </w:tcPr>
          <w:p>
            <w:pPr>
              <w:spacing w:after="0"/>
              <w:rPr>
                <w:sz w:val="8"/>
                <w:szCs w:val="8"/>
                <w:color w:val="auto"/>
              </w:rPr>
            </w:pPr>
          </w:p>
        </w:tc>
        <w:tc>
          <w:tcPr>
            <w:tcW w:w="1040" w:type="dxa"/>
            <w:vAlign w:val="bottom"/>
            <w:tcBorders>
              <w:bottom w:val="single" w:sz="8" w:color="FB4E0B"/>
            </w:tcBorders>
          </w:tcPr>
          <w:p>
            <w:pPr>
              <w:spacing w:after="0"/>
              <w:rPr>
                <w:sz w:val="8"/>
                <w:szCs w:val="8"/>
                <w:color w:val="auto"/>
              </w:rPr>
            </w:pPr>
          </w:p>
        </w:tc>
        <w:tc>
          <w:tcPr>
            <w:tcW w:w="1080" w:type="dxa"/>
            <w:vAlign w:val="bottom"/>
            <w:tcBorders>
              <w:bottom w:val="single" w:sz="8" w:color="FB4E0B"/>
            </w:tcBorders>
          </w:tcPr>
          <w:p>
            <w:pPr>
              <w:spacing w:after="0"/>
              <w:rPr>
                <w:sz w:val="8"/>
                <w:szCs w:val="8"/>
                <w:color w:val="auto"/>
              </w:rPr>
            </w:pPr>
          </w:p>
        </w:tc>
        <w:tc>
          <w:tcPr>
            <w:tcW w:w="960" w:type="dxa"/>
            <w:vAlign w:val="bottom"/>
            <w:tcBorders>
              <w:bottom w:val="single" w:sz="8" w:color="FB4E0B"/>
            </w:tcBorders>
          </w:tcPr>
          <w:p>
            <w:pPr>
              <w:spacing w:after="0"/>
              <w:rPr>
                <w:sz w:val="8"/>
                <w:szCs w:val="8"/>
                <w:color w:val="auto"/>
              </w:rPr>
            </w:pPr>
          </w:p>
        </w:tc>
        <w:tc>
          <w:tcPr>
            <w:tcW w:w="960" w:type="dxa"/>
            <w:vAlign w:val="bottom"/>
            <w:tcBorders>
              <w:bottom w:val="single" w:sz="8" w:color="FB4E0B"/>
            </w:tcBorders>
          </w:tcPr>
          <w:p>
            <w:pPr>
              <w:spacing w:after="0"/>
              <w:rPr>
                <w:sz w:val="8"/>
                <w:szCs w:val="8"/>
                <w:color w:val="auto"/>
              </w:rPr>
            </w:pPr>
          </w:p>
        </w:tc>
        <w:tc>
          <w:tcPr>
            <w:tcW w:w="1380" w:type="dxa"/>
            <w:vAlign w:val="bottom"/>
            <w:tcBorders>
              <w:bottom w:val="single" w:sz="8" w:color="FB4E0B"/>
            </w:tcBorders>
          </w:tcPr>
          <w:p>
            <w:pPr>
              <w:spacing w:after="0"/>
              <w:rPr>
                <w:sz w:val="8"/>
                <w:szCs w:val="8"/>
                <w:color w:val="auto"/>
              </w:rPr>
            </w:pPr>
          </w:p>
        </w:tc>
        <w:tc>
          <w:tcPr>
            <w:tcW w:w="1600" w:type="dxa"/>
            <w:vAlign w:val="bottom"/>
            <w:tcBorders>
              <w:bottom w:val="single" w:sz="8" w:color="FB4E0B"/>
            </w:tcBorders>
          </w:tcPr>
          <w:p>
            <w:pPr>
              <w:spacing w:after="0"/>
              <w:rPr>
                <w:sz w:val="8"/>
                <w:szCs w:val="8"/>
                <w:color w:val="auto"/>
              </w:rPr>
            </w:pPr>
          </w:p>
        </w:tc>
        <w:tc>
          <w:tcPr>
            <w:tcW w:w="152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2022</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CEO</w:t>
            </w:r>
          </w:p>
        </w:tc>
        <w:tc>
          <w:tcPr>
            <w:tcW w:w="10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11,010,906</w:t>
            </w:r>
          </w:p>
        </w:tc>
        <w:tc>
          <w:tcPr>
            <w:tcW w:w="10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8,356,213</w:t>
            </w:r>
          </w:p>
        </w:tc>
        <w:tc>
          <w:tcPr>
            <w:tcW w:w="13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10,658,841</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1,995,931</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759,954</w:t>
            </w:r>
          </w:p>
        </w:tc>
        <w:tc>
          <w:tcPr>
            <w:tcW w:w="0" w:type="dxa"/>
            <w:vAlign w:val="bottom"/>
          </w:tcPr>
          <w:p>
            <w:pPr>
              <w:spacing w:after="0"/>
              <w:rPr>
                <w:sz w:val="1"/>
                <w:szCs w:val="1"/>
                <w:color w:val="auto"/>
              </w:rPr>
            </w:pPr>
          </w:p>
        </w:tc>
      </w:tr>
      <w:tr>
        <w:trPr>
          <w:trHeight w:val="273"/>
        </w:trPr>
        <w:tc>
          <w:tcPr>
            <w:tcW w:w="102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Other NEOs</w:t>
            </w:r>
          </w:p>
        </w:tc>
        <w:tc>
          <w:tcPr>
            <w:tcW w:w="10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2,697,045</w:t>
            </w:r>
          </w:p>
        </w:tc>
        <w:tc>
          <w:tcPr>
            <w:tcW w:w="10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20,200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124,859</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1,797,927</w:t>
            </w:r>
          </w:p>
        </w:tc>
        <w:tc>
          <w:tcPr>
            <w:tcW w:w="13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2,336,355</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635,050</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106,766</w:t>
            </w:r>
          </w:p>
        </w:tc>
        <w:tc>
          <w:tcPr>
            <w:tcW w:w="0" w:type="dxa"/>
            <w:vAlign w:val="bottom"/>
          </w:tcPr>
          <w:p>
            <w:pPr>
              <w:spacing w:after="0"/>
              <w:rPr>
                <w:sz w:val="1"/>
                <w:szCs w:val="1"/>
                <w:color w:val="auto"/>
              </w:rPr>
            </w:pPr>
          </w:p>
        </w:tc>
      </w:tr>
      <w:tr>
        <w:trPr>
          <w:trHeight w:val="51"/>
        </w:trPr>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CEO</w:t>
            </w:r>
          </w:p>
        </w:tc>
        <w:tc>
          <w:tcPr>
            <w:tcW w:w="10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10,033,589</w:t>
            </w:r>
          </w:p>
        </w:tc>
        <w:tc>
          <w:tcPr>
            <w:tcW w:w="10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7,209,918</w:t>
            </w:r>
          </w:p>
        </w:tc>
        <w:tc>
          <w:tcPr>
            <w:tcW w:w="13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10,249,716</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4,905,807</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1,138,161</w:t>
            </w:r>
          </w:p>
        </w:tc>
        <w:tc>
          <w:tcPr>
            <w:tcW w:w="0" w:type="dxa"/>
            <w:vAlign w:val="bottom"/>
          </w:tcPr>
          <w:p>
            <w:pPr>
              <w:spacing w:after="0"/>
              <w:rPr>
                <w:sz w:val="1"/>
                <w:szCs w:val="1"/>
                <w:color w:val="auto"/>
              </w:rPr>
            </w:pPr>
          </w:p>
        </w:tc>
      </w:tr>
      <w:tr>
        <w:trPr>
          <w:trHeight w:val="273"/>
        </w:trPr>
        <w:tc>
          <w:tcPr>
            <w:tcW w:w="102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Other NEOs</w:t>
            </w:r>
          </w:p>
        </w:tc>
        <w:tc>
          <w:tcPr>
            <w:tcW w:w="10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3,445,143</w:t>
            </w:r>
          </w:p>
        </w:tc>
        <w:tc>
          <w:tcPr>
            <w:tcW w:w="10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16,865</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116,473</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2,420,631</w:t>
            </w:r>
          </w:p>
        </w:tc>
        <w:tc>
          <w:tcPr>
            <w:tcW w:w="13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3,469,558</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927,536</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219,178</w:t>
            </w:r>
          </w:p>
        </w:tc>
        <w:tc>
          <w:tcPr>
            <w:tcW w:w="0" w:type="dxa"/>
            <w:vAlign w:val="bottom"/>
          </w:tcPr>
          <w:p>
            <w:pPr>
              <w:spacing w:after="0"/>
              <w:rPr>
                <w:sz w:val="1"/>
                <w:szCs w:val="1"/>
                <w:color w:val="auto"/>
              </w:rPr>
            </w:pPr>
          </w:p>
        </w:tc>
      </w:tr>
      <w:tr>
        <w:trPr>
          <w:trHeight w:val="51"/>
        </w:trPr>
        <w:tc>
          <w:tcPr>
            <w:tcW w:w="10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CEO</w:t>
            </w:r>
          </w:p>
        </w:tc>
        <w:tc>
          <w:tcPr>
            <w:tcW w:w="10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7,141,267</w:t>
            </w:r>
          </w:p>
        </w:tc>
        <w:tc>
          <w:tcPr>
            <w:tcW w:w="10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5,701,209</w:t>
            </w:r>
          </w:p>
        </w:tc>
        <w:tc>
          <w:tcPr>
            <w:tcW w:w="13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5,633,903</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1,152,826</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464,114</w:t>
            </w:r>
          </w:p>
        </w:tc>
        <w:tc>
          <w:tcPr>
            <w:tcW w:w="0" w:type="dxa"/>
            <w:vAlign w:val="bottom"/>
          </w:tcPr>
          <w:p>
            <w:pPr>
              <w:spacing w:after="0"/>
              <w:rPr>
                <w:sz w:val="1"/>
                <w:szCs w:val="1"/>
                <w:color w:val="auto"/>
              </w:rPr>
            </w:pPr>
          </w:p>
        </w:tc>
      </w:tr>
      <w:tr>
        <w:trPr>
          <w:trHeight w:val="324"/>
        </w:trPr>
        <w:tc>
          <w:tcPr>
            <w:tcW w:w="102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Other NEOs</w:t>
            </w:r>
          </w:p>
        </w:tc>
        <w:tc>
          <w:tcPr>
            <w:tcW w:w="104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1,913,189</w:t>
            </w:r>
          </w:p>
        </w:tc>
        <w:tc>
          <w:tcPr>
            <w:tcW w:w="10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5,527</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104,557</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1,164,079</w:t>
            </w:r>
          </w:p>
        </w:tc>
        <w:tc>
          <w:tcPr>
            <w:tcW w:w="1380" w:type="dxa"/>
            <w:vAlign w:val="bottom"/>
            <w:tcBorders>
              <w:right w:val="single" w:sz="8" w:color="auto"/>
            </w:tcBorders>
          </w:tcPr>
          <w:p>
            <w:pPr>
              <w:jc w:val="right"/>
              <w:ind w:right="91"/>
              <w:spacing w:after="0"/>
              <w:rPr>
                <w:sz w:val="20"/>
                <w:szCs w:val="20"/>
                <w:color w:val="auto"/>
              </w:rPr>
            </w:pPr>
            <w:r>
              <w:rPr>
                <w:rFonts w:ascii="Arial" w:cs="Arial" w:eastAsia="Arial" w:hAnsi="Arial"/>
                <w:sz w:val="14"/>
                <w:szCs w:val="14"/>
                <w:color w:val="auto"/>
              </w:rPr>
              <w:t>1,963,489</w:t>
            </w:r>
          </w:p>
        </w:tc>
        <w:tc>
          <w:tcPr>
            <w:tcW w:w="160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256,269</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98,222</w:t>
            </w:r>
          </w:p>
        </w:tc>
        <w:tc>
          <w:tcPr>
            <w:tcW w:w="0" w:type="dxa"/>
            <w:vAlign w:val="bottom"/>
          </w:tcPr>
          <w:p>
            <w:pPr>
              <w:spacing w:after="0"/>
              <w:rPr>
                <w:sz w:val="1"/>
                <w:szCs w:val="1"/>
                <w:color w:val="auto"/>
              </w:rPr>
            </w:pPr>
          </w:p>
        </w:tc>
      </w:tr>
      <w:tr>
        <w:trPr>
          <w:trHeight w:val="26"/>
        </w:trPr>
        <w:tc>
          <w:tcPr>
            <w:tcW w:w="1020" w:type="dxa"/>
            <w:vAlign w:val="bottom"/>
            <w:tcBorders>
              <w:right w:val="single" w:sz="8" w:color="FB4E0B"/>
            </w:tcBorders>
            <w:shd w:val="clear" w:color="auto" w:fill="FB4E0B"/>
          </w:tcPr>
          <w:p>
            <w:pPr>
              <w:spacing w:after="0"/>
              <w:rPr>
                <w:sz w:val="2"/>
                <w:szCs w:val="2"/>
                <w:color w:val="auto"/>
              </w:rPr>
            </w:pPr>
          </w:p>
        </w:tc>
        <w:tc>
          <w:tcPr>
            <w:tcW w:w="1060" w:type="dxa"/>
            <w:vAlign w:val="bottom"/>
            <w:tcBorders>
              <w:right w:val="single" w:sz="8" w:color="FB4E0B"/>
            </w:tcBorders>
            <w:shd w:val="clear" w:color="auto" w:fill="FB4E0B"/>
          </w:tcPr>
          <w:p>
            <w:pPr>
              <w:spacing w:after="0"/>
              <w:rPr>
                <w:sz w:val="2"/>
                <w:szCs w:val="2"/>
                <w:color w:val="auto"/>
              </w:rPr>
            </w:pPr>
          </w:p>
        </w:tc>
        <w:tc>
          <w:tcPr>
            <w:tcW w:w="1040" w:type="dxa"/>
            <w:vAlign w:val="bottom"/>
            <w:tcBorders>
              <w:right w:val="single" w:sz="8" w:color="FB4E0B"/>
            </w:tcBorders>
            <w:shd w:val="clear" w:color="auto" w:fill="FB4E0B"/>
          </w:tcPr>
          <w:p>
            <w:pPr>
              <w:spacing w:after="0"/>
              <w:rPr>
                <w:sz w:val="2"/>
                <w:szCs w:val="2"/>
                <w:color w:val="auto"/>
              </w:rPr>
            </w:pPr>
          </w:p>
        </w:tc>
        <w:tc>
          <w:tcPr>
            <w:tcW w:w="1080" w:type="dxa"/>
            <w:vAlign w:val="bottom"/>
            <w:tcBorders>
              <w:right w:val="single" w:sz="8" w:color="FB4E0B"/>
            </w:tcBorders>
            <w:shd w:val="clear" w:color="auto" w:fill="FB4E0B"/>
          </w:tcPr>
          <w:p>
            <w:pPr>
              <w:spacing w:after="0"/>
              <w:rPr>
                <w:sz w:val="2"/>
                <w:szCs w:val="2"/>
                <w:color w:val="auto"/>
              </w:rPr>
            </w:pPr>
          </w:p>
        </w:tc>
        <w:tc>
          <w:tcPr>
            <w:tcW w:w="960" w:type="dxa"/>
            <w:vAlign w:val="bottom"/>
            <w:tcBorders>
              <w:right w:val="single" w:sz="8" w:color="FB4E0B"/>
            </w:tcBorders>
            <w:shd w:val="clear" w:color="auto" w:fill="FB4E0B"/>
          </w:tcPr>
          <w:p>
            <w:pPr>
              <w:spacing w:after="0"/>
              <w:rPr>
                <w:sz w:val="2"/>
                <w:szCs w:val="2"/>
                <w:color w:val="auto"/>
              </w:rPr>
            </w:pPr>
          </w:p>
        </w:tc>
        <w:tc>
          <w:tcPr>
            <w:tcW w:w="960" w:type="dxa"/>
            <w:vAlign w:val="bottom"/>
            <w:tcBorders>
              <w:right w:val="single" w:sz="8" w:color="FB4E0B"/>
            </w:tcBorders>
            <w:shd w:val="clear" w:color="auto" w:fill="FB4E0B"/>
          </w:tcPr>
          <w:p>
            <w:pPr>
              <w:spacing w:after="0"/>
              <w:rPr>
                <w:sz w:val="2"/>
                <w:szCs w:val="2"/>
                <w:color w:val="auto"/>
              </w:rPr>
            </w:pPr>
          </w:p>
        </w:tc>
        <w:tc>
          <w:tcPr>
            <w:tcW w:w="1380" w:type="dxa"/>
            <w:vAlign w:val="bottom"/>
            <w:tcBorders>
              <w:right w:val="single" w:sz="8" w:color="FB4E0B"/>
            </w:tcBorders>
            <w:shd w:val="clear" w:color="auto" w:fill="FB4E0B"/>
          </w:tcPr>
          <w:p>
            <w:pPr>
              <w:spacing w:after="0"/>
              <w:rPr>
                <w:sz w:val="2"/>
                <w:szCs w:val="2"/>
                <w:color w:val="auto"/>
              </w:rPr>
            </w:pPr>
          </w:p>
        </w:tc>
        <w:tc>
          <w:tcPr>
            <w:tcW w:w="1600" w:type="dxa"/>
            <w:vAlign w:val="bottom"/>
            <w:tcBorders>
              <w:right w:val="single" w:sz="8" w:color="FB4E0B"/>
            </w:tcBorders>
            <w:shd w:val="clear" w:color="auto" w:fill="FB4E0B"/>
          </w:tcPr>
          <w:p>
            <w:pPr>
              <w:spacing w:after="0"/>
              <w:rPr>
                <w:sz w:val="2"/>
                <w:szCs w:val="2"/>
                <w:color w:val="auto"/>
              </w:rPr>
            </w:pPr>
          </w:p>
        </w:tc>
        <w:tc>
          <w:tcPr>
            <w:tcW w:w="1520" w:type="dxa"/>
            <w:vAlign w:val="bottom"/>
            <w:shd w:val="clear" w:color="auto" w:fill="FB4E0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
        <w:spacing w:after="0"/>
        <w:rPr>
          <w:sz w:val="20"/>
          <w:szCs w:val="20"/>
          <w:color w:val="auto"/>
        </w:rPr>
      </w:pPr>
      <w:r>
        <w:rPr>
          <w:rFonts w:ascii="Arial" w:cs="Arial" w:eastAsia="Arial" w:hAnsi="Arial"/>
          <w:sz w:val="13"/>
          <w:szCs w:val="13"/>
          <w:color w:val="auto"/>
        </w:rPr>
        <w:t>(4) TSR is determined based on the value of an initial fixed investment of $100. The peer group TSR represents TSR of the peer group disclosed in our Form 10-K performance graph.</w:t>
      </w:r>
    </w:p>
    <w:p>
      <w:pPr>
        <w:spacing w:after="0" w:line="113" w:lineRule="exact"/>
        <w:rPr>
          <w:sz w:val="20"/>
          <w:szCs w:val="20"/>
          <w:color w:val="auto"/>
        </w:rPr>
      </w:pPr>
    </w:p>
    <w:p>
      <w:pPr>
        <w:ind w:left="144"/>
        <w:spacing w:after="0"/>
        <w:tabs>
          <w:tab w:leader="none" w:pos="743" w:val="left"/>
          <w:tab w:leader="none" w:pos="1083" w:val="left"/>
        </w:tabs>
        <w:rPr>
          <w:sz w:val="20"/>
          <w:szCs w:val="20"/>
          <w:color w:val="auto"/>
        </w:rPr>
      </w:pPr>
      <w:r>
        <w:rPr>
          <w:rFonts w:ascii="Arial" w:cs="Arial" w:eastAsia="Arial" w:hAnsi="Arial"/>
          <w:sz w:val="17"/>
          <w:szCs w:val="17"/>
          <w:b w:val="1"/>
          <w:bCs w:val="1"/>
          <w:color w:val="auto"/>
        </w:rPr>
        <w:t>106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624"/>
          </w:cols>
          <w:pgMar w:left="636" w:top="260" w:right="6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Executive compensation</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Relationship between “compensation actually paid” and performance measures</w:t>
      </w:r>
    </w:p>
    <w:p>
      <w:pPr>
        <w:spacing w:after="0" w:line="117" w:lineRule="exact"/>
        <w:rPr>
          <w:sz w:val="20"/>
          <w:szCs w:val="20"/>
          <w:color w:val="auto"/>
        </w:rPr>
      </w:pPr>
    </w:p>
    <w:p>
      <w:pPr>
        <w:jc w:val="both"/>
        <w:ind w:left="320" w:right="180"/>
        <w:spacing w:after="0" w:line="270" w:lineRule="auto"/>
        <w:rPr>
          <w:sz w:val="20"/>
          <w:szCs w:val="20"/>
          <w:color w:val="auto"/>
        </w:rPr>
      </w:pPr>
      <w:r>
        <w:rPr>
          <w:rFonts w:ascii="Arial" w:cs="Arial" w:eastAsia="Arial" w:hAnsi="Arial"/>
          <w:sz w:val="17"/>
          <w:szCs w:val="17"/>
          <w:color w:val="auto"/>
        </w:rPr>
        <w:t>The following comparisons describe the relationships between the amounts included in the pay versus performance table above for each of 2022, 2021 and 2020, including (i) the relationship between our TSR and our peer group TSR, and (ii) the relationship between compensation actually paid to our CEO and other NEOs and revenue (our Company-Selected Measure), TSR,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133985</wp:posOffset>
            </wp:positionV>
            <wp:extent cx="5815330" cy="13220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15330" cy="132207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1885315</wp:posOffset>
            </wp:positionV>
            <wp:extent cx="2775585" cy="13049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775585" cy="130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107</w:t>
      </w:r>
    </w:p>
    <w:p>
      <w:pPr>
        <w:sectPr>
          <w:pgSz w:w="11900" w:h="16838" w:orient="portrait"/>
          <w:cols w:equalWidth="0" w:num="1">
            <w:col w:w="10940"/>
          </w:cols>
          <w:pgMar w:left="320" w:top="473" w:right="6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2022 Performance measures</w:t>
      </w:r>
    </w:p>
    <w:p>
      <w:pPr>
        <w:spacing w:after="0" w:line="117"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As noted above, our Compensation and Talent Management Committee believes in a wholistic evaluation of our executives’ and our Company’s performance and uses a mix of performance measures throughout our annual and long-term incentive programs to align executive pay with stockholder value creation. As required by SEC rules, in 2022, the financial performance measures identified as the most important and used by us to link compensation actually paid for our for named executive officers’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137160</wp:posOffset>
            </wp:positionV>
            <wp:extent cx="4436110" cy="6032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436110" cy="603250"/>
                    </a:xfrm>
                    <a:prstGeom prst="rect">
                      <a:avLst/>
                    </a:prstGeom>
                    <a:noFill/>
                  </pic:spPr>
                </pic:pic>
              </a:graphicData>
            </a:graphic>
          </wp:anchor>
        </w:drawing>
      </w:r>
    </w:p>
    <w:p>
      <w:pPr>
        <w:spacing w:after="0" w:line="23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Revenue</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Adjusted Operating Profit Margin</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Relative TSR</w:t>
      </w:r>
    </w:p>
    <w:p>
      <w:pPr>
        <w:spacing w:after="0" w:line="201" w:lineRule="exact"/>
        <w:rPr>
          <w:sz w:val="20"/>
          <w:szCs w:val="20"/>
          <w:color w:val="auto"/>
        </w:rPr>
      </w:pPr>
    </w:p>
    <w:p>
      <w:pPr>
        <w:ind w:left="460"/>
        <w:spacing w:after="0"/>
        <w:tabs>
          <w:tab w:leader="none" w:pos="1060" w:val="left"/>
          <w:tab w:leader="none" w:pos="1400" w:val="left"/>
        </w:tabs>
        <w:rPr>
          <w:sz w:val="20"/>
          <w:szCs w:val="20"/>
          <w:color w:val="auto"/>
        </w:rPr>
      </w:pPr>
      <w:r>
        <w:rPr>
          <w:rFonts w:ascii="Arial" w:cs="Arial" w:eastAsia="Arial" w:hAnsi="Arial"/>
          <w:sz w:val="17"/>
          <w:szCs w:val="17"/>
          <w:b w:val="1"/>
          <w:bCs w:val="1"/>
          <w:color w:val="auto"/>
        </w:rPr>
        <w:t>108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20"/>
          </w:cols>
          <w:pgMar w:left="320" w:top="473" w:right="75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D8D8D8"/>
        </w:rPr>
        <w:t>Executive compensation</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Director compensation for fiscal year 2022</w:t>
      </w:r>
    </w:p>
    <w:p>
      <w:pPr>
        <w:spacing w:after="0" w:line="117" w:lineRule="exact"/>
        <w:rPr>
          <w:sz w:val="20"/>
          <w:szCs w:val="20"/>
          <w:color w:val="auto"/>
        </w:rPr>
      </w:pPr>
    </w:p>
    <w:p>
      <w:pPr>
        <w:ind w:left="320" w:right="360"/>
        <w:spacing w:after="0" w:line="286" w:lineRule="auto"/>
        <w:rPr>
          <w:sz w:val="20"/>
          <w:szCs w:val="20"/>
          <w:color w:val="auto"/>
        </w:rPr>
      </w:pPr>
      <w:r>
        <w:rPr>
          <w:rFonts w:ascii="Arial" w:cs="Arial" w:eastAsia="Arial" w:hAnsi="Arial"/>
          <w:sz w:val="17"/>
          <w:szCs w:val="17"/>
          <w:color w:val="auto"/>
        </w:rPr>
        <w:t>The following table sets forth information for compensation earned in fiscal year 2022 by our non-executive directors who served during fiscal year 2022:</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4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FB4E0B"/>
                <w:w w:val="89"/>
              </w:rPr>
              <w:t>Fees earned or</w:t>
            </w:r>
          </w:p>
        </w:tc>
        <w:tc>
          <w:tcPr>
            <w:tcW w:w="19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FB4E0B"/>
                <w:w w:val="97"/>
              </w:rPr>
              <w:t>All Other</w:t>
            </w:r>
          </w:p>
        </w:tc>
        <w:tc>
          <w:tcPr>
            <w:tcW w:w="1560" w:type="dxa"/>
            <w:vAlign w:val="bottom"/>
          </w:tcPr>
          <w:p>
            <w:pPr>
              <w:spacing w:after="0"/>
              <w:rPr>
                <w:sz w:val="18"/>
                <w:szCs w:val="18"/>
                <w:color w:val="auto"/>
              </w:rPr>
            </w:pPr>
          </w:p>
        </w:tc>
      </w:tr>
      <w:tr>
        <w:trPr>
          <w:trHeight w:val="208"/>
        </w:trPr>
        <w:tc>
          <w:tcPr>
            <w:tcW w:w="34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FB4E0B"/>
                <w:w w:val="89"/>
              </w:rPr>
              <w:t>paid in cash</w:t>
            </w:r>
          </w:p>
        </w:tc>
        <w:tc>
          <w:tcPr>
            <w:tcW w:w="1920" w:type="dxa"/>
            <w:vAlign w:val="bottom"/>
          </w:tcPr>
          <w:p>
            <w:pPr>
              <w:ind w:left="440"/>
              <w:spacing w:after="0"/>
              <w:rPr>
                <w:sz w:val="20"/>
                <w:szCs w:val="20"/>
                <w:color w:val="auto"/>
              </w:rPr>
            </w:pPr>
            <w:r>
              <w:rPr>
                <w:rFonts w:ascii="Arial" w:cs="Arial" w:eastAsia="Arial" w:hAnsi="Arial"/>
                <w:sz w:val="17"/>
                <w:szCs w:val="17"/>
                <w:b w:val="1"/>
                <w:bCs w:val="1"/>
                <w:color w:val="FB4E0B"/>
              </w:rPr>
              <w:t>Stock awards</w:t>
            </w:r>
          </w:p>
        </w:tc>
        <w:tc>
          <w:tcPr>
            <w:tcW w:w="1900" w:type="dxa"/>
            <w:vAlign w:val="bottom"/>
          </w:tcPr>
          <w:p>
            <w:pPr>
              <w:jc w:val="center"/>
              <w:spacing w:after="0"/>
              <w:rPr>
                <w:sz w:val="20"/>
                <w:szCs w:val="20"/>
                <w:color w:val="auto"/>
              </w:rPr>
            </w:pPr>
            <w:r>
              <w:rPr>
                <w:rFonts w:ascii="Arial" w:cs="Arial" w:eastAsia="Arial" w:hAnsi="Arial"/>
                <w:sz w:val="17"/>
                <w:szCs w:val="17"/>
                <w:b w:val="1"/>
                <w:bCs w:val="1"/>
                <w:color w:val="FB4E0B"/>
                <w:w w:val="88"/>
              </w:rPr>
              <w:t>compensation</w:t>
            </w:r>
          </w:p>
        </w:tc>
        <w:tc>
          <w:tcPr>
            <w:tcW w:w="1560" w:type="dxa"/>
            <w:vAlign w:val="bottom"/>
          </w:tcPr>
          <w:p>
            <w:pPr>
              <w:jc w:val="right"/>
              <w:ind w:right="533"/>
              <w:spacing w:after="0"/>
              <w:rPr>
                <w:sz w:val="20"/>
                <w:szCs w:val="20"/>
                <w:color w:val="auto"/>
              </w:rPr>
            </w:pPr>
            <w:r>
              <w:rPr>
                <w:rFonts w:ascii="Arial" w:cs="Arial" w:eastAsia="Arial" w:hAnsi="Arial"/>
                <w:sz w:val="17"/>
                <w:szCs w:val="17"/>
                <w:b w:val="1"/>
                <w:bCs w:val="1"/>
                <w:color w:val="FB4E0B"/>
              </w:rPr>
              <w:t>Total</w:t>
            </w:r>
          </w:p>
        </w:tc>
      </w:tr>
      <w:tr>
        <w:trPr>
          <w:trHeight w:val="350"/>
        </w:trPr>
        <w:tc>
          <w:tcPr>
            <w:tcW w:w="3400" w:type="dxa"/>
            <w:vAlign w:val="bottom"/>
            <w:tcBorders>
              <w:bottom w:val="single" w:sz="8" w:color="FB4E0B"/>
            </w:tcBorders>
          </w:tcPr>
          <w:p>
            <w:pPr>
              <w:ind w:left="40"/>
              <w:spacing w:after="0"/>
              <w:rPr>
                <w:sz w:val="20"/>
                <w:szCs w:val="20"/>
                <w:color w:val="auto"/>
              </w:rPr>
            </w:pPr>
            <w:r>
              <w:rPr>
                <w:rFonts w:ascii="Arial" w:cs="Arial" w:eastAsia="Arial" w:hAnsi="Arial"/>
                <w:sz w:val="17"/>
                <w:szCs w:val="17"/>
                <w:b w:val="1"/>
                <w:bCs w:val="1"/>
                <w:color w:val="FB4E0B"/>
              </w:rPr>
              <w:t>Name</w:t>
            </w:r>
            <w:r>
              <w:rPr>
                <w:rFonts w:ascii="Arial" w:cs="Arial" w:eastAsia="Arial" w:hAnsi="Arial"/>
                <w:sz w:val="26"/>
                <w:szCs w:val="26"/>
                <w:b w:val="1"/>
                <w:bCs w:val="1"/>
                <w:color w:val="FB4E0B"/>
                <w:vertAlign w:val="superscript"/>
              </w:rPr>
              <w:t>(1)</w:t>
            </w:r>
          </w:p>
        </w:tc>
        <w:tc>
          <w:tcPr>
            <w:tcW w:w="184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96"/>
              </w:rPr>
              <w:t>($)</w:t>
            </w:r>
          </w:p>
        </w:tc>
        <w:tc>
          <w:tcPr>
            <w:tcW w:w="1920" w:type="dxa"/>
            <w:vAlign w:val="bottom"/>
            <w:tcBorders>
              <w:bottom w:val="single" w:sz="8" w:color="FB4E0B"/>
            </w:tcBorders>
          </w:tcPr>
          <w:p>
            <w:pPr>
              <w:ind w:left="680"/>
              <w:spacing w:after="0" w:line="343" w:lineRule="exact"/>
              <w:rPr>
                <w:sz w:val="20"/>
                <w:szCs w:val="20"/>
                <w:color w:val="auto"/>
              </w:rPr>
            </w:pPr>
            <w:r>
              <w:rPr>
                <w:rFonts w:ascii="Arial" w:cs="Arial" w:eastAsia="Arial" w:hAnsi="Arial"/>
                <w:sz w:val="34"/>
                <w:szCs w:val="34"/>
                <w:b w:val="1"/>
                <w:bCs w:val="1"/>
                <w:color w:val="FB4E0B"/>
                <w:vertAlign w:val="subscript"/>
              </w:rPr>
              <w:t>($)</w:t>
            </w:r>
            <w:r>
              <w:rPr>
                <w:rFonts w:ascii="Arial" w:cs="Arial" w:eastAsia="Arial" w:hAnsi="Arial"/>
                <w:sz w:val="13"/>
                <w:szCs w:val="13"/>
                <w:b w:val="1"/>
                <w:bCs w:val="1"/>
                <w:color w:val="FB4E0B"/>
              </w:rPr>
              <w:t>(2)(3)</w:t>
            </w:r>
          </w:p>
        </w:tc>
        <w:tc>
          <w:tcPr>
            <w:tcW w:w="190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80"/>
              </w:rPr>
              <w:t>($)</w:t>
            </w:r>
            <w:r>
              <w:rPr>
                <w:rFonts w:ascii="Arial" w:cs="Arial" w:eastAsia="Arial" w:hAnsi="Arial"/>
                <w:sz w:val="26"/>
                <w:szCs w:val="26"/>
                <w:b w:val="1"/>
                <w:bCs w:val="1"/>
                <w:color w:val="FB4E0B"/>
                <w:w w:val="80"/>
                <w:vertAlign w:val="superscript"/>
              </w:rPr>
              <w:t>(4)</w:t>
            </w:r>
          </w:p>
        </w:tc>
        <w:tc>
          <w:tcPr>
            <w:tcW w:w="1560" w:type="dxa"/>
            <w:vAlign w:val="bottom"/>
            <w:tcBorders>
              <w:bottom w:val="single" w:sz="8" w:color="FB4E0B"/>
            </w:tcBorders>
          </w:tcPr>
          <w:p>
            <w:pPr>
              <w:jc w:val="right"/>
              <w:ind w:right="633"/>
              <w:spacing w:after="0"/>
              <w:rPr>
                <w:sz w:val="20"/>
                <w:szCs w:val="20"/>
                <w:color w:val="auto"/>
              </w:rPr>
            </w:pPr>
            <w:r>
              <w:rPr>
                <w:rFonts w:ascii="Arial" w:cs="Arial" w:eastAsia="Arial" w:hAnsi="Arial"/>
                <w:sz w:val="17"/>
                <w:szCs w:val="17"/>
                <w:b w:val="1"/>
                <w:bCs w:val="1"/>
                <w:color w:val="FB4E0B"/>
              </w:rPr>
              <w:t>($)</w:t>
            </w:r>
          </w:p>
        </w:tc>
      </w:tr>
      <w:tr>
        <w:trPr>
          <w:trHeight w:val="299"/>
        </w:trPr>
        <w:tc>
          <w:tcPr>
            <w:tcW w:w="34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Anne Minto</w:t>
            </w:r>
          </w:p>
        </w:tc>
        <w:tc>
          <w:tcPr>
            <w:tcW w:w="1840" w:type="dxa"/>
            <w:vAlign w:val="bottom"/>
            <w:tcBorders>
              <w:right w:val="single" w:sz="8" w:color="auto"/>
            </w:tcBorders>
          </w:tcPr>
          <w:p>
            <w:pPr>
              <w:ind w:left="980"/>
              <w:spacing w:after="0"/>
              <w:rPr>
                <w:sz w:val="20"/>
                <w:szCs w:val="20"/>
                <w:color w:val="auto"/>
              </w:rPr>
            </w:pPr>
            <w:r>
              <w:rPr>
                <w:rFonts w:ascii="Arial" w:cs="Arial" w:eastAsia="Arial" w:hAnsi="Arial"/>
                <w:sz w:val="17"/>
                <w:szCs w:val="17"/>
                <w:color w:val="auto"/>
              </w:rPr>
              <w:t>85,000</w:t>
            </w:r>
          </w:p>
        </w:tc>
        <w:tc>
          <w:tcPr>
            <w:tcW w:w="1920" w:type="dxa"/>
            <w:vAlign w:val="bottom"/>
            <w:tcBorders>
              <w:right w:val="single" w:sz="8" w:color="auto"/>
            </w:tcBorders>
          </w:tcPr>
          <w:p>
            <w:pPr>
              <w:ind w:left="880"/>
              <w:spacing w:after="0"/>
              <w:rPr>
                <w:sz w:val="20"/>
                <w:szCs w:val="20"/>
                <w:color w:val="auto"/>
              </w:rPr>
            </w:pPr>
            <w:r>
              <w:rPr>
                <w:rFonts w:ascii="Arial" w:cs="Arial" w:eastAsia="Arial" w:hAnsi="Arial"/>
                <w:sz w:val="17"/>
                <w:szCs w:val="17"/>
                <w:color w:val="auto"/>
              </w:rPr>
              <w:t>190,000</w:t>
            </w:r>
          </w:p>
        </w:tc>
        <w:tc>
          <w:tcPr>
            <w:tcW w:w="1900" w:type="dxa"/>
            <w:vAlign w:val="bottom"/>
            <w:tcBorders>
              <w:right w:val="single" w:sz="8" w:color="auto"/>
            </w:tcBorders>
          </w:tcPr>
          <w:p>
            <w:pPr>
              <w:jc w:val="right"/>
              <w:ind w:right="353"/>
              <w:spacing w:after="0"/>
              <w:rPr>
                <w:sz w:val="20"/>
                <w:szCs w:val="20"/>
                <w:color w:val="auto"/>
              </w:rPr>
            </w:pPr>
            <w:r>
              <w:rPr>
                <w:rFonts w:ascii="Arial" w:cs="Arial" w:eastAsia="Arial" w:hAnsi="Arial"/>
                <w:sz w:val="17"/>
                <w:szCs w:val="17"/>
                <w:color w:val="auto"/>
              </w:rPr>
              <w:t>13,058</w:t>
            </w:r>
          </w:p>
        </w:tc>
        <w:tc>
          <w:tcPr>
            <w:tcW w:w="1560" w:type="dxa"/>
            <w:vAlign w:val="bottom"/>
          </w:tcPr>
          <w:p>
            <w:pPr>
              <w:jc w:val="right"/>
              <w:ind w:right="413"/>
              <w:spacing w:after="0"/>
              <w:rPr>
                <w:sz w:val="20"/>
                <w:szCs w:val="20"/>
                <w:color w:val="auto"/>
              </w:rPr>
            </w:pPr>
            <w:r>
              <w:rPr>
                <w:rFonts w:ascii="Arial" w:cs="Arial" w:eastAsia="Arial" w:hAnsi="Arial"/>
                <w:sz w:val="17"/>
                <w:szCs w:val="17"/>
                <w:color w:val="auto"/>
              </w:rPr>
              <w:t>230,623</w:t>
            </w:r>
          </w:p>
        </w:tc>
      </w:tr>
      <w:tr>
        <w:trPr>
          <w:trHeight w:val="104"/>
        </w:trPr>
        <w:tc>
          <w:tcPr>
            <w:tcW w:w="34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r>
        <w:trPr>
          <w:trHeight w:val="292"/>
        </w:trPr>
        <w:tc>
          <w:tcPr>
            <w:tcW w:w="34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Som Mittal</w:t>
            </w:r>
          </w:p>
        </w:tc>
        <w:tc>
          <w:tcPr>
            <w:tcW w:w="1840" w:type="dxa"/>
            <w:vAlign w:val="bottom"/>
            <w:tcBorders>
              <w:right w:val="single" w:sz="8" w:color="auto"/>
            </w:tcBorders>
          </w:tcPr>
          <w:p>
            <w:pPr>
              <w:ind w:left="980"/>
              <w:spacing w:after="0"/>
              <w:rPr>
                <w:sz w:val="20"/>
                <w:szCs w:val="20"/>
                <w:color w:val="auto"/>
              </w:rPr>
            </w:pPr>
            <w:r>
              <w:rPr>
                <w:rFonts w:ascii="Arial" w:cs="Arial" w:eastAsia="Arial" w:hAnsi="Arial"/>
                <w:sz w:val="17"/>
                <w:szCs w:val="17"/>
                <w:color w:val="auto"/>
              </w:rPr>
              <w:t>85,000</w:t>
            </w:r>
          </w:p>
        </w:tc>
        <w:tc>
          <w:tcPr>
            <w:tcW w:w="1920" w:type="dxa"/>
            <w:vAlign w:val="bottom"/>
            <w:tcBorders>
              <w:right w:val="single" w:sz="8" w:color="auto"/>
            </w:tcBorders>
          </w:tcPr>
          <w:p>
            <w:pPr>
              <w:ind w:left="880"/>
              <w:spacing w:after="0"/>
              <w:rPr>
                <w:sz w:val="20"/>
                <w:szCs w:val="20"/>
                <w:color w:val="auto"/>
              </w:rPr>
            </w:pPr>
            <w:r>
              <w:rPr>
                <w:rFonts w:ascii="Arial" w:cs="Arial" w:eastAsia="Arial" w:hAnsi="Arial"/>
                <w:sz w:val="17"/>
                <w:szCs w:val="17"/>
                <w:color w:val="auto"/>
              </w:rPr>
              <w:t>190,000</w:t>
            </w:r>
          </w:p>
        </w:tc>
        <w:tc>
          <w:tcPr>
            <w:tcW w:w="1900" w:type="dxa"/>
            <w:vAlign w:val="bottom"/>
            <w:tcBorders>
              <w:right w:val="single" w:sz="8" w:color="auto"/>
            </w:tcBorders>
          </w:tcPr>
          <w:p>
            <w:pPr>
              <w:jc w:val="right"/>
              <w:ind w:right="353"/>
              <w:spacing w:after="0"/>
              <w:rPr>
                <w:sz w:val="20"/>
                <w:szCs w:val="20"/>
                <w:color w:val="auto"/>
              </w:rPr>
            </w:pPr>
            <w:r>
              <w:rPr>
                <w:rFonts w:ascii="Arial" w:cs="Arial" w:eastAsia="Arial" w:hAnsi="Arial"/>
                <w:sz w:val="17"/>
                <w:szCs w:val="17"/>
                <w:color w:val="auto"/>
              </w:rPr>
              <w:t>2,218</w:t>
            </w:r>
          </w:p>
        </w:tc>
        <w:tc>
          <w:tcPr>
            <w:tcW w:w="1560" w:type="dxa"/>
            <w:vAlign w:val="bottom"/>
          </w:tcPr>
          <w:p>
            <w:pPr>
              <w:jc w:val="right"/>
              <w:ind w:right="413"/>
              <w:spacing w:after="0"/>
              <w:rPr>
                <w:sz w:val="20"/>
                <w:szCs w:val="20"/>
                <w:color w:val="auto"/>
              </w:rPr>
            </w:pPr>
            <w:r>
              <w:rPr>
                <w:rFonts w:ascii="Arial" w:cs="Arial" w:eastAsia="Arial" w:hAnsi="Arial"/>
                <w:sz w:val="17"/>
                <w:szCs w:val="17"/>
                <w:color w:val="auto"/>
              </w:rPr>
              <w:t>277,218</w:t>
            </w:r>
          </w:p>
        </w:tc>
      </w:tr>
      <w:tr>
        <w:trPr>
          <w:trHeight w:val="104"/>
        </w:trPr>
        <w:tc>
          <w:tcPr>
            <w:tcW w:w="34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r>
        <w:trPr>
          <w:trHeight w:val="396"/>
        </w:trPr>
        <w:tc>
          <w:tcPr>
            <w:tcW w:w="3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Clyde Ostler</w:t>
            </w:r>
          </w:p>
        </w:tc>
        <w:tc>
          <w:tcPr>
            <w:tcW w:w="184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7"/>
                <w:szCs w:val="17"/>
                <w:color w:val="auto"/>
              </w:rPr>
              <w:t>87,083</w:t>
            </w:r>
            <w:r>
              <w:rPr>
                <w:rFonts w:ascii="Arial" w:cs="Arial" w:eastAsia="Arial" w:hAnsi="Arial"/>
                <w:sz w:val="26"/>
                <w:szCs w:val="26"/>
                <w:color w:val="auto"/>
                <w:vertAlign w:val="superscript"/>
              </w:rPr>
              <w:t>(5)</w:t>
            </w:r>
          </w:p>
        </w:tc>
        <w:tc>
          <w:tcPr>
            <w:tcW w:w="192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7"/>
                <w:szCs w:val="17"/>
                <w:color w:val="auto"/>
              </w:rPr>
              <w:t>190,000</w:t>
            </w:r>
          </w:p>
        </w:tc>
        <w:tc>
          <w:tcPr>
            <w:tcW w:w="190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277,083</w:t>
            </w:r>
          </w:p>
        </w:tc>
      </w:tr>
      <w:tr>
        <w:trPr>
          <w:trHeight w:val="396"/>
        </w:trPr>
        <w:tc>
          <w:tcPr>
            <w:tcW w:w="3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Vikram Pandit</w:t>
            </w:r>
          </w:p>
        </w:tc>
        <w:tc>
          <w:tcPr>
            <w:tcW w:w="184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7"/>
                <w:szCs w:val="17"/>
                <w:color w:val="auto"/>
              </w:rPr>
              <w:t>85,000</w:t>
            </w:r>
          </w:p>
        </w:tc>
        <w:tc>
          <w:tcPr>
            <w:tcW w:w="192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7"/>
                <w:szCs w:val="17"/>
                <w:color w:val="auto"/>
              </w:rPr>
              <w:t>340,000</w:t>
            </w:r>
            <w:r>
              <w:rPr>
                <w:rFonts w:ascii="Arial" w:cs="Arial" w:eastAsia="Arial" w:hAnsi="Arial"/>
                <w:sz w:val="26"/>
                <w:szCs w:val="26"/>
                <w:color w:val="auto"/>
                <w:vertAlign w:val="superscript"/>
              </w:rPr>
              <w:t>(6)</w:t>
            </w:r>
          </w:p>
        </w:tc>
        <w:tc>
          <w:tcPr>
            <w:tcW w:w="190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425,000</w:t>
            </w:r>
          </w:p>
        </w:tc>
      </w:tr>
      <w:tr>
        <w:trPr>
          <w:trHeight w:val="396"/>
        </w:trPr>
        <w:tc>
          <w:tcPr>
            <w:tcW w:w="3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Kristy Pipes</w:t>
            </w:r>
          </w:p>
        </w:tc>
        <w:tc>
          <w:tcPr>
            <w:tcW w:w="184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7"/>
                <w:szCs w:val="17"/>
                <w:color w:val="auto"/>
              </w:rPr>
              <w:t>95,417</w:t>
            </w:r>
            <w:r>
              <w:rPr>
                <w:rFonts w:ascii="Arial" w:cs="Arial" w:eastAsia="Arial" w:hAnsi="Arial"/>
                <w:sz w:val="26"/>
                <w:szCs w:val="26"/>
                <w:color w:val="auto"/>
                <w:vertAlign w:val="superscript"/>
              </w:rPr>
              <w:t>(5)</w:t>
            </w:r>
          </w:p>
        </w:tc>
        <w:tc>
          <w:tcPr>
            <w:tcW w:w="192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7"/>
                <w:szCs w:val="17"/>
                <w:color w:val="auto"/>
              </w:rPr>
              <w:t>190,000</w:t>
            </w:r>
          </w:p>
        </w:tc>
        <w:tc>
          <w:tcPr>
            <w:tcW w:w="190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285,417</w:t>
            </w:r>
          </w:p>
        </w:tc>
      </w:tr>
      <w:tr>
        <w:trPr>
          <w:trHeight w:val="292"/>
        </w:trPr>
        <w:tc>
          <w:tcPr>
            <w:tcW w:w="34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Nitin Sahney</w:t>
            </w:r>
          </w:p>
        </w:tc>
        <w:tc>
          <w:tcPr>
            <w:tcW w:w="1840" w:type="dxa"/>
            <w:vAlign w:val="bottom"/>
            <w:tcBorders>
              <w:right w:val="single" w:sz="8" w:color="auto"/>
            </w:tcBorders>
          </w:tcPr>
          <w:p>
            <w:pPr>
              <w:ind w:left="980"/>
              <w:spacing w:after="0"/>
              <w:rPr>
                <w:sz w:val="20"/>
                <w:szCs w:val="20"/>
                <w:color w:val="auto"/>
              </w:rPr>
            </w:pPr>
            <w:r>
              <w:rPr>
                <w:rFonts w:ascii="Arial" w:cs="Arial" w:eastAsia="Arial" w:hAnsi="Arial"/>
                <w:sz w:val="17"/>
                <w:szCs w:val="17"/>
                <w:color w:val="auto"/>
              </w:rPr>
              <w:t>95,000</w:t>
            </w:r>
          </w:p>
        </w:tc>
        <w:tc>
          <w:tcPr>
            <w:tcW w:w="1920" w:type="dxa"/>
            <w:vAlign w:val="bottom"/>
            <w:tcBorders>
              <w:right w:val="single" w:sz="8" w:color="auto"/>
            </w:tcBorders>
          </w:tcPr>
          <w:p>
            <w:pPr>
              <w:ind w:left="880"/>
              <w:spacing w:after="0"/>
              <w:rPr>
                <w:sz w:val="20"/>
                <w:szCs w:val="20"/>
                <w:color w:val="auto"/>
              </w:rPr>
            </w:pPr>
            <w:r>
              <w:rPr>
                <w:rFonts w:ascii="Arial" w:cs="Arial" w:eastAsia="Arial" w:hAnsi="Arial"/>
                <w:sz w:val="17"/>
                <w:szCs w:val="17"/>
                <w:color w:val="auto"/>
              </w:rPr>
              <w:t>190,000</w:t>
            </w:r>
          </w:p>
        </w:tc>
        <w:tc>
          <w:tcPr>
            <w:tcW w:w="1900" w:type="dxa"/>
            <w:vAlign w:val="bottom"/>
            <w:tcBorders>
              <w:right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413"/>
              <w:spacing w:after="0"/>
              <w:rPr>
                <w:sz w:val="20"/>
                <w:szCs w:val="20"/>
                <w:color w:val="auto"/>
              </w:rPr>
            </w:pPr>
            <w:r>
              <w:rPr>
                <w:rFonts w:ascii="Arial" w:cs="Arial" w:eastAsia="Arial" w:hAnsi="Arial"/>
                <w:sz w:val="17"/>
                <w:szCs w:val="17"/>
                <w:color w:val="auto"/>
              </w:rPr>
              <w:t>285,000</w:t>
            </w:r>
          </w:p>
        </w:tc>
      </w:tr>
      <w:tr>
        <w:trPr>
          <w:trHeight w:val="104"/>
        </w:trPr>
        <w:tc>
          <w:tcPr>
            <w:tcW w:w="34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r>
        <w:trPr>
          <w:trHeight w:val="292"/>
        </w:trPr>
        <w:tc>
          <w:tcPr>
            <w:tcW w:w="340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Jaynie Studenmund</w:t>
            </w:r>
          </w:p>
        </w:tc>
        <w:tc>
          <w:tcPr>
            <w:tcW w:w="1840" w:type="dxa"/>
            <w:vAlign w:val="bottom"/>
            <w:tcBorders>
              <w:right w:val="single" w:sz="8" w:color="auto"/>
            </w:tcBorders>
          </w:tcPr>
          <w:p>
            <w:pPr>
              <w:ind w:left="980"/>
              <w:spacing w:after="0"/>
              <w:rPr>
                <w:sz w:val="20"/>
                <w:szCs w:val="20"/>
                <w:color w:val="auto"/>
              </w:rPr>
            </w:pPr>
            <w:r>
              <w:rPr>
                <w:rFonts w:ascii="Arial" w:cs="Arial" w:eastAsia="Arial" w:hAnsi="Arial"/>
                <w:sz w:val="17"/>
                <w:szCs w:val="17"/>
                <w:color w:val="auto"/>
              </w:rPr>
              <w:t>95,000</w:t>
            </w:r>
          </w:p>
        </w:tc>
        <w:tc>
          <w:tcPr>
            <w:tcW w:w="1920" w:type="dxa"/>
            <w:vAlign w:val="bottom"/>
            <w:tcBorders>
              <w:right w:val="single" w:sz="8" w:color="auto"/>
            </w:tcBorders>
          </w:tcPr>
          <w:p>
            <w:pPr>
              <w:ind w:left="880"/>
              <w:spacing w:after="0"/>
              <w:rPr>
                <w:sz w:val="20"/>
                <w:szCs w:val="20"/>
                <w:color w:val="auto"/>
              </w:rPr>
            </w:pPr>
            <w:r>
              <w:rPr>
                <w:rFonts w:ascii="Arial" w:cs="Arial" w:eastAsia="Arial" w:hAnsi="Arial"/>
                <w:sz w:val="17"/>
                <w:szCs w:val="17"/>
                <w:color w:val="auto"/>
              </w:rPr>
              <w:t>190,000</w:t>
            </w:r>
          </w:p>
        </w:tc>
        <w:tc>
          <w:tcPr>
            <w:tcW w:w="1900" w:type="dxa"/>
            <w:vAlign w:val="bottom"/>
            <w:tcBorders>
              <w:right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413"/>
              <w:spacing w:after="0"/>
              <w:rPr>
                <w:sz w:val="20"/>
                <w:szCs w:val="20"/>
                <w:color w:val="auto"/>
              </w:rPr>
            </w:pPr>
            <w:r>
              <w:rPr>
                <w:rFonts w:ascii="Arial" w:cs="Arial" w:eastAsia="Arial" w:hAnsi="Arial"/>
                <w:sz w:val="17"/>
                <w:szCs w:val="17"/>
                <w:color w:val="auto"/>
              </w:rPr>
              <w:t>285,000</w:t>
            </w:r>
          </w:p>
        </w:tc>
      </w:tr>
      <w:tr>
        <w:trPr>
          <w:trHeight w:val="110"/>
        </w:trPr>
        <w:tc>
          <w:tcPr>
            <w:tcW w:w="3400" w:type="dxa"/>
            <w:vAlign w:val="bottom"/>
            <w:tcBorders>
              <w:bottom w:val="single" w:sz="8" w:color="FB4E0B"/>
              <w:right w:val="single" w:sz="8" w:color="auto"/>
            </w:tcBorders>
          </w:tcPr>
          <w:p>
            <w:pPr>
              <w:spacing w:after="0"/>
              <w:rPr>
                <w:sz w:val="9"/>
                <w:szCs w:val="9"/>
                <w:color w:val="auto"/>
              </w:rPr>
            </w:pPr>
          </w:p>
        </w:tc>
        <w:tc>
          <w:tcPr>
            <w:tcW w:w="1840" w:type="dxa"/>
            <w:vAlign w:val="bottom"/>
            <w:tcBorders>
              <w:bottom w:val="single" w:sz="8" w:color="FB4E0B"/>
              <w:right w:val="single" w:sz="8" w:color="auto"/>
            </w:tcBorders>
          </w:tcPr>
          <w:p>
            <w:pPr>
              <w:spacing w:after="0"/>
              <w:rPr>
                <w:sz w:val="9"/>
                <w:szCs w:val="9"/>
                <w:color w:val="auto"/>
              </w:rPr>
            </w:pPr>
          </w:p>
        </w:tc>
        <w:tc>
          <w:tcPr>
            <w:tcW w:w="1920" w:type="dxa"/>
            <w:vAlign w:val="bottom"/>
            <w:tcBorders>
              <w:bottom w:val="single" w:sz="8" w:color="FB4E0B"/>
              <w:right w:val="single" w:sz="8" w:color="auto"/>
            </w:tcBorders>
          </w:tcPr>
          <w:p>
            <w:pPr>
              <w:spacing w:after="0"/>
              <w:rPr>
                <w:sz w:val="9"/>
                <w:szCs w:val="9"/>
                <w:color w:val="auto"/>
              </w:rPr>
            </w:pPr>
          </w:p>
        </w:tc>
        <w:tc>
          <w:tcPr>
            <w:tcW w:w="1900" w:type="dxa"/>
            <w:vAlign w:val="bottom"/>
            <w:tcBorders>
              <w:bottom w:val="single" w:sz="8" w:color="FB4E0B"/>
              <w:right w:val="single" w:sz="8" w:color="auto"/>
            </w:tcBorders>
          </w:tcPr>
          <w:p>
            <w:pPr>
              <w:spacing w:after="0"/>
              <w:rPr>
                <w:sz w:val="9"/>
                <w:szCs w:val="9"/>
                <w:color w:val="auto"/>
              </w:rPr>
            </w:pPr>
          </w:p>
        </w:tc>
        <w:tc>
          <w:tcPr>
            <w:tcW w:w="1560" w:type="dxa"/>
            <w:vAlign w:val="bottom"/>
            <w:tcBorders>
              <w:bottom w:val="single" w:sz="8" w:color="FB4E0B"/>
            </w:tcBorders>
          </w:tcPr>
          <w:p>
            <w:pPr>
              <w:spacing w:after="0"/>
              <w:rPr>
                <w:sz w:val="9"/>
                <w:szCs w:val="9"/>
                <w:color w:val="auto"/>
              </w:rPr>
            </w:pPr>
          </w:p>
        </w:tc>
      </w:tr>
    </w:tbl>
    <w:p>
      <w:pPr>
        <w:ind w:left="320" w:right="100" w:hanging="4"/>
        <w:spacing w:after="0" w:line="230" w:lineRule="auto"/>
        <w:tabs>
          <w:tab w:leader="none" w:pos="504" w:val="left"/>
        </w:tabs>
        <w:numPr>
          <w:ilvl w:val="0"/>
          <w:numId w:val="40"/>
        </w:numPr>
        <w:rPr>
          <w:rFonts w:ascii="Arial" w:cs="Arial" w:eastAsia="Arial" w:hAnsi="Arial"/>
          <w:sz w:val="13"/>
          <w:szCs w:val="13"/>
          <w:color w:val="auto"/>
        </w:rPr>
      </w:pPr>
      <w:r>
        <w:rPr>
          <w:rFonts w:ascii="Arial" w:cs="Arial" w:eastAsia="Arial" w:hAnsi="Arial"/>
          <w:sz w:val="13"/>
          <w:szCs w:val="13"/>
          <w:color w:val="auto"/>
        </w:rPr>
        <w:t>Mr. Kapoor’s compensation during 2022 was based solely on his role as CEO, as disclosed in the “Summary compensation table for fiscal year 2022” beginning on page 87 and discussed in “Compensation Discussion and Analysis” beginning on page 63. He does not receive any additional compensation for his services as a director. Mr. Fibig, a current non-executive director, was appointed to the board of directors effective January 10, 2023.</w:t>
      </w:r>
    </w:p>
    <w:p>
      <w:pPr>
        <w:jc w:val="both"/>
        <w:ind w:left="320" w:right="100" w:hanging="4"/>
        <w:spacing w:after="0" w:line="225" w:lineRule="auto"/>
        <w:tabs>
          <w:tab w:leader="none" w:pos="504"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stock awards recognized for financial statement reporting purposes for the fiscal year ended December 31, 2022, in accordance with FASB ASC Topic 718 (disregarding any forfeiture assumptions). Assumptions used in the calculation of these amounts are included in footnotes 2 and 23 to our audited financial statements for the fiscal year ended December 31, 2022 included in the 2022 Form 10-K.</w:t>
      </w:r>
    </w:p>
    <w:p>
      <w:pPr>
        <w:spacing w:after="0" w:line="1" w:lineRule="exact"/>
        <w:rPr>
          <w:rFonts w:ascii="Arial" w:cs="Arial" w:eastAsia="Arial" w:hAnsi="Arial"/>
          <w:sz w:val="13"/>
          <w:szCs w:val="13"/>
          <w:color w:val="auto"/>
        </w:rPr>
      </w:pPr>
    </w:p>
    <w:p>
      <w:pPr>
        <w:ind w:left="520" w:hanging="204"/>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outstanding equity awards held by our non-employee directors on December 31, 2022 is set forth on the table below:</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7"/>
                <w:szCs w:val="17"/>
                <w:b w:val="1"/>
                <w:bCs w:val="1"/>
                <w:color w:val="FB4E0B"/>
                <w:w w:val="89"/>
              </w:rPr>
              <w:t>No. of securities</w:t>
            </w:r>
          </w:p>
        </w:tc>
        <w:tc>
          <w:tcPr>
            <w:tcW w:w="2820" w:type="dxa"/>
            <w:vAlign w:val="bottom"/>
          </w:tcPr>
          <w:p>
            <w:pPr>
              <w:jc w:val="right"/>
              <w:ind w:right="773"/>
              <w:spacing w:after="0"/>
              <w:rPr>
                <w:sz w:val="20"/>
                <w:szCs w:val="20"/>
                <w:color w:val="auto"/>
              </w:rPr>
            </w:pPr>
            <w:r>
              <w:rPr>
                <w:rFonts w:ascii="Arial" w:cs="Arial" w:eastAsia="Arial" w:hAnsi="Arial"/>
                <w:sz w:val="17"/>
                <w:szCs w:val="17"/>
                <w:b w:val="1"/>
                <w:bCs w:val="1"/>
                <w:color w:val="FB4E0B"/>
              </w:rPr>
              <w:t>No. of securities</w:t>
            </w:r>
          </w:p>
        </w:tc>
        <w:tc>
          <w:tcPr>
            <w:tcW w:w="2440" w:type="dxa"/>
            <w:vAlign w:val="bottom"/>
          </w:tcPr>
          <w:p>
            <w:pPr>
              <w:jc w:val="right"/>
              <w:ind w:right="573"/>
              <w:spacing w:after="0"/>
              <w:rPr>
                <w:sz w:val="20"/>
                <w:szCs w:val="20"/>
                <w:color w:val="auto"/>
              </w:rPr>
            </w:pPr>
            <w:r>
              <w:rPr>
                <w:rFonts w:ascii="Arial" w:cs="Arial" w:eastAsia="Arial" w:hAnsi="Arial"/>
                <w:sz w:val="17"/>
                <w:szCs w:val="17"/>
                <w:b w:val="1"/>
                <w:bCs w:val="1"/>
                <w:color w:val="FB4E0B"/>
              </w:rPr>
              <w:t>No. of shares or</w:t>
            </w:r>
          </w:p>
        </w:tc>
      </w:tr>
      <w:tr>
        <w:trPr>
          <w:trHeight w:val="208"/>
        </w:trPr>
        <w:tc>
          <w:tcPr>
            <w:tcW w:w="27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7"/>
                <w:szCs w:val="17"/>
                <w:b w:val="1"/>
                <w:bCs w:val="1"/>
                <w:color w:val="FB4E0B"/>
                <w:w w:val="90"/>
              </w:rPr>
              <w:t>underlying unexercised</w:t>
            </w:r>
          </w:p>
        </w:tc>
        <w:tc>
          <w:tcPr>
            <w:tcW w:w="2820" w:type="dxa"/>
            <w:vAlign w:val="bottom"/>
          </w:tcPr>
          <w:p>
            <w:pPr>
              <w:jc w:val="right"/>
              <w:ind w:right="493"/>
              <w:spacing w:after="0"/>
              <w:rPr>
                <w:sz w:val="20"/>
                <w:szCs w:val="20"/>
                <w:color w:val="auto"/>
              </w:rPr>
            </w:pPr>
            <w:r>
              <w:rPr>
                <w:rFonts w:ascii="Arial" w:cs="Arial" w:eastAsia="Arial" w:hAnsi="Arial"/>
                <w:sz w:val="17"/>
                <w:szCs w:val="17"/>
                <w:b w:val="1"/>
                <w:bCs w:val="1"/>
                <w:color w:val="FB4E0B"/>
              </w:rPr>
              <w:t>underlying unexercised</w:t>
            </w:r>
          </w:p>
        </w:tc>
        <w:tc>
          <w:tcPr>
            <w:tcW w:w="2440" w:type="dxa"/>
            <w:vAlign w:val="bottom"/>
          </w:tcPr>
          <w:p>
            <w:pPr>
              <w:jc w:val="right"/>
              <w:ind w:right="673"/>
              <w:spacing w:after="0"/>
              <w:rPr>
                <w:sz w:val="20"/>
                <w:szCs w:val="20"/>
                <w:color w:val="auto"/>
              </w:rPr>
            </w:pPr>
            <w:r>
              <w:rPr>
                <w:rFonts w:ascii="Arial" w:cs="Arial" w:eastAsia="Arial" w:hAnsi="Arial"/>
                <w:sz w:val="17"/>
                <w:szCs w:val="17"/>
                <w:b w:val="1"/>
                <w:bCs w:val="1"/>
                <w:color w:val="FB4E0B"/>
              </w:rPr>
              <w:t>units of stock</w:t>
            </w:r>
          </w:p>
        </w:tc>
      </w:tr>
      <w:tr>
        <w:trPr>
          <w:trHeight w:val="227"/>
        </w:trPr>
        <w:tc>
          <w:tcPr>
            <w:tcW w:w="2740" w:type="dxa"/>
            <w:vAlign w:val="bottom"/>
          </w:tcPr>
          <w:p>
            <w:pPr>
              <w:ind w:left="40"/>
              <w:spacing w:after="0"/>
              <w:rPr>
                <w:sz w:val="20"/>
                <w:szCs w:val="20"/>
                <w:color w:val="auto"/>
              </w:rPr>
            </w:pPr>
            <w:r>
              <w:rPr>
                <w:rFonts w:ascii="Arial" w:cs="Arial" w:eastAsia="Arial" w:hAnsi="Arial"/>
                <w:sz w:val="17"/>
                <w:szCs w:val="17"/>
                <w:b w:val="1"/>
                <w:bCs w:val="1"/>
                <w:color w:val="FB4E0B"/>
              </w:rPr>
              <w:t>Name</w:t>
            </w:r>
          </w:p>
        </w:tc>
        <w:tc>
          <w:tcPr>
            <w:tcW w:w="2620" w:type="dxa"/>
            <w:vAlign w:val="bottom"/>
          </w:tcPr>
          <w:p>
            <w:pPr>
              <w:jc w:val="center"/>
              <w:spacing w:after="0"/>
              <w:rPr>
                <w:sz w:val="20"/>
                <w:szCs w:val="20"/>
                <w:color w:val="auto"/>
              </w:rPr>
            </w:pPr>
            <w:r>
              <w:rPr>
                <w:rFonts w:ascii="Arial" w:cs="Arial" w:eastAsia="Arial" w:hAnsi="Arial"/>
                <w:sz w:val="17"/>
                <w:szCs w:val="17"/>
                <w:b w:val="1"/>
                <w:bCs w:val="1"/>
                <w:color w:val="FB4E0B"/>
                <w:w w:val="88"/>
              </w:rPr>
              <w:t>options (#) exercisable</w:t>
            </w:r>
          </w:p>
        </w:tc>
        <w:tc>
          <w:tcPr>
            <w:tcW w:w="2820" w:type="dxa"/>
            <w:vAlign w:val="bottom"/>
          </w:tcPr>
          <w:p>
            <w:pPr>
              <w:jc w:val="right"/>
              <w:ind w:right="433"/>
              <w:spacing w:after="0"/>
              <w:rPr>
                <w:sz w:val="20"/>
                <w:szCs w:val="20"/>
                <w:color w:val="auto"/>
              </w:rPr>
            </w:pPr>
            <w:r>
              <w:rPr>
                <w:rFonts w:ascii="Arial" w:cs="Arial" w:eastAsia="Arial" w:hAnsi="Arial"/>
                <w:sz w:val="17"/>
                <w:szCs w:val="17"/>
                <w:b w:val="1"/>
                <w:bCs w:val="1"/>
                <w:color w:val="FB4E0B"/>
              </w:rPr>
              <w:t>options (#) unexercisable</w:t>
            </w:r>
          </w:p>
        </w:tc>
        <w:tc>
          <w:tcPr>
            <w:tcW w:w="2440" w:type="dxa"/>
            <w:vAlign w:val="bottom"/>
          </w:tcPr>
          <w:p>
            <w:pPr>
              <w:jc w:val="right"/>
              <w:ind w:right="413"/>
              <w:spacing w:after="0"/>
              <w:rPr>
                <w:sz w:val="20"/>
                <w:szCs w:val="20"/>
                <w:color w:val="auto"/>
              </w:rPr>
            </w:pPr>
            <w:r>
              <w:rPr>
                <w:rFonts w:ascii="Arial" w:cs="Arial" w:eastAsia="Arial" w:hAnsi="Arial"/>
                <w:sz w:val="17"/>
                <w:szCs w:val="17"/>
                <w:b w:val="1"/>
                <w:bCs w:val="1"/>
                <w:color w:val="FB4E0B"/>
              </w:rPr>
              <w:t>that have not vested</w:t>
            </w:r>
          </w:p>
        </w:tc>
      </w:tr>
      <w:tr>
        <w:trPr>
          <w:trHeight w:val="110"/>
        </w:trPr>
        <w:tc>
          <w:tcPr>
            <w:tcW w:w="2740" w:type="dxa"/>
            <w:vAlign w:val="bottom"/>
            <w:tcBorders>
              <w:bottom w:val="single" w:sz="8" w:color="FB4E0B"/>
            </w:tcBorders>
          </w:tcPr>
          <w:p>
            <w:pPr>
              <w:spacing w:after="0"/>
              <w:rPr>
                <w:sz w:val="9"/>
                <w:szCs w:val="9"/>
                <w:color w:val="auto"/>
              </w:rPr>
            </w:pPr>
          </w:p>
        </w:tc>
        <w:tc>
          <w:tcPr>
            <w:tcW w:w="2620" w:type="dxa"/>
            <w:vAlign w:val="bottom"/>
            <w:tcBorders>
              <w:bottom w:val="single" w:sz="8" w:color="FB4E0B"/>
            </w:tcBorders>
          </w:tcPr>
          <w:p>
            <w:pPr>
              <w:spacing w:after="0"/>
              <w:rPr>
                <w:sz w:val="9"/>
                <w:szCs w:val="9"/>
                <w:color w:val="auto"/>
              </w:rPr>
            </w:pPr>
          </w:p>
        </w:tc>
        <w:tc>
          <w:tcPr>
            <w:tcW w:w="2820" w:type="dxa"/>
            <w:vAlign w:val="bottom"/>
            <w:tcBorders>
              <w:bottom w:val="single" w:sz="8" w:color="FB4E0B"/>
            </w:tcBorders>
          </w:tcPr>
          <w:p>
            <w:pPr>
              <w:spacing w:after="0"/>
              <w:rPr>
                <w:sz w:val="9"/>
                <w:szCs w:val="9"/>
                <w:color w:val="auto"/>
              </w:rPr>
            </w:pPr>
          </w:p>
        </w:tc>
        <w:tc>
          <w:tcPr>
            <w:tcW w:w="2440" w:type="dxa"/>
            <w:vAlign w:val="bottom"/>
            <w:tcBorders>
              <w:bottom w:val="single" w:sz="8" w:color="FB4E0B"/>
            </w:tcBorders>
          </w:tcPr>
          <w:p>
            <w:pPr>
              <w:spacing w:after="0"/>
              <w:rPr>
                <w:sz w:val="9"/>
                <w:szCs w:val="9"/>
                <w:color w:val="auto"/>
              </w:rPr>
            </w:pPr>
          </w:p>
        </w:tc>
      </w:tr>
      <w:tr>
        <w:trPr>
          <w:trHeight w:val="299"/>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Anne Minto</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3,093</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1,411</w:t>
            </w:r>
          </w:p>
        </w:tc>
      </w:tr>
      <w:tr>
        <w:trPr>
          <w:trHeight w:val="104"/>
        </w:trPr>
        <w:tc>
          <w:tcPr>
            <w:tcW w:w="27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r>
      <w:tr>
        <w:trPr>
          <w:trHeight w:val="292"/>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Som Mittal</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1,411</w:t>
            </w:r>
          </w:p>
        </w:tc>
      </w:tr>
      <w:tr>
        <w:trPr>
          <w:trHeight w:val="104"/>
        </w:trPr>
        <w:tc>
          <w:tcPr>
            <w:tcW w:w="27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r>
      <w:tr>
        <w:trPr>
          <w:trHeight w:val="292"/>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Clyde Ostler</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1,411</w:t>
            </w:r>
          </w:p>
        </w:tc>
      </w:tr>
      <w:tr>
        <w:trPr>
          <w:trHeight w:val="104"/>
        </w:trPr>
        <w:tc>
          <w:tcPr>
            <w:tcW w:w="27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r>
      <w:tr>
        <w:trPr>
          <w:trHeight w:val="292"/>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Vikram Pandit</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2,494</w:t>
            </w:r>
          </w:p>
        </w:tc>
      </w:tr>
      <w:tr>
        <w:trPr>
          <w:trHeight w:val="104"/>
        </w:trPr>
        <w:tc>
          <w:tcPr>
            <w:tcW w:w="27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r>
      <w:tr>
        <w:trPr>
          <w:trHeight w:val="292"/>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Kristy Pipes</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1,411</w:t>
            </w:r>
          </w:p>
        </w:tc>
      </w:tr>
      <w:tr>
        <w:trPr>
          <w:trHeight w:val="104"/>
        </w:trPr>
        <w:tc>
          <w:tcPr>
            <w:tcW w:w="27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r>
      <w:tr>
        <w:trPr>
          <w:trHeight w:val="292"/>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Nitin Sahney</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1,411</w:t>
            </w:r>
          </w:p>
        </w:tc>
      </w:tr>
      <w:tr>
        <w:trPr>
          <w:trHeight w:val="104"/>
        </w:trPr>
        <w:tc>
          <w:tcPr>
            <w:tcW w:w="274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r>
      <w:tr>
        <w:trPr>
          <w:trHeight w:val="292"/>
        </w:trPr>
        <w:tc>
          <w:tcPr>
            <w:tcW w:w="2740" w:type="dxa"/>
            <w:vAlign w:val="bottom"/>
            <w:tcBorders>
              <w:right w:val="single" w:sz="8" w:color="auto"/>
            </w:tcBorders>
          </w:tcPr>
          <w:p>
            <w:pPr>
              <w:ind w:left="40"/>
              <w:spacing w:after="0"/>
              <w:rPr>
                <w:sz w:val="20"/>
                <w:szCs w:val="20"/>
                <w:color w:val="auto"/>
              </w:rPr>
            </w:pPr>
            <w:r>
              <w:rPr>
                <w:rFonts w:ascii="Arial" w:cs="Arial" w:eastAsia="Arial" w:hAnsi="Arial"/>
                <w:sz w:val="17"/>
                <w:szCs w:val="17"/>
                <w:b w:val="1"/>
                <w:bCs w:val="1"/>
                <w:color w:val="auto"/>
              </w:rPr>
              <w:t>Jaynie Studenmund</w:t>
            </w:r>
          </w:p>
        </w:tc>
        <w:tc>
          <w:tcPr>
            <w:tcW w:w="2620" w:type="dxa"/>
            <w:vAlign w:val="bottom"/>
            <w:tcBorders>
              <w:right w:val="single" w:sz="8" w:color="auto"/>
            </w:tcBorders>
          </w:tcPr>
          <w:p>
            <w:pPr>
              <w:jc w:val="right"/>
              <w:ind w:right="393"/>
              <w:spacing w:after="0"/>
              <w:rPr>
                <w:sz w:val="20"/>
                <w:szCs w:val="20"/>
                <w:color w:val="auto"/>
              </w:rPr>
            </w:pPr>
            <w:r>
              <w:rPr>
                <w:rFonts w:ascii="Arial" w:cs="Arial" w:eastAsia="Arial" w:hAnsi="Arial"/>
                <w:sz w:val="17"/>
                <w:szCs w:val="17"/>
                <w:color w:val="auto"/>
              </w:rPr>
              <w:t>0</w:t>
            </w:r>
          </w:p>
        </w:tc>
        <w:tc>
          <w:tcPr>
            <w:tcW w:w="2820" w:type="dxa"/>
            <w:vAlign w:val="bottom"/>
            <w:tcBorders>
              <w:right w:val="single" w:sz="8" w:color="auto"/>
            </w:tcBorders>
          </w:tcPr>
          <w:p>
            <w:pPr>
              <w:jc w:val="right"/>
              <w:ind w:right="433"/>
              <w:spacing w:after="0"/>
              <w:rPr>
                <w:sz w:val="20"/>
                <w:szCs w:val="20"/>
                <w:color w:val="auto"/>
              </w:rPr>
            </w:pPr>
            <w:r>
              <w:rPr>
                <w:rFonts w:ascii="Arial" w:cs="Arial" w:eastAsia="Arial" w:hAnsi="Arial"/>
                <w:sz w:val="17"/>
                <w:szCs w:val="17"/>
                <w:color w:val="auto"/>
              </w:rPr>
              <w:t>0</w:t>
            </w:r>
          </w:p>
        </w:tc>
        <w:tc>
          <w:tcPr>
            <w:tcW w:w="2440" w:type="dxa"/>
            <w:vAlign w:val="bottom"/>
          </w:tcPr>
          <w:p>
            <w:pPr>
              <w:jc w:val="right"/>
              <w:ind w:right="413"/>
              <w:spacing w:after="0"/>
              <w:rPr>
                <w:sz w:val="20"/>
                <w:szCs w:val="20"/>
                <w:color w:val="auto"/>
              </w:rPr>
            </w:pPr>
            <w:r>
              <w:rPr>
                <w:rFonts w:ascii="Arial" w:cs="Arial" w:eastAsia="Arial" w:hAnsi="Arial"/>
                <w:sz w:val="17"/>
                <w:szCs w:val="17"/>
                <w:color w:val="auto"/>
              </w:rPr>
              <w:t>1,411</w:t>
            </w:r>
          </w:p>
        </w:tc>
      </w:tr>
      <w:tr>
        <w:trPr>
          <w:trHeight w:val="110"/>
        </w:trPr>
        <w:tc>
          <w:tcPr>
            <w:tcW w:w="2740" w:type="dxa"/>
            <w:vAlign w:val="bottom"/>
            <w:tcBorders>
              <w:bottom w:val="single" w:sz="8" w:color="FB4E0B"/>
              <w:right w:val="single" w:sz="8" w:color="auto"/>
            </w:tcBorders>
          </w:tcPr>
          <w:p>
            <w:pPr>
              <w:spacing w:after="0"/>
              <w:rPr>
                <w:sz w:val="9"/>
                <w:szCs w:val="9"/>
                <w:color w:val="auto"/>
              </w:rPr>
            </w:pPr>
          </w:p>
        </w:tc>
        <w:tc>
          <w:tcPr>
            <w:tcW w:w="2620" w:type="dxa"/>
            <w:vAlign w:val="bottom"/>
            <w:tcBorders>
              <w:bottom w:val="single" w:sz="8" w:color="FB4E0B"/>
              <w:right w:val="single" w:sz="8" w:color="auto"/>
            </w:tcBorders>
          </w:tcPr>
          <w:p>
            <w:pPr>
              <w:spacing w:after="0"/>
              <w:rPr>
                <w:sz w:val="9"/>
                <w:szCs w:val="9"/>
                <w:color w:val="auto"/>
              </w:rPr>
            </w:pPr>
          </w:p>
        </w:tc>
        <w:tc>
          <w:tcPr>
            <w:tcW w:w="2820" w:type="dxa"/>
            <w:vAlign w:val="bottom"/>
            <w:tcBorders>
              <w:bottom w:val="single" w:sz="8" w:color="FB4E0B"/>
              <w:right w:val="single" w:sz="8" w:color="auto"/>
            </w:tcBorders>
          </w:tcPr>
          <w:p>
            <w:pPr>
              <w:spacing w:after="0"/>
              <w:rPr>
                <w:sz w:val="9"/>
                <w:szCs w:val="9"/>
                <w:color w:val="auto"/>
              </w:rPr>
            </w:pPr>
          </w:p>
        </w:tc>
        <w:tc>
          <w:tcPr>
            <w:tcW w:w="2440" w:type="dxa"/>
            <w:vAlign w:val="bottom"/>
            <w:tcBorders>
              <w:bottom w:val="single" w:sz="8" w:color="FB4E0B"/>
            </w:tcBorders>
          </w:tcPr>
          <w:p>
            <w:pPr>
              <w:spacing w:after="0"/>
              <w:rPr>
                <w:sz w:val="9"/>
                <w:szCs w:val="9"/>
                <w:color w:val="auto"/>
              </w:rPr>
            </w:pPr>
          </w:p>
        </w:tc>
      </w:tr>
    </w:tbl>
    <w:p>
      <w:pPr>
        <w:ind w:left="500" w:hanging="184"/>
        <w:spacing w:after="0" w:line="231" w:lineRule="auto"/>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For Ms. Minto and Mr. Mittal, amount reflects our reimbursement to the director for fees associated with tax preparer services.</w:t>
      </w:r>
    </w:p>
    <w:p>
      <w:pPr>
        <w:ind w:left="500" w:hanging="184"/>
        <w:spacing w:after="0" w:line="229" w:lineRule="auto"/>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reflect a change in the Audit Committee Chair role from Mr. Ostler to Ms. Pipes in March 2022.</w:t>
      </w:r>
    </w:p>
    <w:p>
      <w:pPr>
        <w:ind w:left="320" w:right="140" w:hanging="4"/>
        <w:spacing w:after="0" w:line="238" w:lineRule="auto"/>
        <w:tabs>
          <w:tab w:leader="none" w:pos="504" w:val="left"/>
        </w:tabs>
        <w:numPr>
          <w:ilvl w:val="0"/>
          <w:numId w:val="41"/>
        </w:numPr>
        <w:rPr>
          <w:rFonts w:ascii="Arial" w:cs="Arial" w:eastAsia="Arial" w:hAnsi="Arial"/>
          <w:sz w:val="13"/>
          <w:szCs w:val="13"/>
          <w:color w:val="auto"/>
        </w:rPr>
      </w:pPr>
      <w:r>
        <w:rPr>
          <w:rFonts w:ascii="Arial" w:cs="Arial" w:eastAsia="Arial" w:hAnsi="Arial"/>
          <w:sz w:val="13"/>
          <w:szCs w:val="13"/>
          <w:color w:val="auto"/>
        </w:rPr>
        <w:t>Mr. Pandit became Chairman on January 1, 2022. This amount reflects a prorated grant for the six-month interim period from such date through the Company’s 2022 annual meeting of stockholders, the annual Chairman grant for 2022-2023, and the standard annual director equity grant.</w:t>
      </w:r>
    </w:p>
    <w:p>
      <w:pPr>
        <w:spacing w:after="0" w:line="184" w:lineRule="exact"/>
        <w:rPr>
          <w:sz w:val="20"/>
          <w:szCs w:val="20"/>
          <w:color w:val="auto"/>
        </w:rPr>
      </w:pPr>
    </w:p>
    <w:p>
      <w:pPr>
        <w:ind w:left="320" w:right="180"/>
        <w:spacing w:after="0" w:line="270" w:lineRule="auto"/>
        <w:rPr>
          <w:sz w:val="20"/>
          <w:szCs w:val="20"/>
          <w:color w:val="auto"/>
        </w:rPr>
      </w:pPr>
      <w:r>
        <w:rPr>
          <w:rFonts w:ascii="Arial" w:cs="Arial" w:eastAsia="Arial" w:hAnsi="Arial"/>
          <w:sz w:val="17"/>
          <w:szCs w:val="17"/>
          <w:color w:val="auto"/>
        </w:rPr>
        <w:t>For 2022, non-executive directors were eligible to receive an annual retainer fee in the amount of $85,000 in cash and $190,000 in equity valued at the time of grant. The non-executive Chairman of our board was eligible to receive an additional $100,000 in equity valued at the time of grant. New non-employee directors who join our board of directors during a calendar quarter are</w:t>
      </w:r>
    </w:p>
    <w:p>
      <w:pPr>
        <w:sectPr>
          <w:pgSz w:w="11900" w:h="16838" w:orient="portrait"/>
          <w:cols w:equalWidth="0" w:num="1">
            <w:col w:w="10940"/>
          </w:cols>
          <w:pgMar w:left="320" w:top="473" w:right="639" w:bottom="1440" w:gutter="0" w:footer="0" w:header="0"/>
        </w:sectPr>
      </w:pPr>
    </w:p>
    <w:p>
      <w:pPr>
        <w:spacing w:after="0" w:line="231"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109</w:t>
      </w:r>
    </w:p>
    <w:p>
      <w:pPr>
        <w:sectPr>
          <w:pgSz w:w="11900" w:h="16838" w:orient="portrait"/>
          <w:cols w:equalWidth="0" w:num="1">
            <w:col w:w="10940"/>
          </w:cols>
          <w:pgMar w:left="320" w:top="473" w:right="6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Executive compensation</w:t>
      </w:r>
    </w:p>
    <w:p>
      <w:pPr>
        <w:spacing w:after="0" w:line="343" w:lineRule="exact"/>
        <w:rPr>
          <w:sz w:val="20"/>
          <w:szCs w:val="20"/>
          <w:color w:val="auto"/>
        </w:rPr>
      </w:pPr>
    </w:p>
    <w:p>
      <w:pPr>
        <w:ind w:left="320" w:right="180"/>
        <w:spacing w:after="0" w:line="270" w:lineRule="auto"/>
        <w:rPr>
          <w:sz w:val="20"/>
          <w:szCs w:val="20"/>
          <w:color w:val="auto"/>
        </w:rPr>
      </w:pPr>
      <w:r>
        <w:rPr>
          <w:rFonts w:ascii="Arial" w:cs="Arial" w:eastAsia="Arial" w:hAnsi="Arial"/>
          <w:sz w:val="17"/>
          <w:szCs w:val="17"/>
          <w:color w:val="auto"/>
        </w:rPr>
        <w:t>eligible to receive the full cash fee for such calendar quarter and a pro-rated equity grant. The chair of our Audit Committee was eligible to receive an additional annual fee of $12,500 in cash, and the chairs of our Compensation and Talent Management Committee and Nominating and Governance Committee were each eligible to receive an additional annual fee of $10,000 in cash.</w:t>
      </w:r>
    </w:p>
    <w:p>
      <w:pPr>
        <w:spacing w:after="0" w:line="173"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There are no additional fees payable for attendance at our board or committee meetings (whether in person, telephonic or otherwise). We make quarterly cash payments in respect of the director fees to our directors.</w:t>
      </w:r>
    </w:p>
    <w:p>
      <w:pPr>
        <w:spacing w:after="0" w:line="159" w:lineRule="exact"/>
        <w:rPr>
          <w:sz w:val="20"/>
          <w:szCs w:val="20"/>
          <w:color w:val="auto"/>
        </w:rPr>
      </w:pPr>
    </w:p>
    <w:p>
      <w:pPr>
        <w:ind w:left="320" w:right="280"/>
        <w:spacing w:after="0" w:line="286" w:lineRule="auto"/>
        <w:rPr>
          <w:sz w:val="20"/>
          <w:szCs w:val="20"/>
          <w:color w:val="auto"/>
        </w:rPr>
      </w:pPr>
      <w:r>
        <w:rPr>
          <w:rFonts w:ascii="Arial" w:cs="Arial" w:eastAsia="Arial" w:hAnsi="Arial"/>
          <w:sz w:val="17"/>
          <w:szCs w:val="17"/>
          <w:color w:val="auto"/>
        </w:rPr>
        <w:t>Holders of restricted stock units do not receive the underlying shares of common stock until the units have vested and are settled. Unless the director elects otherwise, the restricted stock units issued to each of our non-employee directors will settle on the earliest of:</w:t>
      </w:r>
    </w:p>
    <w:p>
      <w:pPr>
        <w:spacing w:after="0" w:line="67" w:lineRule="exact"/>
        <w:rPr>
          <w:sz w:val="20"/>
          <w:szCs w:val="20"/>
          <w:color w:val="auto"/>
        </w:rPr>
      </w:pPr>
    </w:p>
    <w:p>
      <w:pPr>
        <w:ind w:left="1140" w:hanging="407"/>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director’s death;</w:t>
      </w:r>
    </w:p>
    <w:p>
      <w:pPr>
        <w:spacing w:after="0" w:line="129" w:lineRule="exact"/>
        <w:rPr>
          <w:rFonts w:ascii="Arial" w:cs="Arial" w:eastAsia="Arial" w:hAnsi="Arial"/>
          <w:sz w:val="17"/>
          <w:szCs w:val="17"/>
          <w:color w:val="auto"/>
        </w:rPr>
      </w:pPr>
    </w:p>
    <w:p>
      <w:pPr>
        <w:ind w:left="1140" w:right="160" w:hanging="407"/>
        <w:spacing w:after="0" w:line="286"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180 days following the end of such director’s term on our board of directors, or if the director has satisfied our stock ownership guidelines and made an election prior to the grant, the vesting date of the award; and</w:t>
      </w:r>
    </w:p>
    <w:p>
      <w:pPr>
        <w:spacing w:after="0" w:line="67" w:lineRule="exact"/>
        <w:rPr>
          <w:rFonts w:ascii="Arial" w:cs="Arial" w:eastAsia="Arial" w:hAnsi="Arial"/>
          <w:sz w:val="17"/>
          <w:szCs w:val="17"/>
          <w:color w:val="auto"/>
        </w:rPr>
      </w:pPr>
    </w:p>
    <w:p>
      <w:pPr>
        <w:ind w:left="1140" w:right="20" w:hanging="407"/>
        <w:spacing w:after="0" w:line="286"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occurrence of a “change in control,” as defined in the 2006 Plan, 2015 Plan or 2018 Plan, as applicable, that satisfies the requirements of Section 409A of the Code.</w:t>
      </w:r>
    </w:p>
    <w:p>
      <w:pPr>
        <w:spacing w:after="0" w:line="74" w:lineRule="exact"/>
        <w:rPr>
          <w:sz w:val="20"/>
          <w:szCs w:val="20"/>
          <w:color w:val="auto"/>
        </w:rPr>
      </w:pPr>
    </w:p>
    <w:p>
      <w:pPr>
        <w:ind w:left="420"/>
        <w:spacing w:after="0"/>
        <w:tabs>
          <w:tab w:leader="none" w:pos="1020" w:val="left"/>
          <w:tab w:leader="none" w:pos="1360" w:val="left"/>
        </w:tabs>
        <w:rPr>
          <w:sz w:val="20"/>
          <w:szCs w:val="20"/>
          <w:color w:val="auto"/>
        </w:rPr>
      </w:pPr>
      <w:r>
        <w:rPr>
          <w:rFonts w:ascii="Arial" w:cs="Arial" w:eastAsia="Arial" w:hAnsi="Arial"/>
          <w:sz w:val="17"/>
          <w:szCs w:val="17"/>
          <w:b w:val="1"/>
          <w:bCs w:val="1"/>
          <w:color w:val="auto"/>
        </w:rPr>
        <w:t>110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00"/>
          </w:cols>
          <w:pgMar w:left="320" w:top="473" w:right="67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Stock ownership of directors, executive officers and certain beneficial owners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Stock ownership of directors, executive officers and certain beneficial owners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indicated, the table below sets forth information with respect to the beneficial ownership of our common stock by:</w:t>
      </w:r>
    </w:p>
    <w:p>
      <w:pPr>
        <w:spacing w:after="0" w:line="247" w:lineRule="exact"/>
        <w:rPr>
          <w:sz w:val="20"/>
          <w:szCs w:val="20"/>
          <w:color w:val="auto"/>
        </w:rPr>
      </w:pPr>
    </w:p>
    <w:p>
      <w:pPr>
        <w:ind w:left="1140" w:hanging="407"/>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of our directors and each of our named executive officers individually;</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person who is known to be the beneficial owner of more than 5% of our common stock; and</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of our current directors and current executive officers (i.e., not just named executive officers) as a group.</w:t>
      </w:r>
    </w:p>
    <w:p>
      <w:pPr>
        <w:spacing w:after="0" w:line="221" w:lineRule="exact"/>
        <w:rPr>
          <w:sz w:val="20"/>
          <w:szCs w:val="20"/>
          <w:color w:val="auto"/>
        </w:rPr>
      </w:pPr>
    </w:p>
    <w:p>
      <w:pPr>
        <w:ind w:left="320" w:right="20"/>
        <w:spacing w:after="0" w:line="300" w:lineRule="auto"/>
        <w:rPr>
          <w:sz w:val="20"/>
          <w:szCs w:val="20"/>
          <w:color w:val="auto"/>
        </w:rPr>
      </w:pPr>
      <w:r>
        <w:rPr>
          <w:rFonts w:ascii="Arial" w:cs="Arial" w:eastAsia="Arial" w:hAnsi="Arial"/>
          <w:sz w:val="15"/>
          <w:szCs w:val="15"/>
          <w:color w:val="auto"/>
        </w:rPr>
        <w:t>The amounts and percentages of common stock beneficially owned below are as of March 31, 2023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76"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5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jc w:val="right"/>
              <w:ind w:right="362"/>
              <w:spacing w:after="0"/>
              <w:rPr>
                <w:sz w:val="20"/>
                <w:szCs w:val="20"/>
                <w:color w:val="auto"/>
              </w:rPr>
            </w:pPr>
            <w:r>
              <w:rPr>
                <w:rFonts w:ascii="Arial" w:cs="Arial" w:eastAsia="Arial" w:hAnsi="Arial"/>
                <w:sz w:val="17"/>
                <w:szCs w:val="17"/>
                <w:b w:val="1"/>
                <w:bCs w:val="1"/>
                <w:color w:val="auto"/>
              </w:rPr>
              <w:t>Vested but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7"/>
        </w:trPr>
        <w:tc>
          <w:tcPr>
            <w:tcW w:w="5340" w:type="dxa"/>
            <w:vAlign w:val="bottom"/>
            <w:tcBorders>
              <w:bottom w:val="single" w:sz="8" w:color="FB4E0B"/>
            </w:tcBorders>
          </w:tcPr>
          <w:p>
            <w:pPr>
              <w:ind w:left="340"/>
              <w:spacing w:after="0"/>
              <w:rPr>
                <w:sz w:val="20"/>
                <w:szCs w:val="20"/>
                <w:color w:val="auto"/>
              </w:rPr>
            </w:pPr>
            <w:r>
              <w:rPr>
                <w:rFonts w:ascii="Arial" w:cs="Arial" w:eastAsia="Arial" w:hAnsi="Arial"/>
                <w:sz w:val="17"/>
                <w:szCs w:val="17"/>
                <w:b w:val="1"/>
                <w:bCs w:val="1"/>
                <w:color w:val="auto"/>
              </w:rPr>
              <w:t>Name and address</w:t>
            </w:r>
            <w:r>
              <w:rPr>
                <w:rFonts w:ascii="Arial" w:cs="Arial" w:eastAsia="Arial" w:hAnsi="Arial"/>
                <w:sz w:val="26"/>
                <w:szCs w:val="26"/>
                <w:b w:val="1"/>
                <w:bCs w:val="1"/>
                <w:color w:val="auto"/>
                <w:vertAlign w:val="superscript"/>
              </w:rPr>
              <w:t>(1)</w:t>
            </w:r>
          </w:p>
        </w:tc>
        <w:tc>
          <w:tcPr>
            <w:tcW w:w="1460" w:type="dxa"/>
            <w:vAlign w:val="bottom"/>
            <w:tcBorders>
              <w:bottom w:val="single" w:sz="8" w:color="FB4E0B"/>
            </w:tcBorders>
          </w:tcPr>
          <w:p>
            <w:pPr>
              <w:jc w:val="right"/>
              <w:ind w:right="321"/>
              <w:spacing w:after="0"/>
              <w:rPr>
                <w:sz w:val="20"/>
                <w:szCs w:val="20"/>
                <w:color w:val="auto"/>
              </w:rPr>
            </w:pPr>
            <w:r>
              <w:rPr>
                <w:rFonts w:ascii="Arial" w:cs="Arial" w:eastAsia="Arial" w:hAnsi="Arial"/>
                <w:sz w:val="17"/>
                <w:szCs w:val="17"/>
                <w:b w:val="1"/>
                <w:bCs w:val="1"/>
                <w:color w:val="auto"/>
              </w:rPr>
              <w:t>Shares</w:t>
            </w:r>
          </w:p>
        </w:tc>
        <w:tc>
          <w:tcPr>
            <w:tcW w:w="660" w:type="dxa"/>
            <w:vAlign w:val="bottom"/>
            <w:tcBorders>
              <w:bottom w:val="single" w:sz="8" w:color="FB4E0B"/>
            </w:tcBorders>
          </w:tcPr>
          <w:p>
            <w:pPr>
              <w:ind w:left="220"/>
              <w:spacing w:after="0" w:line="330" w:lineRule="exact"/>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3"/>
                <w:szCs w:val="13"/>
                <w:b w:val="1"/>
                <w:bCs w:val="1"/>
                <w:color w:val="auto"/>
              </w:rPr>
              <w:t>(2)</w:t>
            </w:r>
          </w:p>
        </w:tc>
        <w:tc>
          <w:tcPr>
            <w:tcW w:w="1840" w:type="dxa"/>
            <w:vAlign w:val="bottom"/>
            <w:tcBorders>
              <w:bottom w:val="single" w:sz="8" w:color="FB4E0B"/>
            </w:tcBorders>
          </w:tcPr>
          <w:p>
            <w:pPr>
              <w:jc w:val="right"/>
              <w:ind w:right="122"/>
              <w:spacing w:after="0"/>
              <w:rPr>
                <w:sz w:val="20"/>
                <w:szCs w:val="20"/>
                <w:color w:val="auto"/>
              </w:rPr>
            </w:pPr>
            <w:r>
              <w:rPr>
                <w:rFonts w:ascii="Arial" w:cs="Arial" w:eastAsia="Arial" w:hAnsi="Arial"/>
                <w:sz w:val="17"/>
                <w:szCs w:val="17"/>
                <w:b w:val="1"/>
                <w:bCs w:val="1"/>
                <w:color w:val="auto"/>
              </w:rPr>
              <w:t>unsettled RSUs</w:t>
            </w:r>
            <w:r>
              <w:rPr>
                <w:rFonts w:ascii="Arial" w:cs="Arial" w:eastAsia="Arial" w:hAnsi="Arial"/>
                <w:sz w:val="26"/>
                <w:szCs w:val="26"/>
                <w:b w:val="1"/>
                <w:bCs w:val="1"/>
                <w:color w:val="auto"/>
                <w:vertAlign w:val="superscript"/>
              </w:rPr>
              <w:t>(3)</w:t>
            </w:r>
          </w:p>
        </w:tc>
        <w:tc>
          <w:tcPr>
            <w:tcW w:w="880" w:type="dxa"/>
            <w:vAlign w:val="bottom"/>
            <w:tcBorders>
              <w:bottom w:val="single" w:sz="8" w:color="FB4E0B"/>
            </w:tcBorders>
            <w:gridSpan w:val="2"/>
          </w:tcPr>
          <w:p>
            <w:pPr>
              <w:jc w:val="right"/>
              <w:ind w:right="199"/>
              <w:spacing w:after="0"/>
              <w:rPr>
                <w:sz w:val="20"/>
                <w:szCs w:val="20"/>
                <w:color w:val="auto"/>
              </w:rPr>
            </w:pPr>
            <w:r>
              <w:rPr>
                <w:rFonts w:ascii="Arial" w:cs="Arial" w:eastAsia="Arial" w:hAnsi="Arial"/>
                <w:sz w:val="17"/>
                <w:szCs w:val="17"/>
                <w:b w:val="1"/>
                <w:bCs w:val="1"/>
                <w:color w:val="auto"/>
              </w:rPr>
              <w:t>Total</w:t>
            </w:r>
          </w:p>
        </w:tc>
      </w:tr>
      <w:tr>
        <w:trPr>
          <w:trHeight w:val="280"/>
        </w:trPr>
        <w:tc>
          <w:tcPr>
            <w:tcW w:w="5340" w:type="dxa"/>
            <w:vAlign w:val="bottom"/>
          </w:tcPr>
          <w:p>
            <w:pPr>
              <w:ind w:left="340"/>
              <w:spacing w:after="0"/>
              <w:rPr>
                <w:sz w:val="20"/>
                <w:szCs w:val="20"/>
                <w:color w:val="auto"/>
              </w:rPr>
            </w:pPr>
            <w:r>
              <w:rPr>
                <w:rFonts w:ascii="Arial" w:cs="Arial" w:eastAsia="Arial" w:hAnsi="Arial"/>
                <w:sz w:val="16"/>
                <w:szCs w:val="16"/>
                <w:b w:val="1"/>
                <w:bCs w:val="1"/>
                <w:color w:val="FB4E0B"/>
              </w:rPr>
              <w:t>Named Executive Officers</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84"/>
        </w:trPr>
        <w:tc>
          <w:tcPr>
            <w:tcW w:w="53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r>
      <w:tr>
        <w:trPr>
          <w:trHeight w:val="379"/>
        </w:trPr>
        <w:tc>
          <w:tcPr>
            <w:tcW w:w="5340" w:type="dxa"/>
            <w:vAlign w:val="bottom"/>
          </w:tcPr>
          <w:p>
            <w:pPr>
              <w:ind w:left="340"/>
              <w:spacing w:after="0"/>
              <w:rPr>
                <w:sz w:val="20"/>
                <w:szCs w:val="20"/>
                <w:color w:val="auto"/>
              </w:rPr>
            </w:pPr>
            <w:r>
              <w:rPr>
                <w:rFonts w:ascii="Arial" w:cs="Arial" w:eastAsia="Arial" w:hAnsi="Arial"/>
                <w:sz w:val="16"/>
                <w:szCs w:val="16"/>
                <w:color w:val="auto"/>
              </w:rPr>
              <w:t>Rohit Kapoor</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748,106</w:t>
            </w:r>
            <w:r>
              <w:rPr>
                <w:rFonts w:ascii="Arial" w:cs="Arial" w:eastAsia="Arial" w:hAnsi="Arial"/>
                <w:sz w:val="23"/>
                <w:szCs w:val="23"/>
                <w:color w:val="auto"/>
                <w:vertAlign w:val="superscript"/>
              </w:rPr>
              <w:t>(4)</w:t>
            </w:r>
          </w:p>
        </w:tc>
        <w:tc>
          <w:tcPr>
            <w:tcW w:w="660" w:type="dxa"/>
            <w:vAlign w:val="bottom"/>
          </w:tcPr>
          <w:p>
            <w:pPr>
              <w:ind w:left="220"/>
              <w:spacing w:after="0"/>
              <w:rPr>
                <w:sz w:val="20"/>
                <w:szCs w:val="20"/>
                <w:color w:val="auto"/>
              </w:rPr>
            </w:pPr>
            <w:r>
              <w:rPr>
                <w:rFonts w:ascii="Arial" w:cs="Arial" w:eastAsia="Arial" w:hAnsi="Arial"/>
                <w:sz w:val="16"/>
                <w:szCs w:val="16"/>
                <w:color w:val="auto"/>
                <w:w w:val="92"/>
              </w:rPr>
              <w:t>2.25%</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748,106</w:t>
            </w:r>
          </w:p>
        </w:tc>
      </w:tr>
      <w:tr>
        <w:trPr>
          <w:trHeight w:val="246"/>
        </w:trPr>
        <w:tc>
          <w:tcPr>
            <w:tcW w:w="5340" w:type="dxa"/>
            <w:vAlign w:val="bottom"/>
          </w:tcPr>
          <w:p>
            <w:pPr>
              <w:ind w:left="340"/>
              <w:spacing w:after="0"/>
              <w:rPr>
                <w:sz w:val="20"/>
                <w:szCs w:val="20"/>
                <w:color w:val="auto"/>
              </w:rPr>
            </w:pPr>
            <w:r>
              <w:rPr>
                <w:rFonts w:ascii="Arial" w:cs="Arial" w:eastAsia="Arial" w:hAnsi="Arial"/>
                <w:sz w:val="16"/>
                <w:szCs w:val="16"/>
                <w:color w:val="auto"/>
              </w:rPr>
              <w:t>Maurizio Nicolelli</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16,382</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16,382</w:t>
            </w:r>
          </w:p>
        </w:tc>
      </w:tr>
      <w:tr>
        <w:trPr>
          <w:trHeight w:val="351"/>
        </w:trPr>
        <w:tc>
          <w:tcPr>
            <w:tcW w:w="5340" w:type="dxa"/>
            <w:vAlign w:val="bottom"/>
          </w:tcPr>
          <w:p>
            <w:pPr>
              <w:ind w:left="340"/>
              <w:spacing w:after="0"/>
              <w:rPr>
                <w:sz w:val="20"/>
                <w:szCs w:val="20"/>
                <w:color w:val="auto"/>
              </w:rPr>
            </w:pPr>
            <w:r>
              <w:rPr>
                <w:rFonts w:ascii="Arial" w:cs="Arial" w:eastAsia="Arial" w:hAnsi="Arial"/>
                <w:sz w:val="16"/>
                <w:szCs w:val="16"/>
                <w:color w:val="auto"/>
              </w:rPr>
              <w:t>Vikas Bhalla</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20,345</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20,345</w:t>
            </w:r>
          </w:p>
        </w:tc>
      </w:tr>
      <w:tr>
        <w:trPr>
          <w:trHeight w:val="351"/>
        </w:trPr>
        <w:tc>
          <w:tcPr>
            <w:tcW w:w="5340" w:type="dxa"/>
            <w:vAlign w:val="bottom"/>
          </w:tcPr>
          <w:p>
            <w:pPr>
              <w:ind w:left="340"/>
              <w:spacing w:after="0"/>
              <w:rPr>
                <w:sz w:val="20"/>
                <w:szCs w:val="20"/>
                <w:color w:val="auto"/>
              </w:rPr>
            </w:pPr>
            <w:r>
              <w:rPr>
                <w:rFonts w:ascii="Arial" w:cs="Arial" w:eastAsia="Arial" w:hAnsi="Arial"/>
                <w:sz w:val="16"/>
                <w:szCs w:val="16"/>
                <w:color w:val="auto"/>
              </w:rPr>
              <w:t>Vivek Jetley</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57,421</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57,421</w:t>
            </w:r>
          </w:p>
        </w:tc>
      </w:tr>
      <w:tr>
        <w:trPr>
          <w:trHeight w:val="457"/>
        </w:trPr>
        <w:tc>
          <w:tcPr>
            <w:tcW w:w="5340" w:type="dxa"/>
            <w:vAlign w:val="bottom"/>
          </w:tcPr>
          <w:p>
            <w:pPr>
              <w:ind w:left="340"/>
              <w:spacing w:after="0"/>
              <w:rPr>
                <w:sz w:val="20"/>
                <w:szCs w:val="20"/>
                <w:color w:val="auto"/>
              </w:rPr>
            </w:pPr>
            <w:r>
              <w:rPr>
                <w:rFonts w:ascii="Arial" w:cs="Arial" w:eastAsia="Arial" w:hAnsi="Arial"/>
                <w:sz w:val="16"/>
                <w:szCs w:val="16"/>
                <w:color w:val="auto"/>
              </w:rPr>
              <w:t>Ankor Rai</w:t>
            </w:r>
            <w:r>
              <w:rPr>
                <w:rFonts w:ascii="Arial" w:cs="Arial" w:eastAsia="Arial" w:hAnsi="Arial"/>
                <w:sz w:val="23"/>
                <w:szCs w:val="23"/>
                <w:color w:val="auto"/>
                <w:vertAlign w:val="superscript"/>
              </w:rPr>
              <w:t>(5)</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14,391</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14,391</w:t>
            </w:r>
          </w:p>
        </w:tc>
      </w:tr>
      <w:tr>
        <w:trPr>
          <w:trHeight w:val="272"/>
        </w:trPr>
        <w:tc>
          <w:tcPr>
            <w:tcW w:w="5340" w:type="dxa"/>
            <w:vAlign w:val="bottom"/>
          </w:tcPr>
          <w:p>
            <w:pPr>
              <w:ind w:left="340"/>
              <w:spacing w:after="0"/>
              <w:rPr>
                <w:sz w:val="20"/>
                <w:szCs w:val="20"/>
                <w:color w:val="auto"/>
              </w:rPr>
            </w:pPr>
            <w:r>
              <w:rPr>
                <w:rFonts w:ascii="Arial" w:cs="Arial" w:eastAsia="Arial" w:hAnsi="Arial"/>
                <w:sz w:val="16"/>
                <w:szCs w:val="16"/>
                <w:b w:val="1"/>
                <w:bCs w:val="1"/>
                <w:color w:val="FB4E0B"/>
              </w:rPr>
              <w:t>Directors</w:t>
            </w:r>
          </w:p>
        </w:tc>
        <w:tc>
          <w:tcPr>
            <w:tcW w:w="1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84"/>
        </w:trPr>
        <w:tc>
          <w:tcPr>
            <w:tcW w:w="53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73"/>
        </w:trPr>
        <w:tc>
          <w:tcPr>
            <w:tcW w:w="5340" w:type="dxa"/>
            <w:vAlign w:val="bottom"/>
          </w:tcPr>
          <w:p>
            <w:pPr>
              <w:ind w:left="340"/>
              <w:spacing w:after="0"/>
              <w:rPr>
                <w:sz w:val="20"/>
                <w:szCs w:val="20"/>
                <w:color w:val="auto"/>
              </w:rPr>
            </w:pPr>
            <w:r>
              <w:rPr>
                <w:rFonts w:ascii="Arial" w:cs="Arial" w:eastAsia="Arial" w:hAnsi="Arial"/>
                <w:sz w:val="16"/>
                <w:szCs w:val="16"/>
                <w:color w:val="auto"/>
              </w:rPr>
              <w:t>Andreas Fibig</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600</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600</w:t>
            </w:r>
          </w:p>
        </w:tc>
      </w:tr>
      <w:tr>
        <w:trPr>
          <w:trHeight w:val="457"/>
        </w:trPr>
        <w:tc>
          <w:tcPr>
            <w:tcW w:w="5340" w:type="dxa"/>
            <w:vAlign w:val="bottom"/>
          </w:tcPr>
          <w:p>
            <w:pPr>
              <w:ind w:left="340"/>
              <w:spacing w:after="0"/>
              <w:rPr>
                <w:sz w:val="20"/>
                <w:szCs w:val="20"/>
                <w:color w:val="auto"/>
              </w:rPr>
            </w:pPr>
            <w:r>
              <w:rPr>
                <w:rFonts w:ascii="Arial" w:cs="Arial" w:eastAsia="Arial" w:hAnsi="Arial"/>
                <w:sz w:val="16"/>
                <w:szCs w:val="16"/>
                <w:color w:val="auto"/>
              </w:rPr>
              <w:t>Anne E. Minto</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3,093</w:t>
            </w:r>
            <w:r>
              <w:rPr>
                <w:rFonts w:ascii="Arial" w:cs="Arial" w:eastAsia="Arial" w:hAnsi="Arial"/>
                <w:sz w:val="23"/>
                <w:szCs w:val="23"/>
                <w:color w:val="auto"/>
                <w:vertAlign w:val="superscript"/>
              </w:rPr>
              <w:t>(6)</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22,857</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25,950</w:t>
            </w:r>
          </w:p>
        </w:tc>
      </w:tr>
      <w:tr>
        <w:trPr>
          <w:trHeight w:val="246"/>
        </w:trPr>
        <w:tc>
          <w:tcPr>
            <w:tcW w:w="5340" w:type="dxa"/>
            <w:vAlign w:val="bottom"/>
          </w:tcPr>
          <w:p>
            <w:pPr>
              <w:ind w:left="340"/>
              <w:spacing w:after="0"/>
              <w:rPr>
                <w:sz w:val="20"/>
                <w:szCs w:val="20"/>
                <w:color w:val="auto"/>
              </w:rPr>
            </w:pPr>
            <w:r>
              <w:rPr>
                <w:rFonts w:ascii="Arial" w:cs="Arial" w:eastAsia="Arial" w:hAnsi="Arial"/>
                <w:sz w:val="16"/>
                <w:szCs w:val="16"/>
                <w:color w:val="auto"/>
              </w:rPr>
              <w:t>Som Mittal</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14,453</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14,453</w:t>
            </w:r>
          </w:p>
        </w:tc>
      </w:tr>
      <w:tr>
        <w:trPr>
          <w:trHeight w:val="351"/>
        </w:trPr>
        <w:tc>
          <w:tcPr>
            <w:tcW w:w="5340" w:type="dxa"/>
            <w:vAlign w:val="bottom"/>
          </w:tcPr>
          <w:p>
            <w:pPr>
              <w:ind w:left="340"/>
              <w:spacing w:after="0"/>
              <w:rPr>
                <w:sz w:val="20"/>
                <w:szCs w:val="20"/>
                <w:color w:val="auto"/>
              </w:rPr>
            </w:pPr>
            <w:r>
              <w:rPr>
                <w:rFonts w:ascii="Arial" w:cs="Arial" w:eastAsia="Arial" w:hAnsi="Arial"/>
                <w:sz w:val="16"/>
                <w:szCs w:val="16"/>
                <w:color w:val="auto"/>
              </w:rPr>
              <w:t>Clyde W. Ostler</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17,245</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40,024</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57,269</w:t>
            </w:r>
          </w:p>
        </w:tc>
      </w:tr>
      <w:tr>
        <w:trPr>
          <w:trHeight w:val="457"/>
        </w:trPr>
        <w:tc>
          <w:tcPr>
            <w:tcW w:w="5340" w:type="dxa"/>
            <w:vAlign w:val="bottom"/>
          </w:tcPr>
          <w:p>
            <w:pPr>
              <w:ind w:left="340"/>
              <w:spacing w:after="0"/>
              <w:rPr>
                <w:sz w:val="20"/>
                <w:szCs w:val="20"/>
                <w:color w:val="auto"/>
              </w:rPr>
            </w:pPr>
            <w:r>
              <w:rPr>
                <w:rFonts w:ascii="Arial" w:cs="Arial" w:eastAsia="Arial" w:hAnsi="Arial"/>
                <w:sz w:val="16"/>
                <w:szCs w:val="16"/>
                <w:color w:val="auto"/>
              </w:rPr>
              <w:t>Vikram S. Pandit</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310,394</w:t>
            </w:r>
            <w:r>
              <w:rPr>
                <w:rFonts w:ascii="Arial" w:cs="Arial" w:eastAsia="Arial" w:hAnsi="Arial"/>
                <w:sz w:val="23"/>
                <w:szCs w:val="23"/>
                <w:color w:val="auto"/>
                <w:vertAlign w:val="superscript"/>
              </w:rPr>
              <w:t>(7)</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7,118</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317,512</w:t>
            </w:r>
          </w:p>
        </w:tc>
      </w:tr>
      <w:tr>
        <w:trPr>
          <w:trHeight w:val="246"/>
        </w:trPr>
        <w:tc>
          <w:tcPr>
            <w:tcW w:w="5340" w:type="dxa"/>
            <w:vAlign w:val="bottom"/>
          </w:tcPr>
          <w:p>
            <w:pPr>
              <w:ind w:left="340"/>
              <w:spacing w:after="0"/>
              <w:rPr>
                <w:sz w:val="20"/>
                <w:szCs w:val="20"/>
                <w:color w:val="auto"/>
              </w:rPr>
            </w:pPr>
            <w:r>
              <w:rPr>
                <w:rFonts w:ascii="Arial" w:cs="Arial" w:eastAsia="Arial" w:hAnsi="Arial"/>
                <w:sz w:val="16"/>
                <w:szCs w:val="16"/>
                <w:color w:val="auto"/>
              </w:rPr>
              <w:t>Kristy Pipes</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2,069</w:t>
            </w:r>
          </w:p>
        </w:tc>
        <w:tc>
          <w:tcPr>
            <w:tcW w:w="340" w:type="dxa"/>
            <w:vAlign w:val="bottom"/>
          </w:tcPr>
          <w:p>
            <w:pPr>
              <w:spacing w:after="0"/>
              <w:rPr>
                <w:sz w:val="21"/>
                <w:szCs w:val="21"/>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w w:val="84"/>
              </w:rPr>
              <w:t>2,069</w:t>
            </w:r>
          </w:p>
        </w:tc>
      </w:tr>
      <w:tr>
        <w:trPr>
          <w:trHeight w:val="351"/>
        </w:trPr>
        <w:tc>
          <w:tcPr>
            <w:tcW w:w="5340" w:type="dxa"/>
            <w:vAlign w:val="bottom"/>
          </w:tcPr>
          <w:p>
            <w:pPr>
              <w:ind w:left="340"/>
              <w:spacing w:after="0"/>
              <w:rPr>
                <w:sz w:val="20"/>
                <w:szCs w:val="20"/>
                <w:color w:val="auto"/>
              </w:rPr>
            </w:pPr>
            <w:r>
              <w:rPr>
                <w:rFonts w:ascii="Arial" w:cs="Arial" w:eastAsia="Arial" w:hAnsi="Arial"/>
                <w:sz w:val="16"/>
                <w:szCs w:val="16"/>
                <w:color w:val="auto"/>
              </w:rPr>
              <w:t>Nitin Sahney</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12,282</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12,282</w:t>
            </w:r>
          </w:p>
        </w:tc>
      </w:tr>
      <w:tr>
        <w:trPr>
          <w:trHeight w:val="351"/>
        </w:trPr>
        <w:tc>
          <w:tcPr>
            <w:tcW w:w="5340" w:type="dxa"/>
            <w:vAlign w:val="bottom"/>
          </w:tcPr>
          <w:p>
            <w:pPr>
              <w:ind w:left="340"/>
              <w:spacing w:after="0"/>
              <w:rPr>
                <w:sz w:val="20"/>
                <w:szCs w:val="20"/>
                <w:color w:val="auto"/>
              </w:rPr>
            </w:pPr>
            <w:r>
              <w:rPr>
                <w:rFonts w:ascii="Arial" w:cs="Arial" w:eastAsia="Arial" w:hAnsi="Arial"/>
                <w:sz w:val="16"/>
                <w:szCs w:val="16"/>
                <w:color w:val="auto"/>
              </w:rPr>
              <w:t>Jaynie M. Studenmund</w:t>
            </w:r>
          </w:p>
        </w:tc>
        <w:tc>
          <w:tcPr>
            <w:tcW w:w="1460" w:type="dxa"/>
            <w:vAlign w:val="bottom"/>
          </w:tcPr>
          <w:p>
            <w:pPr>
              <w:jc w:val="right"/>
              <w:ind w:right="241"/>
              <w:spacing w:after="0"/>
              <w:rPr>
                <w:sz w:val="20"/>
                <w:szCs w:val="20"/>
                <w:color w:val="auto"/>
              </w:rPr>
            </w:pPr>
            <w:r>
              <w:rPr>
                <w:rFonts w:ascii="Arial" w:cs="Arial" w:eastAsia="Arial" w:hAnsi="Arial"/>
                <w:sz w:val="16"/>
                <w:szCs w:val="16"/>
                <w:color w:val="auto"/>
              </w:rPr>
              <w:t>3,645</w:t>
            </w:r>
          </w:p>
        </w:tc>
        <w:tc>
          <w:tcPr>
            <w:tcW w:w="660" w:type="dxa"/>
            <w:vAlign w:val="bottom"/>
          </w:tcPr>
          <w:p>
            <w:pPr>
              <w:jc w:val="center"/>
              <w:ind w:left="63"/>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6,819</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10,464</w:t>
            </w:r>
          </w:p>
        </w:tc>
      </w:tr>
      <w:tr>
        <w:trPr>
          <w:trHeight w:val="84"/>
        </w:trPr>
        <w:tc>
          <w:tcPr>
            <w:tcW w:w="53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337"/>
        </w:trPr>
        <w:tc>
          <w:tcPr>
            <w:tcW w:w="5340" w:type="dxa"/>
            <w:vAlign w:val="bottom"/>
            <w:tcBorders>
              <w:bottom w:val="single" w:sz="8" w:color="FB4E0B"/>
            </w:tcBorders>
          </w:tcPr>
          <w:p>
            <w:pPr>
              <w:ind w:left="340"/>
              <w:spacing w:after="0"/>
              <w:rPr>
                <w:sz w:val="20"/>
                <w:szCs w:val="20"/>
                <w:color w:val="auto"/>
              </w:rPr>
            </w:pPr>
            <w:r>
              <w:rPr>
                <w:rFonts w:ascii="Arial" w:cs="Arial" w:eastAsia="Arial" w:hAnsi="Arial"/>
                <w:sz w:val="16"/>
                <w:szCs w:val="16"/>
                <w:b w:val="1"/>
                <w:bCs w:val="1"/>
                <w:color w:val="auto"/>
                <w:w w:val="96"/>
              </w:rPr>
              <w:t>All current directors and executive officers as a group (17 people)</w:t>
            </w:r>
            <w:r>
              <w:rPr>
                <w:rFonts w:ascii="Arial" w:cs="Arial" w:eastAsia="Arial" w:hAnsi="Arial"/>
                <w:sz w:val="23"/>
                <w:szCs w:val="23"/>
                <w:b w:val="1"/>
                <w:bCs w:val="1"/>
                <w:color w:val="auto"/>
                <w:w w:val="96"/>
                <w:vertAlign w:val="superscript"/>
              </w:rPr>
              <w:t>(8)</w:t>
            </w:r>
          </w:p>
        </w:tc>
        <w:tc>
          <w:tcPr>
            <w:tcW w:w="1460" w:type="dxa"/>
            <w:vAlign w:val="bottom"/>
            <w:tcBorders>
              <w:bottom w:val="single" w:sz="8" w:color="FB4E0B"/>
            </w:tcBorders>
          </w:tcPr>
          <w:p>
            <w:pPr>
              <w:jc w:val="right"/>
              <w:ind w:right="101"/>
              <w:spacing w:after="0"/>
              <w:rPr>
                <w:sz w:val="20"/>
                <w:szCs w:val="20"/>
                <w:color w:val="auto"/>
              </w:rPr>
            </w:pPr>
            <w:r>
              <w:rPr>
                <w:rFonts w:ascii="Arial" w:cs="Arial" w:eastAsia="Arial" w:hAnsi="Arial"/>
                <w:sz w:val="16"/>
                <w:szCs w:val="16"/>
                <w:b w:val="1"/>
                <w:bCs w:val="1"/>
                <w:color w:val="auto"/>
              </w:rPr>
              <w:t>1,249,693</w:t>
            </w:r>
            <w:r>
              <w:rPr>
                <w:rFonts w:ascii="Arial" w:cs="Arial" w:eastAsia="Arial" w:hAnsi="Arial"/>
                <w:sz w:val="23"/>
                <w:szCs w:val="23"/>
                <w:b w:val="1"/>
                <w:bCs w:val="1"/>
                <w:color w:val="auto"/>
                <w:vertAlign w:val="superscript"/>
              </w:rPr>
              <w:t>(9)</w:t>
            </w:r>
          </w:p>
        </w:tc>
        <w:tc>
          <w:tcPr>
            <w:tcW w:w="660" w:type="dxa"/>
            <w:vAlign w:val="bottom"/>
            <w:tcBorders>
              <w:bottom w:val="single" w:sz="8" w:color="FB4E0B"/>
            </w:tcBorders>
          </w:tcPr>
          <w:p>
            <w:pPr>
              <w:jc w:val="center"/>
              <w:ind w:left="63"/>
              <w:spacing w:after="0"/>
              <w:rPr>
                <w:sz w:val="20"/>
                <w:szCs w:val="20"/>
                <w:color w:val="auto"/>
              </w:rPr>
            </w:pPr>
            <w:r>
              <w:rPr>
                <w:rFonts w:ascii="Arial" w:cs="Arial" w:eastAsia="Arial" w:hAnsi="Arial"/>
                <w:sz w:val="16"/>
                <w:szCs w:val="16"/>
                <w:b w:val="1"/>
                <w:bCs w:val="1"/>
                <w:color w:val="auto"/>
                <w:w w:val="96"/>
              </w:rPr>
              <w:t>3.75%</w:t>
            </w:r>
          </w:p>
        </w:tc>
        <w:tc>
          <w:tcPr>
            <w:tcW w:w="1840" w:type="dxa"/>
            <w:vAlign w:val="bottom"/>
            <w:tcBorders>
              <w:bottom w:val="single" w:sz="8" w:color="FB4E0B"/>
            </w:tcBorders>
          </w:tcPr>
          <w:p>
            <w:pPr>
              <w:spacing w:after="0"/>
              <w:rPr>
                <w:sz w:val="24"/>
                <w:szCs w:val="24"/>
                <w:color w:val="auto"/>
              </w:rPr>
            </w:pPr>
          </w:p>
        </w:tc>
        <w:tc>
          <w:tcPr>
            <w:tcW w:w="340" w:type="dxa"/>
            <w:vAlign w:val="bottom"/>
            <w:tcBorders>
              <w:bottom w:val="single" w:sz="8" w:color="FB4E0B"/>
            </w:tcBorders>
          </w:tcPr>
          <w:p>
            <w:pPr>
              <w:spacing w:after="0"/>
              <w:rPr>
                <w:sz w:val="24"/>
                <w:szCs w:val="24"/>
                <w:color w:val="auto"/>
              </w:rPr>
            </w:pPr>
          </w:p>
        </w:tc>
        <w:tc>
          <w:tcPr>
            <w:tcW w:w="540" w:type="dxa"/>
            <w:vAlign w:val="bottom"/>
            <w:tcBorders>
              <w:bottom w:val="single" w:sz="8" w:color="FB4E0B"/>
            </w:tcBorders>
          </w:tcPr>
          <w:p>
            <w:pPr>
              <w:spacing w:after="0"/>
              <w:rPr>
                <w:sz w:val="24"/>
                <w:szCs w:val="24"/>
                <w:color w:val="auto"/>
              </w:rPr>
            </w:pPr>
          </w:p>
        </w:tc>
      </w:tr>
      <w:tr>
        <w:trPr>
          <w:trHeight w:val="850"/>
        </w:trPr>
        <w:tc>
          <w:tcPr>
            <w:tcW w:w="5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jc w:val="right"/>
              <w:ind w:right="262"/>
              <w:spacing w:after="0"/>
              <w:rPr>
                <w:sz w:val="20"/>
                <w:szCs w:val="20"/>
                <w:color w:val="auto"/>
              </w:rPr>
            </w:pPr>
            <w:r>
              <w:rPr>
                <w:rFonts w:ascii="Arial" w:cs="Arial" w:eastAsia="Arial" w:hAnsi="Arial"/>
                <w:sz w:val="13"/>
                <w:szCs w:val="13"/>
                <w:color w:val="auto"/>
                <w:w w:val="94"/>
              </w:rPr>
              <w:t>EXL 2023 Proxy Statement</w:t>
            </w:r>
          </w:p>
        </w:tc>
        <w:tc>
          <w:tcPr>
            <w:tcW w:w="340" w:type="dxa"/>
            <w:vAlign w:val="bottom"/>
          </w:tcPr>
          <w:p>
            <w:pPr>
              <w:jc w:val="right"/>
              <w:spacing w:after="0"/>
              <w:rPr>
                <w:sz w:val="20"/>
                <w:szCs w:val="20"/>
                <w:color w:val="auto"/>
              </w:rPr>
            </w:pPr>
            <w:r>
              <w:rPr>
                <w:rFonts w:ascii="Arial" w:cs="Arial" w:eastAsia="Arial" w:hAnsi="Arial"/>
                <w:sz w:val="28"/>
                <w:szCs w:val="28"/>
                <w:b w:val="1"/>
                <w:bCs w:val="1"/>
                <w:color w:val="FB4E0B"/>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111</w:t>
            </w:r>
          </w:p>
        </w:tc>
      </w:tr>
    </w:tbl>
    <w:p>
      <w:pPr>
        <w:sectPr>
          <w:pgSz w:w="11900" w:h="16838" w:orient="portrait"/>
          <w:cols w:equalWidth="0" w:num="1">
            <w:col w:w="10940"/>
          </w:cols>
          <w:pgMar w:left="320" w:top="473" w:right="6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Stock ownership of directors, executive officers and certain beneficial owners</w:t>
      </w: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4140" w:type="dxa"/>
            <w:vAlign w:val="bottom"/>
          </w:tcPr>
          <w:p>
            <w:pPr>
              <w:jc w:val="right"/>
              <w:ind w:right="1859"/>
              <w:spacing w:after="0"/>
              <w:rPr>
                <w:sz w:val="20"/>
                <w:szCs w:val="20"/>
                <w:color w:val="auto"/>
              </w:rPr>
            </w:pPr>
            <w:r>
              <w:rPr>
                <w:rFonts w:ascii="Arial" w:cs="Arial" w:eastAsia="Arial" w:hAnsi="Arial"/>
                <w:sz w:val="17"/>
                <w:szCs w:val="17"/>
                <w:b w:val="1"/>
                <w:bCs w:val="1"/>
                <w:color w:val="auto"/>
              </w:rPr>
              <w:t>Beneficial ownership</w:t>
            </w:r>
          </w:p>
        </w:tc>
        <w:tc>
          <w:tcPr>
            <w:tcW w:w="940" w:type="dxa"/>
            <w:vAlign w:val="bottom"/>
          </w:tcPr>
          <w:p>
            <w:pPr>
              <w:spacing w:after="0"/>
              <w:rPr>
                <w:sz w:val="19"/>
                <w:szCs w:val="19"/>
                <w:color w:val="auto"/>
              </w:rPr>
            </w:pPr>
          </w:p>
        </w:tc>
      </w:tr>
      <w:tr>
        <w:trPr>
          <w:trHeight w:val="552"/>
        </w:trPr>
        <w:tc>
          <w:tcPr>
            <w:tcW w:w="3620" w:type="dxa"/>
            <w:vAlign w:val="bottom"/>
            <w:tcBorders>
              <w:bottom w:val="single" w:sz="8" w:color="FB4E0B"/>
            </w:tcBorders>
          </w:tcPr>
          <w:p>
            <w:pPr>
              <w:ind w:left="480"/>
              <w:spacing w:after="0"/>
              <w:rPr>
                <w:sz w:val="20"/>
                <w:szCs w:val="20"/>
                <w:color w:val="auto"/>
              </w:rPr>
            </w:pPr>
            <w:r>
              <w:rPr>
                <w:rFonts w:ascii="Arial" w:cs="Arial" w:eastAsia="Arial" w:hAnsi="Arial"/>
                <w:sz w:val="17"/>
                <w:szCs w:val="17"/>
                <w:b w:val="1"/>
                <w:bCs w:val="1"/>
                <w:color w:val="auto"/>
              </w:rPr>
              <w:t>Name and address</w:t>
            </w:r>
            <w:r>
              <w:rPr>
                <w:rFonts w:ascii="Arial" w:cs="Arial" w:eastAsia="Arial" w:hAnsi="Arial"/>
                <w:sz w:val="26"/>
                <w:szCs w:val="26"/>
                <w:b w:val="1"/>
                <w:bCs w:val="1"/>
                <w:color w:val="auto"/>
                <w:vertAlign w:val="superscript"/>
              </w:rPr>
              <w:t>(1)</w:t>
            </w:r>
          </w:p>
        </w:tc>
        <w:tc>
          <w:tcPr>
            <w:tcW w:w="4140" w:type="dxa"/>
            <w:vAlign w:val="bottom"/>
            <w:tcBorders>
              <w:bottom w:val="single" w:sz="8" w:color="FB4E0B"/>
            </w:tcBorders>
          </w:tcPr>
          <w:p>
            <w:pPr>
              <w:jc w:val="right"/>
              <w:ind w:right="399"/>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FB4E0B"/>
            </w:tcBorders>
          </w:tcPr>
          <w:p>
            <w:pPr>
              <w:jc w:val="right"/>
              <w:ind w:right="85"/>
              <w:spacing w:after="0"/>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3"/>
                <w:szCs w:val="13"/>
                <w:b w:val="1"/>
                <w:bCs w:val="1"/>
                <w:color w:val="auto"/>
              </w:rPr>
              <w:t>(2)</w:t>
            </w:r>
          </w:p>
        </w:tc>
      </w:tr>
      <w:tr>
        <w:trPr>
          <w:trHeight w:val="280"/>
        </w:trPr>
        <w:tc>
          <w:tcPr>
            <w:tcW w:w="3620" w:type="dxa"/>
            <w:vAlign w:val="bottom"/>
          </w:tcPr>
          <w:p>
            <w:pPr>
              <w:ind w:left="480"/>
              <w:spacing w:after="0"/>
              <w:rPr>
                <w:sz w:val="20"/>
                <w:szCs w:val="20"/>
                <w:color w:val="auto"/>
              </w:rPr>
            </w:pPr>
            <w:r>
              <w:rPr>
                <w:rFonts w:ascii="Arial" w:cs="Arial" w:eastAsia="Arial" w:hAnsi="Arial"/>
                <w:sz w:val="16"/>
                <w:szCs w:val="16"/>
                <w:b w:val="1"/>
                <w:bCs w:val="1"/>
                <w:color w:val="FB4E0B"/>
              </w:rPr>
              <w:t>5% Beneficial owners</w:t>
            </w:r>
          </w:p>
        </w:tc>
        <w:tc>
          <w:tcPr>
            <w:tcW w:w="4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79"/>
        </w:trPr>
        <w:tc>
          <w:tcPr>
            <w:tcW w:w="3620" w:type="dxa"/>
            <w:vAlign w:val="bottom"/>
          </w:tcPr>
          <w:p>
            <w:pPr>
              <w:ind w:left="480"/>
              <w:spacing w:after="0"/>
              <w:rPr>
                <w:sz w:val="20"/>
                <w:szCs w:val="20"/>
                <w:color w:val="auto"/>
              </w:rPr>
            </w:pPr>
            <w:r>
              <w:rPr>
                <w:rFonts w:ascii="Arial" w:cs="Arial" w:eastAsia="Arial" w:hAnsi="Arial"/>
                <w:sz w:val="16"/>
                <w:szCs w:val="16"/>
                <w:color w:val="auto"/>
              </w:rPr>
              <w:t>Blackrock Inc.</w:t>
            </w:r>
            <w:r>
              <w:rPr>
                <w:rFonts w:ascii="Arial" w:cs="Arial" w:eastAsia="Arial" w:hAnsi="Arial"/>
                <w:sz w:val="23"/>
                <w:szCs w:val="23"/>
                <w:color w:val="auto"/>
                <w:vertAlign w:val="superscript"/>
              </w:rPr>
              <w:t>(10)</w:t>
            </w:r>
          </w:p>
        </w:tc>
        <w:tc>
          <w:tcPr>
            <w:tcW w:w="4140" w:type="dxa"/>
            <w:vAlign w:val="bottom"/>
          </w:tcPr>
          <w:p>
            <w:pPr>
              <w:jc w:val="right"/>
              <w:ind w:right="319"/>
              <w:spacing w:after="0"/>
              <w:rPr>
                <w:sz w:val="20"/>
                <w:szCs w:val="20"/>
                <w:color w:val="auto"/>
              </w:rPr>
            </w:pPr>
            <w:r>
              <w:rPr>
                <w:rFonts w:ascii="Arial" w:cs="Arial" w:eastAsia="Arial" w:hAnsi="Arial"/>
                <w:sz w:val="16"/>
                <w:szCs w:val="16"/>
                <w:color w:val="auto"/>
              </w:rPr>
              <w:t>3,963,940</w:t>
            </w:r>
          </w:p>
        </w:tc>
        <w:tc>
          <w:tcPr>
            <w:tcW w:w="94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351"/>
        </w:trPr>
        <w:tc>
          <w:tcPr>
            <w:tcW w:w="3620" w:type="dxa"/>
            <w:vAlign w:val="bottom"/>
          </w:tcPr>
          <w:p>
            <w:pPr>
              <w:ind w:left="48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3"/>
                <w:szCs w:val="23"/>
                <w:color w:val="auto"/>
                <w:vertAlign w:val="superscript"/>
              </w:rPr>
              <w:t>(11)</w:t>
            </w:r>
          </w:p>
        </w:tc>
        <w:tc>
          <w:tcPr>
            <w:tcW w:w="4140" w:type="dxa"/>
            <w:vAlign w:val="bottom"/>
          </w:tcPr>
          <w:p>
            <w:pPr>
              <w:jc w:val="right"/>
              <w:ind w:right="319"/>
              <w:spacing w:after="0"/>
              <w:rPr>
                <w:sz w:val="20"/>
                <w:szCs w:val="20"/>
                <w:color w:val="auto"/>
              </w:rPr>
            </w:pPr>
            <w:r>
              <w:rPr>
                <w:rFonts w:ascii="Arial" w:cs="Arial" w:eastAsia="Arial" w:hAnsi="Arial"/>
                <w:sz w:val="16"/>
                <w:szCs w:val="16"/>
                <w:color w:val="auto"/>
              </w:rPr>
              <w:t>3,350,593</w:t>
            </w:r>
          </w:p>
        </w:tc>
        <w:tc>
          <w:tcPr>
            <w:tcW w:w="94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351"/>
        </w:trPr>
        <w:tc>
          <w:tcPr>
            <w:tcW w:w="3620" w:type="dxa"/>
            <w:vAlign w:val="bottom"/>
          </w:tcPr>
          <w:p>
            <w:pPr>
              <w:ind w:left="480"/>
              <w:spacing w:after="0"/>
              <w:rPr>
                <w:sz w:val="20"/>
                <w:szCs w:val="20"/>
                <w:color w:val="auto"/>
              </w:rPr>
            </w:pPr>
            <w:r>
              <w:rPr>
                <w:rFonts w:ascii="Arial" w:cs="Arial" w:eastAsia="Arial" w:hAnsi="Arial"/>
                <w:sz w:val="16"/>
                <w:szCs w:val="16"/>
                <w:color w:val="auto"/>
              </w:rPr>
              <w:t>FMR LLC</w:t>
            </w:r>
            <w:r>
              <w:rPr>
                <w:rFonts w:ascii="Arial" w:cs="Arial" w:eastAsia="Arial" w:hAnsi="Arial"/>
                <w:sz w:val="23"/>
                <w:szCs w:val="23"/>
                <w:color w:val="auto"/>
                <w:vertAlign w:val="superscript"/>
              </w:rPr>
              <w:t>(12)</w:t>
            </w:r>
          </w:p>
        </w:tc>
        <w:tc>
          <w:tcPr>
            <w:tcW w:w="4140" w:type="dxa"/>
            <w:vAlign w:val="bottom"/>
          </w:tcPr>
          <w:p>
            <w:pPr>
              <w:jc w:val="right"/>
              <w:ind w:right="319"/>
              <w:spacing w:after="0"/>
              <w:rPr>
                <w:sz w:val="20"/>
                <w:szCs w:val="20"/>
                <w:color w:val="auto"/>
              </w:rPr>
            </w:pPr>
            <w:r>
              <w:rPr>
                <w:rFonts w:ascii="Arial" w:cs="Arial" w:eastAsia="Arial" w:hAnsi="Arial"/>
                <w:sz w:val="16"/>
                <w:szCs w:val="16"/>
                <w:color w:val="auto"/>
              </w:rPr>
              <w:t>2,510,025</w:t>
            </w:r>
          </w:p>
        </w:tc>
        <w:tc>
          <w:tcPr>
            <w:tcW w:w="94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310"/>
        </w:trPr>
        <w:tc>
          <w:tcPr>
            <w:tcW w:w="3620" w:type="dxa"/>
            <w:vAlign w:val="bottom"/>
            <w:tcBorders>
              <w:bottom w:val="single" w:sz="8" w:color="FB4E0B"/>
            </w:tcBorders>
          </w:tcPr>
          <w:p>
            <w:pPr>
              <w:ind w:left="480"/>
              <w:spacing w:after="0"/>
              <w:rPr>
                <w:sz w:val="20"/>
                <w:szCs w:val="20"/>
                <w:color w:val="auto"/>
              </w:rPr>
            </w:pPr>
            <w:r>
              <w:rPr>
                <w:rFonts w:ascii="Arial" w:cs="Arial" w:eastAsia="Arial" w:hAnsi="Arial"/>
                <w:sz w:val="16"/>
                <w:szCs w:val="16"/>
                <w:color w:val="auto"/>
              </w:rPr>
              <w:t>Wellington Management Group LLP</w:t>
            </w:r>
            <w:r>
              <w:rPr>
                <w:rFonts w:ascii="Arial" w:cs="Arial" w:eastAsia="Arial" w:hAnsi="Arial"/>
                <w:sz w:val="23"/>
                <w:szCs w:val="23"/>
                <w:color w:val="auto"/>
                <w:vertAlign w:val="superscript"/>
              </w:rPr>
              <w:t>(13)</w:t>
            </w:r>
          </w:p>
        </w:tc>
        <w:tc>
          <w:tcPr>
            <w:tcW w:w="4140" w:type="dxa"/>
            <w:vAlign w:val="bottom"/>
            <w:tcBorders>
              <w:bottom w:val="single" w:sz="8" w:color="FB4E0B"/>
            </w:tcBorders>
          </w:tcPr>
          <w:p>
            <w:pPr>
              <w:jc w:val="right"/>
              <w:ind w:right="319"/>
              <w:spacing w:after="0"/>
              <w:rPr>
                <w:sz w:val="20"/>
                <w:szCs w:val="20"/>
                <w:color w:val="auto"/>
              </w:rPr>
            </w:pPr>
            <w:r>
              <w:rPr>
                <w:rFonts w:ascii="Arial" w:cs="Arial" w:eastAsia="Arial" w:hAnsi="Arial"/>
                <w:sz w:val="16"/>
                <w:szCs w:val="16"/>
                <w:color w:val="auto"/>
              </w:rPr>
              <w:t>1,759,889</w:t>
            </w:r>
          </w:p>
        </w:tc>
        <w:tc>
          <w:tcPr>
            <w:tcW w:w="940" w:type="dxa"/>
            <w:vAlign w:val="bottom"/>
            <w:tcBorders>
              <w:bottom w:val="single" w:sz="8" w:color="FB4E0B"/>
            </w:tcBorders>
          </w:tcPr>
          <w:p>
            <w:pPr>
              <w:jc w:val="right"/>
              <w:spacing w:after="0"/>
              <w:rPr>
                <w:sz w:val="20"/>
                <w:szCs w:val="20"/>
                <w:color w:val="auto"/>
              </w:rPr>
            </w:pPr>
            <w:r>
              <w:rPr>
                <w:rFonts w:ascii="Arial" w:cs="Arial" w:eastAsia="Arial" w:hAnsi="Arial"/>
                <w:sz w:val="16"/>
                <w:szCs w:val="16"/>
                <w:color w:val="auto"/>
              </w:rPr>
              <w:t>5.28%</w:t>
            </w:r>
          </w:p>
        </w:tc>
      </w:tr>
    </w:tbl>
    <w:p>
      <w:pPr>
        <w:spacing w:after="0" w:line="13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*Less than 1%.</w:t>
      </w:r>
    </w:p>
    <w:p>
      <w:pPr>
        <w:spacing w:after="0" w:line="137" w:lineRule="exact"/>
        <w:rPr>
          <w:sz w:val="20"/>
          <w:szCs w:val="20"/>
          <w:color w:val="auto"/>
        </w:rPr>
      </w:pPr>
    </w:p>
    <w:p>
      <w:pPr>
        <w:ind w:left="500" w:hanging="184"/>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beneficial owner is c/o ExlService Holdings, Inc., 320 Park Avenue, 29th Floor, New York, New York 10022.</w:t>
      </w:r>
    </w:p>
    <w:p>
      <w:pPr>
        <w:spacing w:after="0" w:line="123" w:lineRule="exact"/>
        <w:rPr>
          <w:rFonts w:ascii="Arial" w:cs="Arial" w:eastAsia="Arial" w:hAnsi="Arial"/>
          <w:sz w:val="13"/>
          <w:szCs w:val="13"/>
          <w:color w:val="auto"/>
        </w:rPr>
      </w:pPr>
    </w:p>
    <w:p>
      <w:pPr>
        <w:ind w:left="500" w:hanging="184"/>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33,321,455 shares outstanding as of the Determination Date.</w:t>
      </w:r>
    </w:p>
    <w:p>
      <w:pPr>
        <w:spacing w:after="0" w:line="136" w:lineRule="exact"/>
        <w:rPr>
          <w:rFonts w:ascii="Arial" w:cs="Arial" w:eastAsia="Arial" w:hAnsi="Arial"/>
          <w:sz w:val="13"/>
          <w:szCs w:val="13"/>
          <w:color w:val="auto"/>
        </w:rPr>
      </w:pPr>
    </w:p>
    <w:p>
      <w:pPr>
        <w:ind w:left="320" w:right="20" w:hanging="4"/>
        <w:spacing w:after="0" w:line="236" w:lineRule="auto"/>
        <w:tabs>
          <w:tab w:leader="none" w:pos="504" w:val="left"/>
        </w:tabs>
        <w:numPr>
          <w:ilvl w:val="0"/>
          <w:numId w:val="44"/>
        </w:numPr>
        <w:rPr>
          <w:rFonts w:ascii="Arial" w:cs="Arial" w:eastAsia="Arial" w:hAnsi="Arial"/>
          <w:sz w:val="13"/>
          <w:szCs w:val="13"/>
          <w:color w:val="auto"/>
        </w:rPr>
      </w:pPr>
      <w:r>
        <w:rPr>
          <w:rFonts w:ascii="Arial" w:cs="Arial" w:eastAsia="Arial" w:hAnsi="Arial"/>
          <w:sz w:val="13"/>
          <w:szCs w:val="13"/>
          <w:color w:val="auto"/>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2022” for additional details on settlement), the units are not treated as beneficially owned under SEC rules because the holder does not have the right to acquire the underlying stock within 60 days of the Determination Date. However, restricted stock units that are vested but unsettled provide a meaningful alignment with the Company’s stockholders, and they count towards our stock ownership policy for non-employee directors, which requires directors to maintain stock ownership of at least five times their respective annual retainers.</w:t>
      </w:r>
    </w:p>
    <w:p>
      <w:pPr>
        <w:spacing w:after="0" w:line="123" w:lineRule="exact"/>
        <w:rPr>
          <w:rFonts w:ascii="Arial" w:cs="Arial" w:eastAsia="Arial" w:hAnsi="Arial"/>
          <w:sz w:val="13"/>
          <w:szCs w:val="13"/>
          <w:color w:val="auto"/>
        </w:rPr>
      </w:pPr>
    </w:p>
    <w:p>
      <w:pPr>
        <w:ind w:left="500" w:hanging="184"/>
        <w:spacing w:after="0"/>
        <w:tabs>
          <w:tab w:leader="none" w:pos="5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amount includes: (a) 177,134 shares of our common stock owned indirectly by Mr. Kapoor through a family trust created in 2016 under a 2005 grantor-retained annuity trust, for which</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Mr. Kapoor’s spouse and Mr. Kapoor’s brother are the co-trustees and share dispositive and voting control over the shares in the trust, (b) 40,219 shares of our common stock owned indirectly by</w:t>
      </w:r>
    </w:p>
    <w:p>
      <w:pPr>
        <w:spacing w:after="0" w:line="5" w:lineRule="exact"/>
        <w:rPr>
          <w:sz w:val="20"/>
          <w:szCs w:val="20"/>
          <w:color w:val="auto"/>
        </w:rPr>
      </w:pPr>
    </w:p>
    <w:p>
      <w:pPr>
        <w:ind w:left="320"/>
        <w:spacing w:after="0" w:line="255" w:lineRule="auto"/>
        <w:rPr>
          <w:sz w:val="20"/>
          <w:szCs w:val="20"/>
          <w:color w:val="auto"/>
        </w:rPr>
      </w:pPr>
      <w:r>
        <w:rPr>
          <w:rFonts w:ascii="Arial" w:cs="Arial" w:eastAsia="Arial" w:hAnsi="Arial"/>
          <w:sz w:val="12"/>
          <w:szCs w:val="12"/>
          <w:color w:val="auto"/>
        </w:rPr>
        <w:t>Mr. Kapoor through a family trust created in 2016 under a 2013 grantor retained annuity trust, for which Mr. Kapoor’s spouse and Mr. Kapoor’s brother are the co-trustees and share dispositive and voting control over the shares in the trust, (c) 84,000 shares of our common stock owned indirectly by Mr. Kapoor through a spousal lifetime access trust, for which Mr. Kapoor’s spouse and Mr. Kapoor’s brother are the co-trustees and share dispositive and voting control over the shares in the trust, (d) 84,000 shares of our common stock owned indirectly by Mr. Kapoor through a spousal lifetime access trust for Mr. Kapoor’s spouse, for which Mr. Kapoor and Mr. Kapoor’s brother are the co-trustees and share dispositive and voting control over the shares in the trust, and (e) 133,185 shares of our common stock owned indirectly by Mr. Kapoor through a family trust created in 2016 for which Mr. Kapoor is the investment advisor to Commonwealth Trust Company, the trustee.</w:t>
      </w:r>
    </w:p>
    <w:p>
      <w:pPr>
        <w:spacing w:after="0" w:line="103" w:lineRule="exact"/>
        <w:rPr>
          <w:sz w:val="20"/>
          <w:szCs w:val="20"/>
          <w:color w:val="auto"/>
        </w:rPr>
      </w:pPr>
    </w:p>
    <w:p>
      <w:pPr>
        <w:ind w:left="500" w:hanging="184"/>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Rai resigned from the Company effective April 2023.</w:t>
      </w:r>
    </w:p>
    <w:p>
      <w:pPr>
        <w:spacing w:after="0" w:line="136" w:lineRule="exact"/>
        <w:rPr>
          <w:rFonts w:ascii="Arial" w:cs="Arial" w:eastAsia="Arial" w:hAnsi="Arial"/>
          <w:sz w:val="13"/>
          <w:szCs w:val="13"/>
          <w:color w:val="auto"/>
        </w:rPr>
      </w:pPr>
    </w:p>
    <w:p>
      <w:pPr>
        <w:ind w:left="320" w:right="40" w:hanging="4"/>
        <w:spacing w:after="0" w:line="252" w:lineRule="auto"/>
        <w:tabs>
          <w:tab w:leader="none" w:pos="504"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This amount consists of 3,093 shares of our common stock of which Ms. Minto has the right to acquire beneficial ownership within 60 days of the Determination Date pursuant to currently vested and exercisable stock options.</w:t>
      </w:r>
    </w:p>
    <w:p>
      <w:pPr>
        <w:spacing w:after="0" w:line="115" w:lineRule="exact"/>
        <w:rPr>
          <w:rFonts w:ascii="Arial" w:cs="Arial" w:eastAsia="Arial" w:hAnsi="Arial"/>
          <w:sz w:val="13"/>
          <w:szCs w:val="13"/>
          <w:color w:val="auto"/>
        </w:rPr>
      </w:pPr>
    </w:p>
    <w:p>
      <w:pPr>
        <w:ind w:left="500" w:hanging="184"/>
        <w:spacing w:after="0"/>
        <w:tabs>
          <w:tab w:leader="none" w:pos="5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Pandit has shared dispositive and voting control over the reported securities, which are held by Orogen Echo LLC (“OE”). The Orogen Group LLC (“Orogen”) is the sole member of OE and</w:t>
      </w:r>
    </w:p>
    <w:p>
      <w:pPr>
        <w:spacing w:after="0" w:line="15" w:lineRule="exact"/>
        <w:rPr>
          <w:sz w:val="20"/>
          <w:szCs w:val="20"/>
          <w:color w:val="auto"/>
        </w:rPr>
      </w:pPr>
    </w:p>
    <w:p>
      <w:pPr>
        <w:ind w:left="320" w:right="160"/>
        <w:spacing w:after="0" w:line="238" w:lineRule="auto"/>
        <w:rPr>
          <w:sz w:val="20"/>
          <w:szCs w:val="20"/>
          <w:color w:val="auto"/>
        </w:rPr>
      </w:pPr>
      <w:r>
        <w:rPr>
          <w:rFonts w:ascii="Arial" w:cs="Arial" w:eastAsia="Arial" w:hAnsi="Arial"/>
          <w:sz w:val="13"/>
          <w:szCs w:val="13"/>
          <w:color w:val="auto"/>
        </w:rPr>
        <w:t>Mr. Pandit is the Chairman and Chief Executive Officer of Orogen. Orogen Holdings LLC and Atairos-Orogen Holdings, LLC are the sole members with joint investment control of Orogen. Mr. Pandit has majority voting control of Orogen Holdings LLC.</w:t>
      </w:r>
    </w:p>
    <w:p>
      <w:pPr>
        <w:spacing w:after="0" w:line="110" w:lineRule="exact"/>
        <w:rPr>
          <w:sz w:val="20"/>
          <w:szCs w:val="20"/>
          <w:color w:val="auto"/>
        </w:rPr>
      </w:pPr>
    </w:p>
    <w:p>
      <w:pPr>
        <w:ind w:left="500" w:hanging="184"/>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all eight current non-employee directors and our nine current executive officers as of the Determination Date.</w:t>
      </w:r>
    </w:p>
    <w:p>
      <w:pPr>
        <w:spacing w:after="0" w:line="136" w:lineRule="exact"/>
        <w:rPr>
          <w:rFonts w:ascii="Arial" w:cs="Arial" w:eastAsia="Arial" w:hAnsi="Arial"/>
          <w:sz w:val="13"/>
          <w:szCs w:val="13"/>
          <w:color w:val="auto"/>
        </w:rPr>
      </w:pPr>
    </w:p>
    <w:p>
      <w:pPr>
        <w:ind w:left="320" w:right="120" w:hanging="4"/>
        <w:spacing w:after="0" w:line="252" w:lineRule="auto"/>
        <w:tabs>
          <w:tab w:leader="none" w:pos="504"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This amount includes an aggregate of 3,093 shares of our common stock of which our current directors and current executive officers have the right to acquire beneficial ownership within 60 days of the Determination Date pursuant to currently vested and exercisable stock options.</w:t>
      </w:r>
    </w:p>
    <w:p>
      <w:pPr>
        <w:spacing w:after="0" w:line="115" w:lineRule="exact"/>
        <w:rPr>
          <w:rFonts w:ascii="Arial" w:cs="Arial" w:eastAsia="Arial" w:hAnsi="Arial"/>
          <w:sz w:val="13"/>
          <w:szCs w:val="13"/>
          <w:color w:val="auto"/>
        </w:rPr>
      </w:pPr>
    </w:p>
    <w:p>
      <w:pPr>
        <w:ind w:left="320" w:right="240" w:hanging="4"/>
        <w:spacing w:after="0" w:line="252" w:lineRule="auto"/>
        <w:tabs>
          <w:tab w:leader="none" w:pos="569"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the Schedule 13G/A filed on January 26, 2023, BlackRock, Inc. had sole voting power with respect to 3,897,236 shares and sole dispositive power with respect to 3,963,940 shares. The business address of Blackrock, Inc. is 55 East 52nd Street, New York, New York 10022.</w:t>
      </w:r>
    </w:p>
    <w:p>
      <w:pPr>
        <w:spacing w:after="0" w:line="102" w:lineRule="exact"/>
        <w:rPr>
          <w:rFonts w:ascii="Arial" w:cs="Arial" w:eastAsia="Arial" w:hAnsi="Arial"/>
          <w:sz w:val="13"/>
          <w:szCs w:val="13"/>
          <w:color w:val="auto"/>
        </w:rPr>
      </w:pPr>
    </w:p>
    <w:p>
      <w:pPr>
        <w:ind w:left="320" w:right="200" w:hanging="4"/>
        <w:spacing w:after="0" w:line="293" w:lineRule="auto"/>
        <w:tabs>
          <w:tab w:leader="none" w:pos="565"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the Schedule 13G/A filed on February 9, 2023, The Vanguard Group, Inc. had shared voting power with respect to 55,300 shares, sole dispositive power with respect to 3,262,882 shares and shared dispositive power with respect to 87,711 shares. The business address of The Vanguard Group, Inc. is 100 Vanguard Boulevard, Malvern, PA 19355.</w:t>
      </w:r>
    </w:p>
    <w:p>
      <w:pPr>
        <w:spacing w:after="0" w:line="92" w:lineRule="exact"/>
        <w:rPr>
          <w:rFonts w:ascii="Arial" w:cs="Arial" w:eastAsia="Arial" w:hAnsi="Arial"/>
          <w:sz w:val="12"/>
          <w:szCs w:val="12"/>
          <w:color w:val="auto"/>
        </w:rPr>
      </w:pPr>
    </w:p>
    <w:p>
      <w:pPr>
        <w:ind w:left="320" w:right="40" w:hanging="4"/>
        <w:spacing w:after="0" w:line="252" w:lineRule="auto"/>
        <w:tabs>
          <w:tab w:leader="none" w:pos="569" w:val="left"/>
        </w:tabs>
        <w:numPr>
          <w:ilvl w:val="0"/>
          <w:numId w:val="46"/>
        </w:numPr>
        <w:rPr>
          <w:rFonts w:ascii="Arial" w:cs="Arial" w:eastAsia="Arial" w:hAnsi="Arial"/>
          <w:sz w:val="13"/>
          <w:szCs w:val="13"/>
          <w:color w:val="auto"/>
        </w:rPr>
      </w:pPr>
      <w:r>
        <w:rPr>
          <w:rFonts w:ascii="Arial" w:cs="Arial" w:eastAsia="Arial" w:hAnsi="Arial"/>
          <w:sz w:val="13"/>
          <w:szCs w:val="13"/>
          <w:color w:val="auto"/>
        </w:rPr>
        <w:t>Based on the Schedule 13G/A filed on February 9, 2023, FMR LLC had sole voting power with respect to 2,508,574 shares and sole dispositive power with respect to 2,510,025 shares. The business address of FMR LLC is 245 Summer Street, Boston, Massachusetts 02210.</w:t>
      </w:r>
    </w:p>
    <w:p>
      <w:pPr>
        <w:spacing w:after="0" w:line="115" w:lineRule="exact"/>
        <w:rPr>
          <w:rFonts w:ascii="Arial" w:cs="Arial" w:eastAsia="Arial" w:hAnsi="Arial"/>
          <w:sz w:val="13"/>
          <w:szCs w:val="13"/>
          <w:color w:val="auto"/>
        </w:rPr>
      </w:pPr>
    </w:p>
    <w:p>
      <w:pPr>
        <w:ind w:left="320" w:right="200" w:hanging="4"/>
        <w:spacing w:after="0" w:line="293" w:lineRule="auto"/>
        <w:tabs>
          <w:tab w:leader="none" w:pos="569"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the Schedule 13G filed on February 6, 2023, Wellington Management Group LLP had shared voting power with respect to 1,546,097 shares and shared dispositive power with respect to 1,759,889 shares. The business address of Wellington Management Group LLP is c/o Wellington Management Company LLP, 280 Congress Street, Boston, Massachusetts 02210.</w:t>
      </w:r>
    </w:p>
    <w:p>
      <w:pPr>
        <w:spacing w:after="0" w:line="69" w:lineRule="exact"/>
        <w:rPr>
          <w:sz w:val="20"/>
          <w:szCs w:val="20"/>
          <w:color w:val="auto"/>
        </w:rPr>
      </w:pPr>
    </w:p>
    <w:p>
      <w:pPr>
        <w:ind w:left="420"/>
        <w:spacing w:after="0"/>
        <w:tabs>
          <w:tab w:leader="none" w:pos="1020" w:val="left"/>
          <w:tab w:leader="none" w:pos="136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Certain relationships and related person transactions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Certain relationships and related person transactions</w:t>
      </w:r>
    </w:p>
    <w:p>
      <w:pPr>
        <w:sectPr>
          <w:pgSz w:w="11900" w:h="16838" w:orient="portrait"/>
          <w:cols w:equalWidth="0" w:num="1">
            <w:col w:w="10940"/>
          </w:cols>
          <w:pgMar w:left="320" w:top="473" w:right="6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Review and approval of related party transactions</w:t>
      </w:r>
    </w:p>
    <w:p>
      <w:pPr>
        <w:spacing w:after="0" w:line="169" w:lineRule="exact"/>
        <w:rPr>
          <w:sz w:val="20"/>
          <w:szCs w:val="20"/>
          <w:color w:val="auto"/>
        </w:rPr>
      </w:pPr>
    </w:p>
    <w:p>
      <w:pPr>
        <w:ind w:left="320"/>
        <w:spacing w:after="0" w:line="299" w:lineRule="auto"/>
        <w:rPr>
          <w:sz w:val="20"/>
          <w:szCs w:val="20"/>
          <w:color w:val="auto"/>
        </w:rPr>
      </w:pPr>
      <w:r>
        <w:rPr>
          <w:rFonts w:ascii="Arial" w:cs="Arial" w:eastAsia="Arial" w:hAnsi="Arial"/>
          <w:sz w:val="15"/>
          <w:szCs w:val="15"/>
          <w:color w:val="auto"/>
        </w:rPr>
        <w:t>We review all relationships and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right="1140"/>
        <w:spacing w:after="0" w:line="246" w:lineRule="auto"/>
        <w:rPr>
          <w:sz w:val="20"/>
          <w:szCs w:val="20"/>
          <w:color w:val="auto"/>
        </w:rPr>
      </w:pPr>
      <w:r>
        <w:rPr>
          <w:rFonts w:ascii="Arial" w:cs="Arial" w:eastAsia="Arial" w:hAnsi="Arial"/>
          <w:sz w:val="19"/>
          <w:szCs w:val="19"/>
          <w:b w:val="1"/>
          <w:bCs w:val="1"/>
          <w:color w:val="FB4E0B"/>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-310515</wp:posOffset>
            </wp:positionV>
            <wp:extent cx="2891155" cy="14293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91155" cy="1429385"/>
                    </a:xfrm>
                    <a:prstGeom prst="rect">
                      <a:avLst/>
                    </a:prstGeom>
                    <a:noFill/>
                  </pic:spPr>
                </pic:pic>
              </a:graphicData>
            </a:graphic>
          </wp:anchor>
        </w:drawing>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The nature of the related party transaction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The related party’s interest in the transaction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The material terms of the transaction, including the amount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involved and type of transaction</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The importance of the transaction to us and to the related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party</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Whether the transaction would impair the judgment of 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director or executive officer to act in our best interest</w:t>
      </w:r>
    </w:p>
    <w:p>
      <w:pPr>
        <w:spacing w:after="0" w:line="95" w:lineRule="exact"/>
        <w:rPr>
          <w:sz w:val="20"/>
          <w:szCs w:val="20"/>
          <w:color w:val="auto"/>
        </w:rPr>
      </w:pPr>
    </w:p>
    <w:p>
      <w:pPr>
        <w:sectPr>
          <w:pgSz w:w="11900" w:h="16838" w:orient="portrait"/>
          <w:cols w:equalWidth="0" w:num="2">
            <w:col w:w="6220" w:space="460"/>
            <w:col w:w="4260"/>
          </w:cols>
          <w:pgMar w:left="320" w:top="473" w:right="639" w:bottom="1440" w:gutter="0" w:footer="0" w:header="0"/>
          <w:type w:val="continuous"/>
        </w:sectPr>
      </w:pPr>
    </w:p>
    <w:p>
      <w:pPr>
        <w:ind w:left="320" w:right="40"/>
        <w:spacing w:after="0" w:line="283" w:lineRule="auto"/>
        <w:rPr>
          <w:sz w:val="20"/>
          <w:szCs w:val="20"/>
          <w:color w:val="auto"/>
        </w:rPr>
      </w:pPr>
      <w:r>
        <w:rPr>
          <w:rFonts w:ascii="Arial" w:cs="Arial" w:eastAsia="Arial" w:hAnsi="Arial"/>
          <w:sz w:val="16"/>
          <w:szCs w:val="16"/>
          <w:color w:val="auto"/>
        </w:rPr>
        <w:t>circumstances of any covered transaction. If our General Counsel determines that the transaction involves a related party transaction and the amount involved does not equal or exceed $120,000, our General Counsel will approve or disapprove the transaction. If our General Counsel determines that the transaction involves a related party transaction and the amount involved equals or exceeds $120,000, our General Counsel will refer the transaction to our Audit Committee for consideration. In the course of reviewing, approving or ratifying a disclosable related party transaction, our General Counsel and Audit Committee considers all factors it considers appropriate, including but not limited to the factors in the box to the right.</w:t>
      </w:r>
    </w:p>
    <w:p>
      <w:pPr>
        <w:spacing w:after="0" w:line="30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Related party transactions</w:t>
      </w:r>
    </w:p>
    <w:p>
      <w:pPr>
        <w:spacing w:after="0" w:line="117" w:lineRule="exact"/>
        <w:rPr>
          <w:sz w:val="20"/>
          <w:szCs w:val="20"/>
          <w:color w:val="auto"/>
        </w:rPr>
      </w:pPr>
    </w:p>
    <w:p>
      <w:pPr>
        <w:ind w:left="320" w:right="200"/>
        <w:spacing w:after="0" w:line="356" w:lineRule="auto"/>
        <w:rPr>
          <w:sz w:val="20"/>
          <w:szCs w:val="20"/>
          <w:color w:val="auto"/>
        </w:rPr>
      </w:pPr>
      <w:r>
        <w:rPr>
          <w:rFonts w:ascii="Arial" w:cs="Arial" w:eastAsia="Arial" w:hAnsi="Arial"/>
          <w:sz w:val="15"/>
          <w:szCs w:val="15"/>
          <w:color w:val="auto"/>
        </w:rPr>
        <w:t>As required under SEC rules, transactions that are determined to be directly or indirectly material to us or a related person and which involve amounts exceeding $120,000 in the previous fiscal year are disclosed in our Proxy Statement. There were no related person transactions in fiscal year 2022.</w:t>
      </w:r>
    </w:p>
    <w:p>
      <w:pPr>
        <w:spacing w:after="0" w:line="171"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113</w:t>
      </w:r>
    </w:p>
    <w:p>
      <w:pPr>
        <w:sectPr>
          <w:pgSz w:w="11900" w:h="16838" w:orient="portrait"/>
          <w:cols w:equalWidth="0" w:num="1">
            <w:col w:w="10940"/>
          </w:cols>
          <w:pgMar w:left="320" w:top="473" w:right="6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Audit Committee Report</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Audit Committee Report</w:t>
      </w:r>
    </w:p>
    <w:p>
      <w:pPr>
        <w:spacing w:after="0" w:line="328"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color w:val="auto"/>
        </w:rPr>
        <w:t>The Audit Committee of the board of directors of ExlService Holdings, Inc. assists our board of directors in fulfilling its oversight responsibilities with respect to the following:</w:t>
      </w:r>
    </w:p>
    <w:p>
      <w:pPr>
        <w:spacing w:after="0" w:line="302" w:lineRule="exact"/>
        <w:rPr>
          <w:sz w:val="20"/>
          <w:szCs w:val="20"/>
          <w:color w:val="auto"/>
        </w:rPr>
      </w:pPr>
    </w:p>
    <w:p>
      <w:pPr>
        <w:ind w:left="1140" w:hanging="407"/>
        <w:spacing w:after="0" w:line="286" w:lineRule="auto"/>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the integrity of the financial statements and other financial information provided by us to our stockholders, the public, stock exchanges and others;</w:t>
      </w:r>
    </w:p>
    <w:p>
      <w:pPr>
        <w:spacing w:after="0" w:line="67" w:lineRule="exact"/>
        <w:rPr>
          <w:rFonts w:ascii="Arial" w:cs="Arial" w:eastAsia="Arial" w:hAnsi="Arial"/>
          <w:sz w:val="17"/>
          <w:szCs w:val="17"/>
          <w:color w:val="auto"/>
        </w:rPr>
      </w:pPr>
    </w:p>
    <w:p>
      <w:pPr>
        <w:ind w:left="1140" w:hanging="407"/>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registered independent public accounting firm’s qualifications and independence;</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audit of our financial statements; and</w:t>
      </w:r>
    </w:p>
    <w:p>
      <w:pPr>
        <w:spacing w:after="0" w:line="129" w:lineRule="exact"/>
        <w:rPr>
          <w:rFonts w:ascii="Arial" w:cs="Arial" w:eastAsia="Arial" w:hAnsi="Arial"/>
          <w:sz w:val="17"/>
          <w:szCs w:val="17"/>
          <w:color w:val="auto"/>
        </w:rPr>
      </w:pPr>
    </w:p>
    <w:p>
      <w:pPr>
        <w:ind w:left="1140" w:hanging="407"/>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performance of our internal audit function and independent registered public accounting firm.</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these responsibilities, the Audit Committee met with management and Deloitte &amp; Touche LLP to review and discuss the</w:t>
      </w:r>
    </w:p>
    <w:p>
      <w:pPr>
        <w:spacing w:after="0" w:line="25" w:lineRule="exact"/>
        <w:rPr>
          <w:sz w:val="20"/>
          <w:szCs w:val="20"/>
          <w:color w:val="auto"/>
        </w:rPr>
      </w:pPr>
    </w:p>
    <w:p>
      <w:pPr>
        <w:ind w:left="320" w:right="20"/>
        <w:spacing w:after="0" w:line="259" w:lineRule="auto"/>
        <w:rPr>
          <w:sz w:val="20"/>
          <w:szCs w:val="20"/>
          <w:color w:val="auto"/>
        </w:rPr>
      </w:pPr>
      <w:r>
        <w:rPr>
          <w:rFonts w:ascii="Arial" w:cs="Arial" w:eastAsia="Arial" w:hAnsi="Arial"/>
          <w:sz w:val="17"/>
          <w:szCs w:val="17"/>
          <w:color w:val="auto"/>
        </w:rPr>
        <w:t>December 31, 2022 audited consolidated financial statements. The Audit Committee also discussed with Deloitte &amp; Touche LLP the matters required to be discussed by the applicable requirements of the Public Company Accounting Oversight Board and the SEC. The Audit Committee also received written disclosures and the letter from Deloitte &amp; Touche LLP required by Rule 3526 of the Public Company Accounting Oversight Board (Communications with Audit Committees Concerning Independence), and the Audit Committee discussed with Deloitte &amp; Touche LLP the firm’s independence.</w:t>
      </w:r>
    </w:p>
    <w:p>
      <w:pPr>
        <w:spacing w:after="0" w:line="286" w:lineRule="exact"/>
        <w:rPr>
          <w:sz w:val="20"/>
          <w:szCs w:val="20"/>
          <w:color w:val="auto"/>
        </w:rPr>
      </w:pPr>
    </w:p>
    <w:p>
      <w:pPr>
        <w:ind w:left="320" w:right="760"/>
        <w:spacing w:after="0" w:line="286" w:lineRule="auto"/>
        <w:rPr>
          <w:sz w:val="20"/>
          <w:szCs w:val="20"/>
          <w:color w:val="auto"/>
        </w:rPr>
      </w:pPr>
      <w:r>
        <w:rPr>
          <w:rFonts w:ascii="Arial" w:cs="Arial" w:eastAsia="Arial" w:hAnsi="Arial"/>
          <w:sz w:val="17"/>
          <w:szCs w:val="17"/>
          <w:color w:val="auto"/>
        </w:rPr>
        <w:t>Based on the review and discussions referred to above, the Audit Committee approved the inclusion of the audited financial statements in the Company’s Annual Report on Form 10-K for the fiscal year ended December 31, 2022.</w:t>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Audit Committee</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Ms. Kristy Pipes (Chair)</w:t>
      </w:r>
    </w:p>
    <w:p>
      <w:pPr>
        <w:spacing w:after="0" w:line="2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Andreas Fibig</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Clyde W. Ostler</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Nitin Sahney</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Ms. Jaynie Studenmund</w:t>
      </w:r>
    </w:p>
    <w:p>
      <w:pPr>
        <w:spacing w:after="0" w:line="124" w:lineRule="exact"/>
        <w:rPr>
          <w:sz w:val="20"/>
          <w:szCs w:val="20"/>
          <w:color w:val="auto"/>
        </w:rPr>
      </w:pPr>
    </w:p>
    <w:p>
      <w:pPr>
        <w:ind w:left="420"/>
        <w:spacing w:after="0"/>
        <w:tabs>
          <w:tab w:leader="none" w:pos="1020" w:val="left"/>
          <w:tab w:leader="none" w:pos="136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80"/>
          </w:cols>
          <w:pgMar w:left="320" w:top="473" w:right="69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Proposal 1 — Election of directors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Proposal 1 — Election of directors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4"/>
          <w:szCs w:val="24"/>
          <w:color w:val="auto"/>
        </w:rPr>
        <w:t>The nominees</w:t>
      </w:r>
    </w:p>
    <w:p>
      <w:pPr>
        <w:spacing w:after="0" w:line="117" w:lineRule="exact"/>
        <w:rPr>
          <w:sz w:val="20"/>
          <w:szCs w:val="20"/>
          <w:color w:val="auto"/>
        </w:rPr>
      </w:pPr>
    </w:p>
    <w:p>
      <w:pPr>
        <w:ind w:left="320" w:right="500"/>
        <w:spacing w:after="0" w:line="298" w:lineRule="auto"/>
        <w:rPr>
          <w:sz w:val="20"/>
          <w:szCs w:val="20"/>
          <w:color w:val="auto"/>
        </w:rPr>
      </w:pPr>
      <w:r>
        <w:rPr>
          <w:rFonts w:ascii="Arial" w:cs="Arial" w:eastAsia="Arial" w:hAnsi="Arial"/>
          <w:sz w:val="15"/>
          <w:szCs w:val="15"/>
          <w:color w:val="auto"/>
        </w:rPr>
        <w:t>Our Nominating and Governance Committee has nominated, and our board of directors has designated, Mses. Pipes and Studenmund and Messrs. Pandit, Kapoor, Fibig, Mittal, and Sahney to stand for election as directors at the Annual Meeting. Two of our current directors, Ms. Minto and</w:t>
      </w:r>
    </w:p>
    <w:p>
      <w:pPr>
        <w:ind w:left="320" w:right="260"/>
        <w:spacing w:after="0" w:line="271" w:lineRule="auto"/>
        <w:rPr>
          <w:sz w:val="20"/>
          <w:szCs w:val="20"/>
          <w:color w:val="auto"/>
        </w:rPr>
      </w:pPr>
      <w:r>
        <w:rPr>
          <w:rFonts w:ascii="Arial" w:cs="Arial" w:eastAsia="Arial" w:hAnsi="Arial"/>
          <w:sz w:val="17"/>
          <w:szCs w:val="17"/>
          <w:color w:val="auto"/>
        </w:rPr>
        <w:t>Mr. Ostler, will not be standing for re-election at the Annual Meeting. Mr. Fibig was identified and recommended to the Nominating and Governance Committee by a third-party search firm.</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24"/>
          <w:szCs w:val="24"/>
          <w:color w:val="auto"/>
        </w:rPr>
        <w:t>Term of office</w:t>
      </w:r>
    </w:p>
    <w:p>
      <w:pPr>
        <w:spacing w:after="0" w:line="117"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color w:val="auto"/>
        </w:rPr>
        <w:t>If elected, each of the director nominees will serve a term of one year on our board of directors, until our 2024 Annual Meeting of Stockholders or until their respective successors are duly elected and qualified in accordance with our By-laws.</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Voting instructions and substitutes</w:t>
      </w:r>
    </w:p>
    <w:p>
      <w:pPr>
        <w:spacing w:after="0" w:line="117" w:lineRule="exact"/>
        <w:rPr>
          <w:sz w:val="20"/>
          <w:szCs w:val="20"/>
          <w:color w:val="auto"/>
        </w:rPr>
      </w:pPr>
    </w:p>
    <w:p>
      <w:pPr>
        <w:ind w:left="320" w:right="80"/>
        <w:spacing w:after="0" w:line="265" w:lineRule="auto"/>
        <w:rPr>
          <w:sz w:val="20"/>
          <w:szCs w:val="20"/>
          <w:color w:val="auto"/>
        </w:rPr>
      </w:pPr>
      <w:r>
        <w:rPr>
          <w:rFonts w:ascii="Arial" w:cs="Arial" w:eastAsia="Arial" w:hAnsi="Arial"/>
          <w:sz w:val="17"/>
          <w:szCs w:val="17"/>
          <w:color w:val="auto"/>
        </w:rPr>
        <w:t>The proxies given to the proxy holders will be voted or not voted as directed and, if no direction is given, will be voted FOR these seven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38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General information about nominees</w:t>
      </w:r>
    </w:p>
    <w:p>
      <w:pPr>
        <w:spacing w:after="0" w:line="117" w:lineRule="exact"/>
        <w:rPr>
          <w:sz w:val="20"/>
          <w:szCs w:val="20"/>
          <w:color w:val="auto"/>
        </w:rPr>
      </w:pPr>
    </w:p>
    <w:p>
      <w:pPr>
        <w:ind w:left="320" w:right="40"/>
        <w:spacing w:after="0" w:line="265" w:lineRule="auto"/>
        <w:rPr>
          <w:sz w:val="20"/>
          <w:szCs w:val="20"/>
          <w:color w:val="auto"/>
        </w:rPr>
      </w:pPr>
      <w:r>
        <w:rPr>
          <w:rFonts w:ascii="Arial" w:cs="Arial" w:eastAsia="Arial" w:hAnsi="Arial"/>
          <w:sz w:val="17"/>
          <w:szCs w:val="17"/>
          <w:color w:val="auto"/>
        </w:rPr>
        <w:t>The age as of the date of this Proxy Statement,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236"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115</w:t>
      </w:r>
    </w:p>
    <w:p>
      <w:pPr>
        <w:sectPr>
          <w:pgSz w:w="11900" w:h="16838" w:orient="portrait"/>
          <w:cols w:equalWidth="0" w:num="1">
            <w:col w:w="10940"/>
          </w:cols>
          <w:pgMar w:left="320" w:top="473" w:right="6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2780" w:type="dxa"/>
            <w:vAlign w:val="bottom"/>
          </w:tcPr>
          <w:p>
            <w:pPr>
              <w:spacing w:after="0"/>
              <w:rPr>
                <w:sz w:val="20"/>
                <w:szCs w:val="20"/>
                <w:color w:val="auto"/>
              </w:rPr>
            </w:pPr>
            <w:r>
              <w:rPr>
                <w:rFonts w:ascii="Arial" w:cs="Arial" w:eastAsia="Arial" w:hAnsi="Arial"/>
                <w:sz w:val="14"/>
                <w:szCs w:val="14"/>
                <w:b w:val="1"/>
                <w:bCs w:val="1"/>
                <w:color w:val="D8D8D8"/>
              </w:rPr>
              <w:t>Proposal 1—Election of directors</w:t>
            </w:r>
          </w:p>
        </w:tc>
        <w:tc>
          <w:tcPr>
            <w:tcW w:w="9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5"/>
        </w:trPr>
        <w:tc>
          <w:tcPr>
            <w:tcW w:w="2780" w:type="dxa"/>
            <w:vAlign w:val="bottom"/>
          </w:tcPr>
          <w:p>
            <w:pPr>
              <w:ind w:left="100"/>
              <w:spacing w:after="0"/>
              <w:rPr>
                <w:sz w:val="20"/>
                <w:szCs w:val="20"/>
                <w:color w:val="auto"/>
              </w:rPr>
            </w:pPr>
            <w:r>
              <w:rPr>
                <w:rFonts w:ascii="Arial" w:cs="Arial" w:eastAsia="Arial" w:hAnsi="Arial"/>
                <w:sz w:val="17"/>
                <w:szCs w:val="17"/>
                <w:b w:val="1"/>
                <w:bCs w:val="1"/>
                <w:color w:val="FB4E0B"/>
              </w:rPr>
              <w:t>Name</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FB4E0B"/>
                <w:w w:val="93"/>
              </w:rPr>
              <w:t>Age</w:t>
            </w:r>
          </w:p>
        </w:tc>
        <w:tc>
          <w:tcPr>
            <w:tcW w:w="1880" w:type="dxa"/>
            <w:vAlign w:val="bottom"/>
          </w:tcPr>
          <w:p>
            <w:pPr>
              <w:jc w:val="center"/>
              <w:spacing w:after="0"/>
              <w:rPr>
                <w:sz w:val="20"/>
                <w:szCs w:val="20"/>
                <w:color w:val="auto"/>
              </w:rPr>
            </w:pPr>
            <w:r>
              <w:rPr>
                <w:rFonts w:ascii="Arial" w:cs="Arial" w:eastAsia="Arial" w:hAnsi="Arial"/>
                <w:sz w:val="17"/>
                <w:szCs w:val="17"/>
                <w:b w:val="1"/>
                <w:bCs w:val="1"/>
                <w:color w:val="FB4E0B"/>
                <w:w w:val="89"/>
              </w:rPr>
              <w:t>Director since</w:t>
            </w:r>
          </w:p>
        </w:tc>
        <w:tc>
          <w:tcPr>
            <w:tcW w:w="1840" w:type="dxa"/>
            <w:vAlign w:val="bottom"/>
          </w:tcPr>
          <w:p>
            <w:pPr>
              <w:jc w:val="center"/>
              <w:spacing w:after="0"/>
              <w:rPr>
                <w:sz w:val="20"/>
                <w:szCs w:val="20"/>
                <w:color w:val="auto"/>
              </w:rPr>
            </w:pPr>
            <w:r>
              <w:rPr>
                <w:rFonts w:ascii="Arial" w:cs="Arial" w:eastAsia="Arial" w:hAnsi="Arial"/>
                <w:sz w:val="17"/>
                <w:szCs w:val="17"/>
                <w:b w:val="1"/>
                <w:bCs w:val="1"/>
                <w:color w:val="FB4E0B"/>
                <w:w w:val="92"/>
              </w:rPr>
              <w:t>Independent</w:t>
            </w:r>
          </w:p>
        </w:tc>
        <w:tc>
          <w:tcPr>
            <w:tcW w:w="3200" w:type="dxa"/>
            <w:vAlign w:val="bottom"/>
          </w:tcPr>
          <w:p>
            <w:pPr>
              <w:ind w:left="120"/>
              <w:spacing w:after="0"/>
              <w:rPr>
                <w:sz w:val="20"/>
                <w:szCs w:val="20"/>
                <w:color w:val="auto"/>
              </w:rPr>
            </w:pPr>
            <w:r>
              <w:rPr>
                <w:rFonts w:ascii="Arial" w:cs="Arial" w:eastAsia="Arial" w:hAnsi="Arial"/>
                <w:sz w:val="17"/>
                <w:szCs w:val="17"/>
                <w:b w:val="1"/>
                <w:bCs w:val="1"/>
                <w:color w:val="FB4E0B"/>
              </w:rPr>
              <w:t>Committee membership</w:t>
            </w:r>
          </w:p>
        </w:tc>
        <w:tc>
          <w:tcPr>
            <w:tcW w:w="0" w:type="dxa"/>
            <w:vAlign w:val="bottom"/>
          </w:tcPr>
          <w:p>
            <w:pPr>
              <w:spacing w:after="0"/>
              <w:rPr>
                <w:sz w:val="1"/>
                <w:szCs w:val="1"/>
                <w:color w:val="auto"/>
              </w:rPr>
            </w:pPr>
          </w:p>
        </w:tc>
      </w:tr>
      <w:tr>
        <w:trPr>
          <w:trHeight w:val="110"/>
        </w:trPr>
        <w:tc>
          <w:tcPr>
            <w:tcW w:w="2780" w:type="dxa"/>
            <w:vAlign w:val="bottom"/>
            <w:tcBorders>
              <w:bottom w:val="single" w:sz="8" w:color="FB4E0B"/>
            </w:tcBorders>
          </w:tcPr>
          <w:p>
            <w:pPr>
              <w:spacing w:after="0"/>
              <w:rPr>
                <w:sz w:val="9"/>
                <w:szCs w:val="9"/>
                <w:color w:val="auto"/>
              </w:rPr>
            </w:pPr>
          </w:p>
        </w:tc>
        <w:tc>
          <w:tcPr>
            <w:tcW w:w="920" w:type="dxa"/>
            <w:vAlign w:val="bottom"/>
            <w:tcBorders>
              <w:bottom w:val="single" w:sz="8" w:color="FB4E0B"/>
            </w:tcBorders>
          </w:tcPr>
          <w:p>
            <w:pPr>
              <w:spacing w:after="0"/>
              <w:rPr>
                <w:sz w:val="9"/>
                <w:szCs w:val="9"/>
                <w:color w:val="auto"/>
              </w:rPr>
            </w:pPr>
          </w:p>
        </w:tc>
        <w:tc>
          <w:tcPr>
            <w:tcW w:w="1880" w:type="dxa"/>
            <w:vAlign w:val="bottom"/>
            <w:tcBorders>
              <w:bottom w:val="single" w:sz="8" w:color="FB4E0B"/>
            </w:tcBorders>
          </w:tcPr>
          <w:p>
            <w:pPr>
              <w:spacing w:after="0"/>
              <w:rPr>
                <w:sz w:val="9"/>
                <w:szCs w:val="9"/>
                <w:color w:val="auto"/>
              </w:rPr>
            </w:pPr>
          </w:p>
        </w:tc>
        <w:tc>
          <w:tcPr>
            <w:tcW w:w="1840" w:type="dxa"/>
            <w:vAlign w:val="bottom"/>
            <w:tcBorders>
              <w:bottom w:val="single" w:sz="8" w:color="FB4E0B"/>
            </w:tcBorders>
          </w:tcPr>
          <w:p>
            <w:pPr>
              <w:spacing w:after="0"/>
              <w:rPr>
                <w:sz w:val="9"/>
                <w:szCs w:val="9"/>
                <w:color w:val="auto"/>
              </w:rPr>
            </w:pPr>
          </w:p>
        </w:tc>
        <w:tc>
          <w:tcPr>
            <w:tcW w:w="320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78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rPr>
              <w:t>Vikram Pandit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66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October</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Yes</w:t>
            </w:r>
          </w:p>
        </w:tc>
        <w:tc>
          <w:tcPr>
            <w:tcW w:w="3200" w:type="dxa"/>
            <w:vAlign w:val="bottom"/>
          </w:tcPr>
          <w:p>
            <w:pPr>
              <w:ind w:left="120"/>
              <w:spacing w:after="0"/>
              <w:rPr>
                <w:sz w:val="20"/>
                <w:szCs w:val="20"/>
                <w:color w:val="auto"/>
              </w:rPr>
            </w:pPr>
            <w:r>
              <w:rPr>
                <w:rFonts w:ascii="Arial" w:cs="Arial" w:eastAsia="Arial" w:hAnsi="Arial"/>
                <w:sz w:val="17"/>
                <w:szCs w:val="17"/>
                <w:color w:val="auto"/>
              </w:rPr>
              <w:t>Compensation and Talent Management;</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i w:val="1"/>
                <w:iCs w:val="1"/>
                <w:color w:val="auto"/>
              </w:rPr>
              <w:t>Chairman</w:t>
            </w: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2018</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rPr>
              <w:t>Nominating and Governance</w:t>
            </w:r>
          </w:p>
        </w:tc>
        <w:tc>
          <w:tcPr>
            <w:tcW w:w="0" w:type="dxa"/>
            <w:vAlign w:val="bottom"/>
          </w:tcPr>
          <w:p>
            <w:pPr>
              <w:spacing w:after="0"/>
              <w:rPr>
                <w:sz w:val="1"/>
                <w:szCs w:val="1"/>
                <w:color w:val="auto"/>
              </w:rPr>
            </w:pPr>
          </w:p>
        </w:tc>
      </w:tr>
      <w:tr>
        <w:trPr>
          <w:trHeight w:val="143"/>
        </w:trPr>
        <w:tc>
          <w:tcPr>
            <w:tcW w:w="27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3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8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rPr>
              <w:t>Rohit Kapoor</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58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November</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No</w:t>
            </w: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i w:val="1"/>
                <w:iCs w:val="1"/>
                <w:color w:val="auto"/>
              </w:rPr>
              <w:t>Vice Chairman and CEO</w:t>
            </w: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2002</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Andreas Fibig</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61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January</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Yes</w:t>
            </w: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rPr>
              <w:t>Audit; Nominating and Governance</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2023</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Som Mittal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71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December</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Yes</w:t>
            </w:r>
          </w:p>
        </w:tc>
        <w:tc>
          <w:tcPr>
            <w:tcW w:w="3200" w:type="dxa"/>
            <w:vAlign w:val="bottom"/>
          </w:tcPr>
          <w:p>
            <w:pPr>
              <w:ind w:left="120"/>
              <w:spacing w:after="0"/>
              <w:rPr>
                <w:sz w:val="20"/>
                <w:szCs w:val="20"/>
                <w:color w:val="auto"/>
              </w:rPr>
            </w:pPr>
            <w:r>
              <w:rPr>
                <w:rFonts w:ascii="Arial" w:cs="Arial" w:eastAsia="Arial" w:hAnsi="Arial"/>
                <w:sz w:val="17"/>
                <w:szCs w:val="17"/>
                <w:color w:val="auto"/>
              </w:rPr>
              <w:t>Compensation and Talent Management;</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2013</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rPr>
              <w:t>Nominating and Governance</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Kristy Pipes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64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January</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Yes</w:t>
            </w:r>
          </w:p>
        </w:tc>
        <w:tc>
          <w:tcPr>
            <w:tcW w:w="3200" w:type="dxa"/>
            <w:vAlign w:val="bottom"/>
          </w:tcPr>
          <w:p>
            <w:pPr>
              <w:ind w:left="120"/>
              <w:spacing w:after="0"/>
              <w:rPr>
                <w:sz w:val="20"/>
                <w:szCs w:val="20"/>
                <w:color w:val="auto"/>
              </w:rPr>
            </w:pPr>
            <w:r>
              <w:rPr>
                <w:rFonts w:ascii="Arial" w:cs="Arial" w:eastAsia="Arial" w:hAnsi="Arial"/>
                <w:sz w:val="17"/>
                <w:szCs w:val="17"/>
                <w:color w:val="auto"/>
              </w:rPr>
              <w:t>Audit (Chair); Compensation and Talent</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2021</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rPr>
              <w:t>Management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Nitin Sahney</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60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January</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Yes</w:t>
            </w: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w w:val="95"/>
              </w:rPr>
              <w:t>Nominating and Governance (Chair); Audit</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2016</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Jaynie Studenmund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68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September</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Yes</w:t>
            </w:r>
          </w:p>
        </w:tc>
        <w:tc>
          <w:tcPr>
            <w:tcW w:w="3200" w:type="dxa"/>
            <w:vAlign w:val="bottom"/>
          </w:tcPr>
          <w:p>
            <w:pPr>
              <w:ind w:left="120"/>
              <w:spacing w:after="0"/>
              <w:rPr>
                <w:sz w:val="20"/>
                <w:szCs w:val="20"/>
                <w:color w:val="auto"/>
              </w:rPr>
            </w:pPr>
            <w:r>
              <w:rPr>
                <w:rFonts w:ascii="Arial" w:cs="Arial" w:eastAsia="Arial" w:hAnsi="Arial"/>
                <w:sz w:val="17"/>
                <w:szCs w:val="17"/>
                <w:color w:val="auto"/>
              </w:rPr>
              <w:t>Compensation and Talent Management</w:t>
            </w: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2018</w:t>
            </w:r>
          </w:p>
        </w:tc>
        <w:tc>
          <w:tcPr>
            <w:tcW w:w="1840" w:type="dxa"/>
            <w:vAlign w:val="bottom"/>
            <w:tcBorders>
              <w:right w:val="single" w:sz="8" w:color="auto"/>
            </w:tcBorders>
            <w:vMerge w:val="continue"/>
          </w:tcPr>
          <w:p>
            <w:pPr>
              <w:spacing w:after="0"/>
              <w:rPr>
                <w:sz w:val="10"/>
                <w:szCs w:val="10"/>
                <w:color w:val="auto"/>
              </w:rPr>
            </w:pPr>
          </w:p>
        </w:tc>
        <w:tc>
          <w:tcPr>
            <w:tcW w:w="3200" w:type="dxa"/>
            <w:vAlign w:val="bottom"/>
            <w:vMerge w:val="restart"/>
          </w:tcPr>
          <w:p>
            <w:pPr>
              <w:ind w:left="120"/>
              <w:spacing w:after="0"/>
              <w:rPr>
                <w:sz w:val="20"/>
                <w:szCs w:val="20"/>
                <w:color w:val="auto"/>
              </w:rPr>
            </w:pPr>
            <w:r>
              <w:rPr>
                <w:rFonts w:ascii="Arial" w:cs="Arial" w:eastAsia="Arial" w:hAnsi="Arial"/>
                <w:sz w:val="17"/>
                <w:szCs w:val="17"/>
                <w:color w:val="auto"/>
              </w:rPr>
              <w:t>(Chair); Audit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80" w:type="dxa"/>
            <w:vAlign w:val="bottom"/>
            <w:tcBorders>
              <w:bottom w:val="single" w:sz="8" w:color="FB4E0B"/>
              <w:right w:val="single" w:sz="8" w:color="auto"/>
            </w:tcBorders>
          </w:tcPr>
          <w:p>
            <w:pPr>
              <w:spacing w:after="0"/>
              <w:rPr>
                <w:sz w:val="10"/>
                <w:szCs w:val="10"/>
                <w:color w:val="auto"/>
              </w:rPr>
            </w:pPr>
          </w:p>
        </w:tc>
        <w:tc>
          <w:tcPr>
            <w:tcW w:w="920" w:type="dxa"/>
            <w:vAlign w:val="bottom"/>
            <w:tcBorders>
              <w:bottom w:val="single" w:sz="8" w:color="FB4E0B"/>
              <w:right w:val="single" w:sz="8" w:color="auto"/>
            </w:tcBorders>
          </w:tcPr>
          <w:p>
            <w:pPr>
              <w:spacing w:after="0"/>
              <w:rPr>
                <w:sz w:val="10"/>
                <w:szCs w:val="10"/>
                <w:color w:val="auto"/>
              </w:rPr>
            </w:pPr>
          </w:p>
        </w:tc>
        <w:tc>
          <w:tcPr>
            <w:tcW w:w="1880" w:type="dxa"/>
            <w:vAlign w:val="bottom"/>
            <w:tcBorders>
              <w:bottom w:val="single" w:sz="8" w:color="FB4E0B"/>
              <w:right w:val="single" w:sz="8" w:color="auto"/>
            </w:tcBorders>
          </w:tcPr>
          <w:p>
            <w:pPr>
              <w:spacing w:after="0"/>
              <w:rPr>
                <w:sz w:val="10"/>
                <w:szCs w:val="10"/>
                <w:color w:val="auto"/>
              </w:rPr>
            </w:pPr>
          </w:p>
        </w:tc>
        <w:tc>
          <w:tcPr>
            <w:tcW w:w="1840" w:type="dxa"/>
            <w:vAlign w:val="bottom"/>
            <w:tcBorders>
              <w:bottom w:val="single" w:sz="8" w:color="FB4E0B"/>
              <w:right w:val="single" w:sz="8" w:color="auto"/>
            </w:tcBorders>
          </w:tcPr>
          <w:p>
            <w:pPr>
              <w:spacing w:after="0"/>
              <w:rPr>
                <w:sz w:val="10"/>
                <w:szCs w:val="10"/>
                <w:color w:val="auto"/>
              </w:rPr>
            </w:pPr>
          </w:p>
        </w:tc>
        <w:tc>
          <w:tcPr>
            <w:tcW w:w="3200" w:type="dxa"/>
            <w:vAlign w:val="bottom"/>
            <w:tcBorders>
              <w:bottom w:val="single" w:sz="8" w:color="FB4E0B"/>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Required vote</w:t>
      </w:r>
    </w:p>
    <w:p>
      <w:pPr>
        <w:spacing w:after="0" w:line="221" w:lineRule="exact"/>
        <w:rPr>
          <w:sz w:val="20"/>
          <w:szCs w:val="20"/>
          <w:color w:val="auto"/>
        </w:rPr>
      </w:pPr>
    </w:p>
    <w:p>
      <w:pPr>
        <w:ind w:left="320" w:right="60"/>
        <w:spacing w:after="0" w:line="287" w:lineRule="auto"/>
        <w:rPr>
          <w:sz w:val="20"/>
          <w:szCs w:val="20"/>
          <w:color w:val="auto"/>
        </w:rPr>
      </w:pPr>
      <w:r>
        <w:rPr>
          <w:rFonts w:ascii="Arial" w:cs="Arial" w:eastAsia="Arial" w:hAnsi="Arial"/>
          <w:sz w:val="16"/>
          <w:szCs w:val="16"/>
          <w:color w:val="auto"/>
        </w:rPr>
        <w:t>The affirmative vote of a majority of votes cast (meaning the number of shares voted “for” a nominee must exceed the number of shares voted “against” such nominee) at the Annual Meeting will elect the seven nominees as directors for a term of one year. If any nominee for director receives a greater number of votes “against” his or her election than votes “for” such election, our By-laws provide that such person will tender to the board of directors his or her resignation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126365</wp:posOffset>
            </wp:positionV>
            <wp:extent cx="4865370" cy="3632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865370" cy="363220"/>
                    </a:xfrm>
                    <a:prstGeom prst="rect">
                      <a:avLst/>
                    </a:prstGeom>
                    <a:noFill/>
                  </pic:spPr>
                </pic:pic>
              </a:graphicData>
            </a:graphic>
          </wp:anchor>
        </w:drawing>
      </w:r>
    </w:p>
    <w:p>
      <w:pPr>
        <w:spacing w:after="0" w:line="295" w:lineRule="exact"/>
        <w:rPr>
          <w:sz w:val="20"/>
          <w:szCs w:val="20"/>
          <w:color w:val="auto"/>
        </w:rPr>
      </w:pPr>
    </w:p>
    <w:p>
      <w:pPr>
        <w:ind w:left="206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15"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the election of Mses. Pipes and Studenmund and Messrs.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-98425</wp:posOffset>
            </wp:positionV>
            <wp:extent cx="4865370" cy="387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865370" cy="387985"/>
                    </a:xfrm>
                    <a:prstGeom prst="rect">
                      <a:avLst/>
                    </a:prstGeom>
                    <a:noFill/>
                  </pic:spPr>
                </pic:pic>
              </a:graphicData>
            </a:graphic>
          </wp:anchor>
        </w:drawing>
      </w:r>
    </w:p>
    <w:p>
      <w:pPr>
        <w:ind w:left="2160"/>
        <w:spacing w:after="0"/>
        <w:tabs>
          <w:tab w:leader="none" w:pos="3080" w:val="left"/>
        </w:tabs>
        <w:rPr>
          <w:sz w:val="20"/>
          <w:szCs w:val="20"/>
          <w:color w:val="auto"/>
        </w:rPr>
      </w:pPr>
      <w:r>
        <w:rPr>
          <w:rFonts w:ascii="Arial" w:cs="Arial" w:eastAsia="Arial" w:hAnsi="Arial"/>
          <w:sz w:val="31"/>
          <w:szCs w:val="31"/>
          <w:b w:val="1"/>
          <w:bCs w:val="1"/>
          <w:color w:val="FFFFFF"/>
        </w:rPr>
        <w:t>FOR</w:t>
      </w:r>
      <w:r>
        <w:rPr>
          <w:sz w:val="20"/>
          <w:szCs w:val="20"/>
          <w:color w:val="auto"/>
        </w:rPr>
        <w:tab/>
      </w:r>
      <w:r>
        <w:rPr>
          <w:rFonts w:ascii="Arial" w:cs="Arial" w:eastAsia="Arial" w:hAnsi="Arial"/>
          <w:sz w:val="15"/>
          <w:szCs w:val="15"/>
          <w:b w:val="1"/>
          <w:bCs w:val="1"/>
          <w:color w:val="auto"/>
        </w:rPr>
        <w:t>Pandit, Kapoor, Fibig, Mittal, and Sahney as directors of the Company</w:t>
      </w:r>
    </w:p>
    <w:p>
      <w:pPr>
        <w:spacing w:after="0" w:line="251" w:lineRule="exact"/>
        <w:rPr>
          <w:sz w:val="20"/>
          <w:szCs w:val="20"/>
          <w:color w:val="auto"/>
        </w:rPr>
      </w:pPr>
    </w:p>
    <w:p>
      <w:pPr>
        <w:ind w:left="420"/>
        <w:spacing w:after="0"/>
        <w:tabs>
          <w:tab w:leader="none" w:pos="1020" w:val="left"/>
          <w:tab w:leader="none" w:pos="1360"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Proposal 2 — Ratification of the appointment of independent registered public accounting firm</w:t>
      </w:r>
    </w:p>
    <w:p>
      <w:pPr>
        <w:spacing w:after="0" w:line="323" w:lineRule="exact"/>
        <w:rPr>
          <w:sz w:val="20"/>
          <w:szCs w:val="20"/>
          <w:color w:val="auto"/>
        </w:rPr>
      </w:pPr>
    </w:p>
    <w:p>
      <w:pPr>
        <w:ind w:left="320" w:right="800"/>
        <w:spacing w:after="0" w:line="265" w:lineRule="auto"/>
        <w:rPr>
          <w:sz w:val="20"/>
          <w:szCs w:val="20"/>
          <w:color w:val="auto"/>
        </w:rPr>
      </w:pPr>
      <w:r>
        <w:rPr>
          <w:rFonts w:ascii="Arial" w:cs="Arial" w:eastAsia="Arial" w:hAnsi="Arial"/>
          <w:sz w:val="31"/>
          <w:szCs w:val="31"/>
          <w:color w:val="FB4E0B"/>
        </w:rPr>
        <w:t>Proposal 2 — Ratification of the appointment of independent registered public accounting firm</w:t>
      </w:r>
    </w:p>
    <w:p>
      <w:pPr>
        <w:spacing w:after="0" w:line="248" w:lineRule="exact"/>
        <w:rPr>
          <w:sz w:val="20"/>
          <w:szCs w:val="20"/>
          <w:color w:val="auto"/>
        </w:rPr>
      </w:pPr>
    </w:p>
    <w:p>
      <w:pPr>
        <w:ind w:left="320" w:right="140"/>
        <w:spacing w:after="0" w:line="260" w:lineRule="auto"/>
        <w:rPr>
          <w:sz w:val="20"/>
          <w:szCs w:val="20"/>
          <w:color w:val="auto"/>
        </w:rPr>
      </w:pPr>
      <w:r>
        <w:rPr>
          <w:rFonts w:ascii="Arial" w:cs="Arial" w:eastAsia="Arial" w:hAnsi="Arial"/>
          <w:sz w:val="17"/>
          <w:szCs w:val="17"/>
          <w:color w:val="auto"/>
        </w:rPr>
        <w:t>Our Audit Committee has appointed Deloitte &amp; Touche LLP (“Deloitte”) as the independent registered public accounting firm to audit the Company’s and its subsidiaries’ books, records and accounts for the fiscal year 2023. Our board of directors has endorsed this appointment. Ratification of the appointment of Deloitte by our stockholders is not required by law. However, as a matter of good corporate practice, such appointment is being submitted to our stockholders for ratification at the Annual Meeting. If our stockholders do not ratify the appointment, our board of directors and our Audit Committee will reconsider whether or not to retain Deloitte, but may nonetheless retain Deloitte. Even if the appointment is ratified, the Audit Committee in its discretion may change such appointment at any time during the year if it determines that such change would be in the best interests of the Company and our stockholders.</w:t>
      </w:r>
    </w:p>
    <w:p>
      <w:pPr>
        <w:spacing w:after="0" w:line="287" w:lineRule="exact"/>
        <w:rPr>
          <w:sz w:val="20"/>
          <w:szCs w:val="20"/>
          <w:color w:val="auto"/>
        </w:rPr>
      </w:pPr>
    </w:p>
    <w:p>
      <w:pPr>
        <w:ind w:left="320" w:right="440"/>
        <w:spacing w:after="0" w:line="311" w:lineRule="auto"/>
        <w:rPr>
          <w:sz w:val="20"/>
          <w:szCs w:val="20"/>
          <w:color w:val="auto"/>
        </w:rPr>
      </w:pPr>
      <w:r>
        <w:rPr>
          <w:rFonts w:ascii="Arial" w:cs="Arial" w:eastAsia="Arial" w:hAnsi="Arial"/>
          <w:sz w:val="15"/>
          <w:szCs w:val="15"/>
          <w:color w:val="auto"/>
        </w:rPr>
        <w:t>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w:t>
      </w:r>
    </w:p>
    <w:p>
      <w:pPr>
        <w:spacing w:after="0" w:line="352" w:lineRule="exact"/>
        <w:rPr>
          <w:sz w:val="20"/>
          <w:szCs w:val="20"/>
          <w:color w:val="auto"/>
        </w:rPr>
      </w:pPr>
    </w:p>
    <w:p>
      <w:pPr>
        <w:ind w:left="320"/>
        <w:spacing w:after="0"/>
        <w:rPr>
          <w:sz w:val="20"/>
          <w:szCs w:val="20"/>
          <w:color w:val="auto"/>
        </w:rPr>
      </w:pPr>
      <w:r>
        <w:rPr>
          <w:rFonts w:ascii="Arial" w:cs="Arial" w:eastAsia="Arial" w:hAnsi="Arial"/>
          <w:sz w:val="24"/>
          <w:szCs w:val="24"/>
          <w:color w:val="auto"/>
        </w:rPr>
        <w:t>Audit and non-audit fees</w:t>
      </w:r>
    </w:p>
    <w:p>
      <w:pPr>
        <w:spacing w:after="0" w:line="117" w:lineRule="exact"/>
        <w:rPr>
          <w:sz w:val="20"/>
          <w:szCs w:val="20"/>
          <w:color w:val="auto"/>
        </w:rPr>
      </w:pPr>
    </w:p>
    <w:p>
      <w:pPr>
        <w:ind w:left="320" w:right="620"/>
        <w:spacing w:after="0" w:line="286" w:lineRule="auto"/>
        <w:rPr>
          <w:sz w:val="20"/>
          <w:szCs w:val="20"/>
          <w:color w:val="auto"/>
        </w:rPr>
      </w:pPr>
      <w:r>
        <w:rPr>
          <w:rFonts w:ascii="Arial" w:cs="Arial" w:eastAsia="Arial" w:hAnsi="Arial"/>
          <w:sz w:val="17"/>
          <w:szCs w:val="17"/>
          <w:color w:val="auto"/>
        </w:rPr>
        <w:t>The following is a summary of the fees billed or expected to be billed to us by the Company’s independent registered public accounting firm for professional services rendered in each of the last two fiscal years:</w:t>
      </w:r>
    </w:p>
    <w:p>
      <w:pPr>
        <w:spacing w:after="0" w:line="200" w:lineRule="exact"/>
        <w:rPr>
          <w:sz w:val="20"/>
          <w:szCs w:val="20"/>
          <w:color w:val="auto"/>
        </w:rPr>
      </w:pPr>
    </w:p>
    <w:p>
      <w:pPr>
        <w:spacing w:after="0" w:line="226" w:lineRule="exact"/>
        <w:rPr>
          <w:sz w:val="20"/>
          <w:szCs w:val="20"/>
          <w:color w:val="auto"/>
        </w:rPr>
      </w:pPr>
    </w:p>
    <w:tbl>
      <w:tblPr>
        <w:tblLayout w:type="fixed"/>
        <w:tblInd w:w="222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1960" w:type="dxa"/>
            <w:vAlign w:val="bottom"/>
          </w:tcPr>
          <w:p>
            <w:pPr>
              <w:jc w:val="right"/>
              <w:ind w:right="133"/>
              <w:spacing w:after="0"/>
              <w:rPr>
                <w:sz w:val="20"/>
                <w:szCs w:val="20"/>
                <w:color w:val="auto"/>
              </w:rPr>
            </w:pPr>
            <w:r>
              <w:rPr>
                <w:rFonts w:ascii="Arial" w:cs="Arial" w:eastAsia="Arial" w:hAnsi="Arial"/>
                <w:sz w:val="17"/>
                <w:szCs w:val="17"/>
                <w:b w:val="1"/>
                <w:bCs w:val="1"/>
                <w:color w:val="FB4E0B"/>
              </w:rPr>
              <w:t>Fiscal</w:t>
            </w:r>
          </w:p>
        </w:tc>
        <w:tc>
          <w:tcPr>
            <w:tcW w:w="2860" w:type="dxa"/>
            <w:vAlign w:val="bottom"/>
            <w:gridSpan w:val="2"/>
          </w:tcPr>
          <w:p>
            <w:pPr>
              <w:ind w:left="1440"/>
              <w:spacing w:after="0"/>
              <w:rPr>
                <w:sz w:val="20"/>
                <w:szCs w:val="20"/>
                <w:color w:val="auto"/>
              </w:rPr>
            </w:pPr>
            <w:r>
              <w:rPr>
                <w:rFonts w:ascii="Arial" w:cs="Arial" w:eastAsia="Arial" w:hAnsi="Arial"/>
                <w:sz w:val="17"/>
                <w:szCs w:val="17"/>
                <w:b w:val="1"/>
                <w:bCs w:val="1"/>
                <w:color w:val="FB4E0B"/>
              </w:rPr>
              <w:t>Fiscal</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0"/>
        </w:trPr>
        <w:tc>
          <w:tcPr>
            <w:tcW w:w="2740" w:type="dxa"/>
            <w:vAlign w:val="bottom"/>
          </w:tcPr>
          <w:p>
            <w:pPr>
              <w:ind w:left="220"/>
              <w:spacing w:after="0"/>
              <w:rPr>
                <w:sz w:val="20"/>
                <w:szCs w:val="20"/>
                <w:color w:val="auto"/>
              </w:rPr>
            </w:pPr>
            <w:r>
              <w:rPr>
                <w:rFonts w:ascii="Arial" w:cs="Arial" w:eastAsia="Arial" w:hAnsi="Arial"/>
                <w:sz w:val="17"/>
                <w:szCs w:val="17"/>
                <w:b w:val="1"/>
                <w:bCs w:val="1"/>
                <w:color w:val="FB4E0B"/>
              </w:rPr>
              <w:t>Fee category</w:t>
            </w:r>
          </w:p>
        </w:tc>
        <w:tc>
          <w:tcPr>
            <w:tcW w:w="1960" w:type="dxa"/>
            <w:vAlign w:val="bottom"/>
          </w:tcPr>
          <w:p>
            <w:pPr>
              <w:jc w:val="right"/>
              <w:ind w:right="173"/>
              <w:spacing w:after="0"/>
              <w:rPr>
                <w:sz w:val="20"/>
                <w:szCs w:val="20"/>
                <w:color w:val="auto"/>
              </w:rPr>
            </w:pPr>
            <w:r>
              <w:rPr>
                <w:rFonts w:ascii="Arial" w:cs="Arial" w:eastAsia="Arial" w:hAnsi="Arial"/>
                <w:sz w:val="17"/>
                <w:szCs w:val="17"/>
                <w:b w:val="1"/>
                <w:bCs w:val="1"/>
                <w:color w:val="FB4E0B"/>
              </w:rPr>
              <w:t>2022</w:t>
            </w:r>
          </w:p>
        </w:tc>
        <w:tc>
          <w:tcPr>
            <w:tcW w:w="2100" w:type="dxa"/>
            <w:vAlign w:val="bottom"/>
          </w:tcPr>
          <w:p>
            <w:pPr>
              <w:jc w:val="right"/>
              <w:ind w:right="178"/>
              <w:spacing w:after="0"/>
              <w:rPr>
                <w:sz w:val="20"/>
                <w:szCs w:val="20"/>
                <w:color w:val="auto"/>
              </w:rPr>
            </w:pPr>
            <w:r>
              <w:rPr>
                <w:rFonts w:ascii="Arial" w:cs="Arial" w:eastAsia="Arial" w:hAnsi="Arial"/>
                <w:sz w:val="17"/>
                <w:szCs w:val="17"/>
                <w:b w:val="1"/>
                <w:bCs w:val="1"/>
                <w:color w:val="FB4E0B"/>
              </w:rPr>
              <w:t>2021</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7"/>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60" w:type="dxa"/>
            <w:vAlign w:val="bottom"/>
            <w:gridSpan w:val="2"/>
          </w:tcPr>
          <w:p>
            <w:pPr>
              <w:ind w:left="200"/>
              <w:spacing w:after="0"/>
              <w:rPr>
                <w:sz w:val="20"/>
                <w:szCs w:val="20"/>
                <w:color w:val="auto"/>
              </w:rPr>
            </w:pPr>
            <w:r>
              <w:rPr>
                <w:rFonts w:ascii="Arial" w:cs="Arial" w:eastAsia="Arial" w:hAnsi="Arial"/>
                <w:sz w:val="14"/>
                <w:szCs w:val="14"/>
                <w:b w:val="1"/>
                <w:bCs w:val="1"/>
                <w:color w:val="FB4E0B"/>
              </w:rPr>
              <w:t>(in thousands)</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35"/>
        </w:trPr>
        <w:tc>
          <w:tcPr>
            <w:tcW w:w="2740" w:type="dxa"/>
            <w:vAlign w:val="bottom"/>
            <w:tcBorders>
              <w:bottom w:val="single" w:sz="8" w:color="FB4E0B"/>
            </w:tcBorders>
          </w:tcPr>
          <w:p>
            <w:pPr>
              <w:spacing w:after="0"/>
              <w:rPr>
                <w:sz w:val="11"/>
                <w:szCs w:val="11"/>
                <w:color w:val="auto"/>
              </w:rPr>
            </w:pPr>
          </w:p>
        </w:tc>
        <w:tc>
          <w:tcPr>
            <w:tcW w:w="1960" w:type="dxa"/>
            <w:vAlign w:val="bottom"/>
            <w:tcBorders>
              <w:bottom w:val="single" w:sz="8" w:color="FB4E0B"/>
            </w:tcBorders>
          </w:tcPr>
          <w:p>
            <w:pPr>
              <w:spacing w:after="0"/>
              <w:rPr>
                <w:sz w:val="11"/>
                <w:szCs w:val="11"/>
                <w:color w:val="auto"/>
              </w:rPr>
            </w:pPr>
          </w:p>
        </w:tc>
        <w:tc>
          <w:tcPr>
            <w:tcW w:w="2100" w:type="dxa"/>
            <w:vAlign w:val="bottom"/>
            <w:tcBorders>
              <w:bottom w:val="single" w:sz="8" w:color="FB4E0B"/>
            </w:tcBorders>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325"/>
        </w:trPr>
        <w:tc>
          <w:tcPr>
            <w:tcW w:w="2740" w:type="dxa"/>
            <w:vAlign w:val="bottom"/>
          </w:tcPr>
          <w:p>
            <w:pPr>
              <w:ind w:left="220"/>
              <w:spacing w:after="0"/>
              <w:rPr>
                <w:sz w:val="20"/>
                <w:szCs w:val="20"/>
                <w:color w:val="auto"/>
              </w:rPr>
            </w:pPr>
            <w:r>
              <w:rPr>
                <w:rFonts w:ascii="Arial" w:cs="Arial" w:eastAsia="Arial" w:hAnsi="Arial"/>
                <w:sz w:val="17"/>
                <w:szCs w:val="17"/>
                <w:color w:val="auto"/>
              </w:rPr>
              <w:t>Audit fees</w:t>
            </w:r>
          </w:p>
        </w:tc>
        <w:tc>
          <w:tcPr>
            <w:tcW w:w="1960" w:type="dxa"/>
            <w:vAlign w:val="bottom"/>
          </w:tcPr>
          <w:p>
            <w:pPr>
              <w:jc w:val="right"/>
              <w:ind w:right="113"/>
              <w:spacing w:after="0"/>
              <w:rPr>
                <w:sz w:val="20"/>
                <w:szCs w:val="20"/>
                <w:color w:val="auto"/>
              </w:rPr>
            </w:pPr>
            <w:r>
              <w:rPr>
                <w:rFonts w:ascii="Arial" w:cs="Arial" w:eastAsia="Arial" w:hAnsi="Arial"/>
                <w:sz w:val="17"/>
                <w:szCs w:val="17"/>
                <w:color w:val="auto"/>
              </w:rPr>
              <w:t>$1,529</w:t>
            </w:r>
          </w:p>
        </w:tc>
        <w:tc>
          <w:tcPr>
            <w:tcW w:w="2100" w:type="dxa"/>
            <w:vAlign w:val="bottom"/>
          </w:tcPr>
          <w:p>
            <w:pPr>
              <w:jc w:val="right"/>
              <w:ind w:right="118"/>
              <w:spacing w:after="0"/>
              <w:rPr>
                <w:sz w:val="20"/>
                <w:szCs w:val="20"/>
                <w:color w:val="auto"/>
              </w:rPr>
            </w:pPr>
            <w:r>
              <w:rPr>
                <w:rFonts w:ascii="Arial" w:cs="Arial" w:eastAsia="Arial" w:hAnsi="Arial"/>
                <w:sz w:val="17"/>
                <w:szCs w:val="17"/>
                <w:color w:val="auto"/>
              </w:rPr>
              <w:t>$1,601</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Arial" w:cs="Arial" w:eastAsia="Arial" w:hAnsi="Arial"/>
                <w:sz w:val="17"/>
                <w:szCs w:val="17"/>
                <w:color w:val="auto"/>
              </w:rPr>
              <w:t>Audit-related fees</w:t>
            </w:r>
          </w:p>
        </w:tc>
        <w:tc>
          <w:tcPr>
            <w:tcW w:w="19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286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Arial" w:cs="Arial" w:eastAsia="Arial" w:hAnsi="Arial"/>
                <w:sz w:val="17"/>
                <w:szCs w:val="17"/>
                <w:color w:val="auto"/>
              </w:rPr>
              <w:t>Tax fees</w:t>
            </w:r>
          </w:p>
        </w:tc>
        <w:tc>
          <w:tcPr>
            <w:tcW w:w="1960" w:type="dxa"/>
            <w:vAlign w:val="bottom"/>
          </w:tcPr>
          <w:p>
            <w:pPr>
              <w:jc w:val="right"/>
              <w:ind w:right="113"/>
              <w:spacing w:after="0"/>
              <w:rPr>
                <w:sz w:val="20"/>
                <w:szCs w:val="20"/>
                <w:color w:val="auto"/>
              </w:rPr>
            </w:pPr>
            <w:r>
              <w:rPr>
                <w:rFonts w:ascii="Arial" w:cs="Arial" w:eastAsia="Arial" w:hAnsi="Arial"/>
                <w:sz w:val="17"/>
                <w:szCs w:val="17"/>
                <w:color w:val="auto"/>
              </w:rPr>
              <w:t>45</w:t>
            </w:r>
          </w:p>
        </w:tc>
        <w:tc>
          <w:tcPr>
            <w:tcW w:w="2100" w:type="dxa"/>
            <w:vAlign w:val="bottom"/>
          </w:tcPr>
          <w:p>
            <w:pPr>
              <w:jc w:val="right"/>
              <w:ind w:right="118"/>
              <w:spacing w:after="0"/>
              <w:rPr>
                <w:sz w:val="20"/>
                <w:szCs w:val="20"/>
                <w:color w:val="auto"/>
              </w:rPr>
            </w:pPr>
            <w:r>
              <w:rPr>
                <w:rFonts w:ascii="Arial" w:cs="Arial" w:eastAsia="Arial" w:hAnsi="Arial"/>
                <w:sz w:val="17"/>
                <w:szCs w:val="17"/>
                <w:color w:val="auto"/>
              </w:rPr>
              <w:t>80</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Arial" w:cs="Arial" w:eastAsia="Arial" w:hAnsi="Arial"/>
                <w:sz w:val="17"/>
                <w:szCs w:val="17"/>
                <w:color w:val="auto"/>
              </w:rPr>
              <w:t>All other fees</w:t>
            </w:r>
          </w:p>
        </w:tc>
        <w:tc>
          <w:tcPr>
            <w:tcW w:w="1960" w:type="dxa"/>
            <w:vAlign w:val="bottom"/>
          </w:tcPr>
          <w:p>
            <w:pPr>
              <w:jc w:val="right"/>
              <w:ind w:right="113"/>
              <w:spacing w:after="0"/>
              <w:rPr>
                <w:sz w:val="20"/>
                <w:szCs w:val="20"/>
                <w:color w:val="auto"/>
              </w:rPr>
            </w:pPr>
            <w:r>
              <w:rPr>
                <w:rFonts w:ascii="Arial" w:cs="Arial" w:eastAsia="Arial" w:hAnsi="Arial"/>
                <w:sz w:val="17"/>
                <w:szCs w:val="17"/>
                <w:color w:val="auto"/>
              </w:rPr>
              <w:t>33</w:t>
            </w:r>
          </w:p>
        </w:tc>
        <w:tc>
          <w:tcPr>
            <w:tcW w:w="2100" w:type="dxa"/>
            <w:vAlign w:val="bottom"/>
          </w:tcPr>
          <w:p>
            <w:pPr>
              <w:jc w:val="right"/>
              <w:ind w:right="118"/>
              <w:spacing w:after="0"/>
              <w:rPr>
                <w:sz w:val="20"/>
                <w:szCs w:val="20"/>
                <w:color w:val="auto"/>
              </w:rPr>
            </w:pPr>
            <w:r>
              <w:rPr>
                <w:rFonts w:ascii="Arial" w:cs="Arial" w:eastAsia="Arial" w:hAnsi="Arial"/>
                <w:sz w:val="17"/>
                <w:szCs w:val="17"/>
                <w:color w:val="auto"/>
              </w:rPr>
              <w:t>34</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36"/>
        </w:trPr>
        <w:tc>
          <w:tcPr>
            <w:tcW w:w="2740" w:type="dxa"/>
            <w:vAlign w:val="bottom"/>
            <w:tcBorders>
              <w:bottom w:val="single" w:sz="8" w:color="FB4E0B"/>
            </w:tcBorders>
          </w:tcPr>
          <w:p>
            <w:pPr>
              <w:spacing w:after="0"/>
              <w:rPr>
                <w:sz w:val="11"/>
                <w:szCs w:val="11"/>
                <w:color w:val="auto"/>
              </w:rPr>
            </w:pPr>
          </w:p>
        </w:tc>
        <w:tc>
          <w:tcPr>
            <w:tcW w:w="1960" w:type="dxa"/>
            <w:vAlign w:val="bottom"/>
            <w:tcBorders>
              <w:bottom w:val="single" w:sz="8" w:color="FB4E0B"/>
            </w:tcBorders>
          </w:tcPr>
          <w:p>
            <w:pPr>
              <w:spacing w:after="0"/>
              <w:rPr>
                <w:sz w:val="11"/>
                <w:szCs w:val="11"/>
                <w:color w:val="auto"/>
              </w:rPr>
            </w:pPr>
          </w:p>
        </w:tc>
        <w:tc>
          <w:tcPr>
            <w:tcW w:w="2100" w:type="dxa"/>
            <w:vAlign w:val="bottom"/>
            <w:tcBorders>
              <w:bottom w:val="single" w:sz="8" w:color="FB4E0B"/>
            </w:tcBorders>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325"/>
        </w:trPr>
        <w:tc>
          <w:tcPr>
            <w:tcW w:w="2740" w:type="dxa"/>
            <w:vAlign w:val="bottom"/>
          </w:tcPr>
          <w:p>
            <w:pPr>
              <w:ind w:left="220"/>
              <w:spacing w:after="0"/>
              <w:rPr>
                <w:sz w:val="20"/>
                <w:szCs w:val="20"/>
                <w:color w:val="auto"/>
              </w:rPr>
            </w:pPr>
            <w:r>
              <w:rPr>
                <w:rFonts w:ascii="Arial" w:cs="Arial" w:eastAsia="Arial" w:hAnsi="Arial"/>
                <w:sz w:val="17"/>
                <w:szCs w:val="17"/>
                <w:b w:val="1"/>
                <w:bCs w:val="1"/>
                <w:color w:val="auto"/>
              </w:rPr>
              <w:t>Total fees</w:t>
            </w:r>
          </w:p>
        </w:tc>
        <w:tc>
          <w:tcPr>
            <w:tcW w:w="1960" w:type="dxa"/>
            <w:vAlign w:val="bottom"/>
          </w:tcPr>
          <w:p>
            <w:pPr>
              <w:jc w:val="right"/>
              <w:ind w:right="113"/>
              <w:spacing w:after="0"/>
              <w:rPr>
                <w:sz w:val="20"/>
                <w:szCs w:val="20"/>
                <w:color w:val="auto"/>
              </w:rPr>
            </w:pPr>
            <w:r>
              <w:rPr>
                <w:rFonts w:ascii="Arial" w:cs="Arial" w:eastAsia="Arial" w:hAnsi="Arial"/>
                <w:sz w:val="17"/>
                <w:szCs w:val="17"/>
                <w:b w:val="1"/>
                <w:bCs w:val="1"/>
                <w:color w:val="auto"/>
              </w:rPr>
              <w:t>$1,607</w:t>
            </w:r>
          </w:p>
        </w:tc>
        <w:tc>
          <w:tcPr>
            <w:tcW w:w="2100" w:type="dxa"/>
            <w:vAlign w:val="bottom"/>
          </w:tcPr>
          <w:p>
            <w:pPr>
              <w:jc w:val="right"/>
              <w:ind w:right="118"/>
              <w:spacing w:after="0"/>
              <w:rPr>
                <w:sz w:val="20"/>
                <w:szCs w:val="20"/>
                <w:color w:val="auto"/>
              </w:rPr>
            </w:pPr>
            <w:r>
              <w:rPr>
                <w:rFonts w:ascii="Arial" w:cs="Arial" w:eastAsia="Arial" w:hAnsi="Arial"/>
                <w:sz w:val="17"/>
                <w:szCs w:val="17"/>
                <w:b w:val="1"/>
                <w:bCs w:val="1"/>
                <w:color w:val="auto"/>
              </w:rPr>
              <w:t>$1,715</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19"/>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60" w:type="dxa"/>
            <w:vAlign w:val="bottom"/>
            <w:gridSpan w:val="2"/>
          </w:tcPr>
          <w:p>
            <w:pPr>
              <w:ind w:left="1140"/>
              <w:spacing w:after="0"/>
              <w:rPr>
                <w:sz w:val="20"/>
                <w:szCs w:val="20"/>
                <w:color w:val="auto"/>
              </w:rPr>
            </w:pPr>
            <w:r>
              <w:rPr>
                <w:rFonts w:ascii="Arial" w:cs="Arial" w:eastAsia="Arial" w:hAnsi="Arial"/>
                <w:sz w:val="13"/>
                <w:szCs w:val="13"/>
                <w:color w:val="auto"/>
              </w:rPr>
              <w:t>EXL 2023 Proxy Statement</w:t>
            </w:r>
          </w:p>
        </w:tc>
        <w:tc>
          <w:tcPr>
            <w:tcW w:w="540" w:type="dxa"/>
            <w:vAlign w:val="bottom"/>
          </w:tcPr>
          <w:p>
            <w:pPr>
              <w:jc w:val="right"/>
              <w:ind w:right="21"/>
              <w:spacing w:after="0"/>
              <w:rPr>
                <w:sz w:val="20"/>
                <w:szCs w:val="20"/>
                <w:color w:val="auto"/>
              </w:rPr>
            </w:pPr>
            <w:r>
              <w:rPr>
                <w:rFonts w:ascii="Arial" w:cs="Arial" w:eastAsia="Arial" w:hAnsi="Arial"/>
                <w:sz w:val="28"/>
                <w:szCs w:val="28"/>
                <w:b w:val="1"/>
                <w:bCs w:val="1"/>
                <w:color w:val="FB4E0B"/>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117</w:t>
            </w:r>
          </w:p>
        </w:tc>
      </w:tr>
    </w:tbl>
    <w:p>
      <w:pPr>
        <w:sectPr>
          <w:pgSz w:w="11900" w:h="16838" w:orient="portrait"/>
          <w:cols w:equalWidth="0" w:num="1">
            <w:col w:w="10940"/>
          </w:cols>
          <w:pgMar w:left="320" w:top="473" w:right="6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Proposal 2 — Ratification of the appointment of independent registered public accounting firm</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Audit fees:</w:t>
      </w:r>
    </w:p>
    <w:p>
      <w:pPr>
        <w:spacing w:after="0" w:line="117" w:lineRule="exact"/>
        <w:rPr>
          <w:sz w:val="20"/>
          <w:szCs w:val="20"/>
          <w:color w:val="auto"/>
        </w:rPr>
      </w:pPr>
    </w:p>
    <w:p>
      <w:pPr>
        <w:ind w:left="320" w:right="140"/>
        <w:spacing w:after="0" w:line="265" w:lineRule="auto"/>
        <w:rPr>
          <w:sz w:val="20"/>
          <w:szCs w:val="20"/>
          <w:color w:val="auto"/>
        </w:rPr>
      </w:pPr>
      <w:r>
        <w:rPr>
          <w:rFonts w:ascii="Arial" w:cs="Arial" w:eastAsia="Arial" w:hAnsi="Arial"/>
          <w:sz w:val="17"/>
          <w:szCs w:val="17"/>
          <w:color w:val="auto"/>
        </w:rPr>
        <w:t>Consist of fees billed or expected to be billed for professional services rendered for the audit of our consolidated financial statements, including (i) the audit of effectiveness of internal control over financial reporting, (ii) review of our consolidated financial statements included in our quarterly reports, and (iii) services that are normally provided by our independent registered public accountants including services in connection with statutory or regulatory filings or engagements for those fiscal years.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Audit-related fees:</w:t>
      </w:r>
    </w:p>
    <w:p>
      <w:pPr>
        <w:spacing w:after="0" w:line="117" w:lineRule="exact"/>
        <w:rPr>
          <w:sz w:val="20"/>
          <w:szCs w:val="20"/>
          <w:color w:val="auto"/>
        </w:rPr>
      </w:pPr>
    </w:p>
    <w:p>
      <w:pPr>
        <w:ind w:left="320" w:right="580"/>
        <w:spacing w:after="0" w:line="286" w:lineRule="auto"/>
        <w:rPr>
          <w:sz w:val="20"/>
          <w:szCs w:val="20"/>
          <w:color w:val="auto"/>
        </w:rPr>
      </w:pPr>
      <w:r>
        <w:rPr>
          <w:rFonts w:ascii="Arial" w:cs="Arial" w:eastAsia="Arial" w:hAnsi="Arial"/>
          <w:sz w:val="17"/>
          <w:szCs w:val="17"/>
          <w:color w:val="auto"/>
        </w:rPr>
        <w:t>Consist of fees billed for assurance and related services that are reasonably related to the performance of the audit or review of our consolidated financial statements and are not reported under “Audit Fees.”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Tax fees: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Consist primarily of fees billed or expected to be billed for other tax filing and advisory projects.</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B4E0B"/>
        </w:rPr>
        <w:t>All other fees:</w:t>
      </w:r>
    </w:p>
    <w:p>
      <w:pPr>
        <w:spacing w:after="0" w:line="117"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color w:val="auto"/>
        </w:rPr>
        <w:t>Consist of fees billed or expected to be billed for other permissible work performed by our independent registered public accounting firm that does not meet the above category descriptions.</w:t>
      </w:r>
    </w:p>
    <w:p>
      <w:pPr>
        <w:spacing w:after="0" w:line="263" w:lineRule="exact"/>
        <w:rPr>
          <w:sz w:val="20"/>
          <w:szCs w:val="20"/>
          <w:color w:val="auto"/>
        </w:rPr>
      </w:pPr>
    </w:p>
    <w:p>
      <w:pPr>
        <w:ind w:left="320"/>
        <w:spacing w:after="0" w:line="263" w:lineRule="auto"/>
        <w:rPr>
          <w:sz w:val="20"/>
          <w:szCs w:val="20"/>
          <w:color w:val="auto"/>
        </w:rPr>
      </w:pPr>
      <w:r>
        <w:rPr>
          <w:rFonts w:ascii="Arial" w:cs="Arial" w:eastAsia="Arial" w:hAnsi="Arial"/>
          <w:sz w:val="17"/>
          <w:szCs w:val="17"/>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of the fees paid to Deloitte in fiscal year 2022 were pre-approved by the Audit Committee.</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Required vote</w:t>
      </w:r>
    </w:p>
    <w:p>
      <w:pPr>
        <w:spacing w:after="0" w:line="117"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208280</wp:posOffset>
            </wp:positionV>
            <wp:extent cx="4733290" cy="3632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733290" cy="3632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16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36" w:lineRule="exact"/>
        <w:rPr>
          <w:sz w:val="20"/>
          <w:szCs w:val="20"/>
          <w:color w:val="auto"/>
        </w:rPr>
      </w:pPr>
    </w:p>
    <w:p>
      <w:pPr>
        <w:ind w:left="2300" w:right="2020" w:firstLine="969"/>
        <w:spacing w:after="0" w:line="212" w:lineRule="auto"/>
        <w:rPr>
          <w:sz w:val="20"/>
          <w:szCs w:val="20"/>
          <w:color w:val="auto"/>
        </w:rPr>
      </w:pPr>
      <w:r>
        <w:rPr>
          <w:rFonts w:ascii="Arial" w:cs="Arial" w:eastAsia="Arial" w:hAnsi="Arial"/>
          <w:sz w:val="17"/>
          <w:szCs w:val="17"/>
          <w:b w:val="1"/>
          <w:bCs w:val="1"/>
          <w:color w:val="auto"/>
        </w:rPr>
        <w:t xml:space="preserve">the ratification of the appointment of Deloitte as our independent registered </w:t>
      </w:r>
      <w:r>
        <w:rPr>
          <w:rFonts w:ascii="Arial" w:cs="Arial" w:eastAsia="Arial" w:hAnsi="Arial"/>
          <w:sz w:val="31"/>
          <w:szCs w:val="31"/>
          <w:b w:val="1"/>
          <w:bCs w:val="1"/>
          <w:color w:val="FFFFFF"/>
        </w:rPr>
        <w:t xml:space="preserve">FOR </w:t>
      </w:r>
      <w:r>
        <w:rPr>
          <w:rFonts w:ascii="Arial" w:cs="Arial" w:eastAsia="Arial" w:hAnsi="Arial"/>
          <w:sz w:val="17"/>
          <w:szCs w:val="17"/>
          <w:b w:val="1"/>
          <w:bCs w:val="1"/>
          <w:color w:val="000000"/>
        </w:rPr>
        <w:t>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-297180</wp:posOffset>
            </wp:positionV>
            <wp:extent cx="4733290" cy="387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33290" cy="387985"/>
                    </a:xfrm>
                    <a:prstGeom prst="rect">
                      <a:avLst/>
                    </a:prstGeom>
                    <a:noFill/>
                  </pic:spPr>
                </pic:pic>
              </a:graphicData>
            </a:graphic>
          </wp:anchor>
        </w:drawing>
      </w:r>
    </w:p>
    <w:p>
      <w:pPr>
        <w:spacing w:after="0" w:line="233" w:lineRule="exact"/>
        <w:rPr>
          <w:sz w:val="20"/>
          <w:szCs w:val="20"/>
          <w:color w:val="auto"/>
        </w:rPr>
      </w:pPr>
    </w:p>
    <w:p>
      <w:pPr>
        <w:ind w:left="420"/>
        <w:spacing w:after="0"/>
        <w:tabs>
          <w:tab w:leader="none" w:pos="1020" w:val="left"/>
          <w:tab w:leader="none" w:pos="1360" w:val="left"/>
        </w:tabs>
        <w:rPr>
          <w:sz w:val="20"/>
          <w:szCs w:val="20"/>
          <w:color w:val="auto"/>
        </w:rPr>
      </w:pPr>
      <w:r>
        <w:rPr>
          <w:rFonts w:ascii="Arial" w:cs="Arial" w:eastAsia="Arial" w:hAnsi="Arial"/>
          <w:sz w:val="17"/>
          <w:szCs w:val="17"/>
          <w:b w:val="1"/>
          <w:bCs w:val="1"/>
          <w:color w:val="auto"/>
        </w:rPr>
        <w:t>118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80"/>
          </w:cols>
          <w:pgMar w:left="320" w:top="473" w:right="69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Proposal 3 — Advisory (non-binding) vote on executive compensation</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0"/>
          <w:szCs w:val="30"/>
          <w:color w:val="FB4E0B"/>
        </w:rPr>
        <w:t>Proposal 3 — Advisory (non-binding) vote to approve executive compensation</w:t>
      </w:r>
    </w:p>
    <w:p>
      <w:pPr>
        <w:spacing w:after="0" w:line="339" w:lineRule="exact"/>
        <w:rPr>
          <w:sz w:val="20"/>
          <w:szCs w:val="20"/>
          <w:color w:val="auto"/>
        </w:rPr>
      </w:pPr>
    </w:p>
    <w:p>
      <w:pPr>
        <w:ind w:left="320" w:right="100"/>
        <w:spacing w:after="0" w:line="295" w:lineRule="auto"/>
        <w:rPr>
          <w:sz w:val="20"/>
          <w:szCs w:val="20"/>
          <w:color w:val="auto"/>
        </w:rPr>
      </w:pPr>
      <w:r>
        <w:rPr>
          <w:rFonts w:ascii="Arial" w:cs="Arial" w:eastAsia="Arial" w:hAnsi="Arial"/>
          <w:sz w:val="16"/>
          <w:szCs w:val="16"/>
          <w:color w:val="auto"/>
        </w:rPr>
        <w:t>Proposal 3 is a vote, on a non-binding advisory basis, to approve the compensation of our executive officers as described in this Proxy Statement. Although the vote is advisory and is not binding on the board of directors, our Compensation and Talent Management Committee will take into account the outcome of the vote when considering future executive compensation decisions. We refer to this vote as the “say-on-pay” vote.</w:t>
      </w:r>
    </w:p>
    <w:p>
      <w:pPr>
        <w:spacing w:after="0" w:line="258" w:lineRule="exact"/>
        <w:rPr>
          <w:sz w:val="20"/>
          <w:szCs w:val="20"/>
          <w:color w:val="auto"/>
        </w:rPr>
      </w:pPr>
    </w:p>
    <w:p>
      <w:pPr>
        <w:ind w:left="320" w:right="60"/>
        <w:spacing w:after="0" w:line="265" w:lineRule="auto"/>
        <w:rPr>
          <w:sz w:val="20"/>
          <w:szCs w:val="20"/>
          <w:color w:val="auto"/>
        </w:rPr>
      </w:pPr>
      <w:r>
        <w:rPr>
          <w:rFonts w:ascii="Arial" w:cs="Arial" w:eastAsia="Arial" w:hAnsi="Arial"/>
          <w:sz w:val="17"/>
          <w:szCs w:val="17"/>
          <w:color w:val="auto"/>
        </w:rPr>
        <w:t>At the 2017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A vote on the frequency of the “say-on-pay” vote is being held at the Annual Meeting.</w:t>
      </w:r>
    </w:p>
    <w:p>
      <w:pPr>
        <w:spacing w:after="0" w:line="320" w:lineRule="exact"/>
        <w:rPr>
          <w:sz w:val="20"/>
          <w:szCs w:val="20"/>
          <w:color w:val="auto"/>
        </w:rPr>
      </w:pPr>
    </w:p>
    <w:p>
      <w:pPr>
        <w:ind w:left="1140" w:right="660" w:hanging="407"/>
        <w:spacing w:after="0" w:line="286"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board of directors is committed to corporate governance best practices and recognizes the significant interest of stockholders in executive compensation matters.</w:t>
      </w:r>
    </w:p>
    <w:p>
      <w:pPr>
        <w:spacing w:after="0" w:line="67" w:lineRule="exact"/>
        <w:rPr>
          <w:rFonts w:ascii="Arial" w:cs="Arial" w:eastAsia="Arial" w:hAnsi="Arial"/>
          <w:sz w:val="17"/>
          <w:szCs w:val="17"/>
          <w:color w:val="auto"/>
        </w:rPr>
      </w:pPr>
    </w:p>
    <w:p>
      <w:pPr>
        <w:ind w:left="1140" w:right="120" w:hanging="407"/>
        <w:spacing w:after="0" w:line="302" w:lineRule="auto"/>
        <w:tabs>
          <w:tab w:leader="none" w:pos="11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Our board of directors believes that our current executive compensation program directly links executive compensation to our performance and aligns the interests of our executive officers with those of our stockholders. For example, the bulk of our annual incentive awards are earned based on achievement of two core financial metrics: revenues and AOPM.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51"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In addition, our philosophy places more emphasis on variable elements of compensation (such as annual incentives and equity-based compensation) than fixed remuneration.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stockholders have the opportunity to vote for, against or abstain from voting on the following resolution:</w:t>
      </w:r>
    </w:p>
    <w:p>
      <w:pPr>
        <w:spacing w:after="0" w:line="319" w:lineRule="exact"/>
        <w:rPr>
          <w:sz w:val="20"/>
          <w:szCs w:val="20"/>
          <w:color w:val="auto"/>
        </w:rPr>
      </w:pPr>
    </w:p>
    <w:p>
      <w:pPr>
        <w:ind w:left="740" w:right="80"/>
        <w:spacing w:after="0" w:line="274" w:lineRule="auto"/>
        <w:rPr>
          <w:sz w:val="20"/>
          <w:szCs w:val="20"/>
          <w:color w:val="auto"/>
        </w:rPr>
      </w:pPr>
      <w:r>
        <w:rPr>
          <w:rFonts w:ascii="Arial" w:cs="Arial" w:eastAsia="Arial" w:hAnsi="Arial"/>
          <w:sz w:val="17"/>
          <w:szCs w:val="17"/>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above-referenced disclosures related to the compensation of our named executive officers appear beginning at page 60 of this Proxy Statement.</w:t>
      </w:r>
    </w:p>
    <w:p>
      <w:pPr>
        <w:spacing w:after="0" w:line="291"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119</w:t>
      </w:r>
    </w:p>
    <w:p>
      <w:pPr>
        <w:sectPr>
          <w:pgSz w:w="11900" w:h="16838" w:orient="portrait"/>
          <w:cols w:equalWidth="0" w:num="1">
            <w:col w:w="10940"/>
          </w:cols>
          <w:pgMar w:left="320" w:top="473" w:right="6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Proposal 3 — Advisory (non-binding) vote on executive compensation</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Required vote</w:t>
      </w:r>
    </w:p>
    <w:p>
      <w:pPr>
        <w:spacing w:after="0" w:line="117"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133985</wp:posOffset>
            </wp:positionV>
            <wp:extent cx="4865370" cy="3632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865370" cy="363220"/>
                    </a:xfrm>
                    <a:prstGeom prst="rect">
                      <a:avLst/>
                    </a:prstGeom>
                    <a:noFill/>
                  </pic:spPr>
                </pic:pic>
              </a:graphicData>
            </a:graphic>
          </wp:anchor>
        </w:drawing>
      </w:r>
    </w:p>
    <w:p>
      <w:pPr>
        <w:spacing w:after="0" w:line="307" w:lineRule="exact"/>
        <w:rPr>
          <w:sz w:val="20"/>
          <w:szCs w:val="20"/>
          <w:color w:val="auto"/>
        </w:rPr>
      </w:pPr>
    </w:p>
    <w:p>
      <w:pPr>
        <w:ind w:left="206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36" w:lineRule="exact"/>
        <w:rPr>
          <w:sz w:val="20"/>
          <w:szCs w:val="20"/>
          <w:color w:val="auto"/>
        </w:rPr>
      </w:pPr>
    </w:p>
    <w:p>
      <w:pPr>
        <w:ind w:left="3100" w:right="1320"/>
        <w:spacing w:after="0" w:line="289" w:lineRule="auto"/>
        <w:rPr>
          <w:sz w:val="20"/>
          <w:szCs w:val="20"/>
          <w:color w:val="auto"/>
        </w:rPr>
      </w:pPr>
      <w:r>
        <w:rPr>
          <w:rFonts w:ascii="Arial" w:cs="Arial" w:eastAsia="Arial" w:hAnsi="Arial"/>
          <w:sz w:val="15"/>
          <w:szCs w:val="15"/>
          <w:b w:val="1"/>
          <w:bCs w:val="1"/>
          <w:color w:val="auto"/>
        </w:rPr>
        <w:t>the approval, on an advisory (non-binding) basis, of the compensation of our named executive officers as disclosed pursuant to the compensation disclosure rules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-251460</wp:posOffset>
            </wp:positionV>
            <wp:extent cx="4865370" cy="6527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65370" cy="652780"/>
                    </a:xfrm>
                    <a:prstGeom prst="rect">
                      <a:avLst/>
                    </a:prstGeom>
                    <a:noFill/>
                  </pic:spPr>
                </pic:pic>
              </a:graphicData>
            </a:graphic>
          </wp:anchor>
        </w:drawing>
      </w:r>
    </w:p>
    <w:p>
      <w:pPr>
        <w:ind w:left="3100" w:right="1320" w:hanging="939"/>
        <w:spacing w:after="0" w:line="201" w:lineRule="auto"/>
        <w:tabs>
          <w:tab w:leader="none" w:pos="3080" w:val="left"/>
        </w:tabs>
        <w:rPr>
          <w:sz w:val="20"/>
          <w:szCs w:val="20"/>
          <w:color w:val="auto"/>
        </w:rPr>
      </w:pPr>
      <w:r>
        <w:rPr>
          <w:rFonts w:ascii="Arial" w:cs="Arial" w:eastAsia="Arial" w:hAnsi="Arial"/>
          <w:sz w:val="29"/>
          <w:szCs w:val="29"/>
          <w:b w:val="1"/>
          <w:bCs w:val="1"/>
          <w:color w:val="FFFFFF"/>
        </w:rPr>
        <w:t>FOR</w:t>
      </w:r>
      <w:r>
        <w:rPr>
          <w:sz w:val="20"/>
          <w:szCs w:val="20"/>
          <w:color w:val="auto"/>
        </w:rPr>
        <w:tab/>
      </w:r>
      <w:r>
        <w:rPr>
          <w:rFonts w:ascii="Arial" w:cs="Arial" w:eastAsia="Arial" w:hAnsi="Arial"/>
          <w:sz w:val="16"/>
          <w:szCs w:val="16"/>
          <w:b w:val="1"/>
          <w:bCs w:val="1"/>
          <w:color w:val="auto"/>
        </w:rPr>
        <w:t>SEC (including the Compensation Discussion and Analysis, the compensation tables and any related material disclosed in this Proxy Statement)</w:t>
      </w:r>
    </w:p>
    <w:p>
      <w:pPr>
        <w:spacing w:after="0" w:line="307"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120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620"/>
          </w:cols>
          <w:pgMar w:left="320" w:top="473" w:right="9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Proposal 4 — Advisory (non-binding) vote on how frequently stockholders should vote to approve compensation of the named executive officers</w:t>
      </w:r>
    </w:p>
    <w:p>
      <w:pPr>
        <w:spacing w:after="0" w:line="323" w:lineRule="exact"/>
        <w:rPr>
          <w:sz w:val="20"/>
          <w:szCs w:val="20"/>
          <w:color w:val="auto"/>
        </w:rPr>
      </w:pPr>
    </w:p>
    <w:p>
      <w:pPr>
        <w:jc w:val="both"/>
        <w:ind w:left="320" w:right="300"/>
        <w:spacing w:after="0" w:line="265" w:lineRule="auto"/>
        <w:rPr>
          <w:sz w:val="20"/>
          <w:szCs w:val="20"/>
          <w:color w:val="auto"/>
        </w:rPr>
      </w:pPr>
      <w:r>
        <w:rPr>
          <w:rFonts w:ascii="Arial" w:cs="Arial" w:eastAsia="Arial" w:hAnsi="Arial"/>
          <w:sz w:val="31"/>
          <w:szCs w:val="31"/>
          <w:color w:val="FB4E0B"/>
        </w:rPr>
        <w:t>Proposal 4 — Advisory (non-binding) vote on how frequently stockholders should vote to approve compensation of the named executive officers</w:t>
      </w:r>
    </w:p>
    <w:p>
      <w:pPr>
        <w:spacing w:after="0" w:line="248" w:lineRule="exact"/>
        <w:rPr>
          <w:sz w:val="20"/>
          <w:szCs w:val="20"/>
          <w:color w:val="auto"/>
        </w:rPr>
      </w:pPr>
    </w:p>
    <w:p>
      <w:pPr>
        <w:jc w:val="both"/>
        <w:ind w:left="320" w:right="320"/>
        <w:spacing w:after="0" w:line="287" w:lineRule="auto"/>
        <w:rPr>
          <w:sz w:val="20"/>
          <w:szCs w:val="20"/>
          <w:color w:val="auto"/>
        </w:rPr>
      </w:pPr>
      <w:r>
        <w:rPr>
          <w:rFonts w:ascii="Arial" w:cs="Arial" w:eastAsia="Arial" w:hAnsi="Arial"/>
          <w:sz w:val="16"/>
          <w:szCs w:val="16"/>
          <w:color w:val="auto"/>
        </w:rPr>
        <w:t>Proposal 4 is a vote, on a non-binding advisory basis, to determine how frequently stockholders should vote to approve compensation of the named executive officers. Although the vote is advisory and is not binding on the board of directors, our Compensation and Talent Management Committee will take into account the outcome of the vote when considering how frequently to hold say-on-pay votes. We refer to this as the “say-on-frequency” vote. You may choose from the following alternatives: every year, every two years, every three years or you may abstain.</w:t>
      </w:r>
    </w:p>
    <w:p>
      <w:pPr>
        <w:spacing w:after="0" w:line="265" w:lineRule="exact"/>
        <w:rPr>
          <w:sz w:val="20"/>
          <w:szCs w:val="20"/>
          <w:color w:val="auto"/>
        </w:rPr>
      </w:pPr>
    </w:p>
    <w:p>
      <w:pPr>
        <w:jc w:val="both"/>
        <w:ind w:left="320" w:right="320"/>
        <w:spacing w:after="0" w:line="286" w:lineRule="auto"/>
        <w:rPr>
          <w:sz w:val="20"/>
          <w:szCs w:val="20"/>
          <w:color w:val="auto"/>
        </w:rPr>
      </w:pPr>
      <w:r>
        <w:rPr>
          <w:rFonts w:ascii="Arial" w:cs="Arial" w:eastAsia="Arial" w:hAnsi="Arial"/>
          <w:sz w:val="17"/>
          <w:szCs w:val="17"/>
          <w:color w:val="auto"/>
        </w:rPr>
        <w:t>The say-on-frequency vote was last held at our 2017 annual meeting of stockholders and is required at least once every six years thereafter. The next such vote will occur at our annual meeting of stockholders to be held in 2029.</w:t>
      </w:r>
    </w:p>
    <w:p>
      <w:pPr>
        <w:spacing w:after="0" w:line="263" w:lineRule="exact"/>
        <w:rPr>
          <w:sz w:val="20"/>
          <w:szCs w:val="20"/>
          <w:color w:val="auto"/>
        </w:rPr>
      </w:pPr>
    </w:p>
    <w:p>
      <w:pPr>
        <w:ind w:left="320" w:right="280"/>
        <w:spacing w:after="0" w:line="265" w:lineRule="auto"/>
        <w:rPr>
          <w:sz w:val="20"/>
          <w:szCs w:val="20"/>
          <w:color w:val="auto"/>
        </w:rPr>
      </w:pPr>
      <w:r>
        <w:rPr>
          <w:rFonts w:ascii="Arial" w:cs="Arial" w:eastAsia="Arial" w:hAnsi="Arial"/>
          <w:sz w:val="17"/>
          <w:szCs w:val="17"/>
          <w:color w:val="auto"/>
        </w:rPr>
        <w:t>Our board of directors believes that an annual say-on-pay vote to approve the compensation of our named executive officers is appropriate because it will permit our board of directors to receive current feedback on a timely basis from our stockholders regarding our compensation program for our executive officers. Receiving such feedback every year will enable us to implement more quickly any modifications that our board of directors determines to be appropriate.</w:t>
      </w:r>
    </w:p>
    <w:p>
      <w:pPr>
        <w:spacing w:after="0" w:line="38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Required vote</w:t>
      </w:r>
    </w:p>
    <w:p>
      <w:pPr>
        <w:spacing w:after="0" w:line="117" w:lineRule="exact"/>
        <w:rPr>
          <w:sz w:val="20"/>
          <w:szCs w:val="20"/>
          <w:color w:val="auto"/>
        </w:rPr>
      </w:pPr>
    </w:p>
    <w:p>
      <w:pPr>
        <w:ind w:left="320" w:right="140"/>
        <w:spacing w:after="0" w:line="283" w:lineRule="auto"/>
        <w:rPr>
          <w:sz w:val="20"/>
          <w:szCs w:val="20"/>
          <w:color w:val="auto"/>
        </w:rPr>
      </w:pPr>
      <w:r>
        <w:rPr>
          <w:rFonts w:ascii="Arial" w:cs="Arial" w:eastAsia="Arial" w:hAnsi="Arial"/>
          <w:sz w:val="16"/>
          <w:szCs w:val="16"/>
          <w:color w:val="auto"/>
        </w:rPr>
        <w:t>The option, if any, that receives the affirmative vote of a majority of shares present in person or represented by proxy and entitled to vote at the Annual Meeting. Because this proposal has multiple options, if none of the options receives the affirmative vote of a majority of the shares present in person or represented by proxy and entitled to vote at the Annual Meeting, then we will consider the stockholders to have chosen the option selected by the holders of a plurality of the shares present in person or represented by proxy and entitled to vote at the Annual Meeting. Unless marked to the contrary, proxies received will be voted “EVERY YEAR”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128905</wp:posOffset>
            </wp:positionV>
            <wp:extent cx="4865370" cy="3632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65370" cy="363220"/>
                    </a:xfrm>
                    <a:prstGeom prst="rect">
                      <a:avLst/>
                    </a:prstGeom>
                    <a:noFill/>
                  </pic:spPr>
                </pic:pic>
              </a:graphicData>
            </a:graphic>
          </wp:anchor>
        </w:drawing>
      </w:r>
    </w:p>
    <w:p>
      <w:pPr>
        <w:spacing w:after="0" w:line="298" w:lineRule="exact"/>
        <w:rPr>
          <w:sz w:val="20"/>
          <w:szCs w:val="20"/>
          <w:color w:val="auto"/>
        </w:rPr>
      </w:pPr>
    </w:p>
    <w:p>
      <w:pPr>
        <w:ind w:left="206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161290</wp:posOffset>
            </wp:positionV>
            <wp:extent cx="4865370" cy="7270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865370" cy="727075"/>
                    </a:xfrm>
                    <a:prstGeom prst="rect">
                      <a:avLst/>
                    </a:prstGeom>
                    <a:noFill/>
                  </pic:spPr>
                </pic:pic>
              </a:graphicData>
            </a:graphic>
          </wp:anchor>
        </w:drawing>
      </w:r>
    </w:p>
    <w:p>
      <w:pPr>
        <w:spacing w:after="0" w:line="333" w:lineRule="exact"/>
        <w:rPr>
          <w:sz w:val="20"/>
          <w:szCs w:val="20"/>
          <w:color w:val="auto"/>
        </w:rPr>
      </w:pPr>
    </w:p>
    <w:p>
      <w:pPr>
        <w:ind w:left="3140" w:right="1660"/>
        <w:spacing w:after="0" w:line="266" w:lineRule="auto"/>
        <w:rPr>
          <w:sz w:val="20"/>
          <w:szCs w:val="20"/>
          <w:color w:val="auto"/>
        </w:rPr>
      </w:pPr>
      <w:r>
        <w:rPr>
          <w:rFonts w:ascii="Arial" w:cs="Arial" w:eastAsia="Arial" w:hAnsi="Arial"/>
          <w:sz w:val="15"/>
          <w:szCs w:val="15"/>
          <w:b w:val="1"/>
          <w:bCs w:val="1"/>
          <w:color w:val="auto"/>
        </w:rPr>
        <w:t>To approve the compensation of our named executive officers as disclosed pursuant to the compensation disclosure rules of the SEC (including the Compensation</w:t>
      </w:r>
    </w:p>
    <w:p>
      <w:pPr>
        <w:ind w:left="2060" w:right="1600" w:hanging="98"/>
        <w:spacing w:after="0" w:line="180" w:lineRule="auto"/>
        <w:rPr>
          <w:sz w:val="20"/>
          <w:szCs w:val="20"/>
          <w:color w:val="auto"/>
        </w:rPr>
      </w:pPr>
      <w:r>
        <w:rPr>
          <w:rFonts w:ascii="Arial" w:cs="Arial" w:eastAsia="Arial" w:hAnsi="Arial"/>
          <w:sz w:val="26"/>
          <w:szCs w:val="26"/>
          <w:b w:val="1"/>
          <w:bCs w:val="1"/>
          <w:color w:val="FFFFFF"/>
        </w:rPr>
        <w:t xml:space="preserve">EVERY </w:t>
      </w:r>
      <w:r>
        <w:rPr>
          <w:rFonts w:ascii="Arial" w:cs="Arial" w:eastAsia="Arial" w:hAnsi="Arial"/>
          <w:sz w:val="16"/>
          <w:szCs w:val="16"/>
          <w:b w:val="1"/>
          <w:bCs w:val="1"/>
          <w:color w:val="000000"/>
        </w:rPr>
        <w:t>Discussion and Analysis, the compensation tables and any related material disclosed</w:t>
      </w:r>
      <w:r>
        <w:rPr>
          <w:rFonts w:ascii="Arial" w:cs="Arial" w:eastAsia="Arial" w:hAnsi="Arial"/>
          <w:sz w:val="26"/>
          <w:szCs w:val="26"/>
          <w:b w:val="1"/>
          <w:bCs w:val="1"/>
          <w:color w:val="FFFFFF"/>
        </w:rPr>
        <w:t xml:space="preserve"> </w:t>
      </w:r>
      <w:r>
        <w:rPr>
          <w:rFonts w:ascii="Arial" w:cs="Arial" w:eastAsia="Arial" w:hAnsi="Arial"/>
          <w:sz w:val="48"/>
          <w:szCs w:val="48"/>
          <w:b w:val="1"/>
          <w:bCs w:val="1"/>
          <w:color w:val="FFFFFF"/>
          <w:vertAlign w:val="subscript"/>
        </w:rPr>
        <w:t>YEAR</w:t>
      </w:r>
      <w:r>
        <w:rPr>
          <w:rFonts w:ascii="Arial" w:cs="Arial" w:eastAsia="Arial" w:hAnsi="Arial"/>
          <w:sz w:val="16"/>
          <w:szCs w:val="16"/>
          <w:b w:val="1"/>
          <w:bCs w:val="1"/>
          <w:color w:val="000000"/>
        </w:rPr>
        <w:t xml:space="preserve"> in the relevant proxy statement)</w:t>
      </w:r>
    </w:p>
    <w:p>
      <w:pPr>
        <w:spacing w:after="0" w:line="279"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121</w:t>
      </w:r>
    </w:p>
    <w:p>
      <w:pPr>
        <w:sectPr>
          <w:pgSz w:w="11900" w:h="16838" w:orient="portrait"/>
          <w:cols w:equalWidth="0" w:num="1">
            <w:col w:w="10940"/>
          </w:cols>
          <w:pgMar w:left="320" w:top="473" w:right="6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Proposal 5 — Charter amendment to effect stock split</w:t>
      </w:r>
    </w:p>
    <w:p>
      <w:pPr>
        <w:spacing w:after="0" w:line="323" w:lineRule="exact"/>
        <w:rPr>
          <w:sz w:val="20"/>
          <w:szCs w:val="20"/>
          <w:color w:val="auto"/>
        </w:rPr>
      </w:pPr>
    </w:p>
    <w:p>
      <w:pPr>
        <w:ind w:left="320" w:right="120"/>
        <w:spacing w:after="0" w:line="276" w:lineRule="auto"/>
        <w:rPr>
          <w:sz w:val="20"/>
          <w:szCs w:val="20"/>
          <w:color w:val="auto"/>
        </w:rPr>
      </w:pPr>
      <w:r>
        <w:rPr>
          <w:rFonts w:ascii="Arial" w:cs="Arial" w:eastAsia="Arial" w:hAnsi="Arial"/>
          <w:sz w:val="29"/>
          <w:szCs w:val="29"/>
          <w:color w:val="FB4E0B"/>
        </w:rPr>
        <w:t>Proposal 5 — Approval of an Amendment to our Amended and Restated Certificate of Incorporation to effect a 5-for-1 “forward” stock split with a corresponding increase in the authorized number of shares of our common stock</w:t>
      </w:r>
    </w:p>
    <w:p>
      <w:pPr>
        <w:spacing w:after="0" w:line="236" w:lineRule="exact"/>
        <w:rPr>
          <w:sz w:val="20"/>
          <w:szCs w:val="20"/>
          <w:color w:val="auto"/>
        </w:rPr>
      </w:pPr>
    </w:p>
    <w:p>
      <w:pPr>
        <w:ind w:left="320" w:right="40"/>
        <w:spacing w:after="0" w:line="302" w:lineRule="auto"/>
        <w:rPr>
          <w:sz w:val="20"/>
          <w:szCs w:val="20"/>
          <w:color w:val="auto"/>
        </w:rPr>
      </w:pPr>
      <w:r>
        <w:rPr>
          <w:rFonts w:ascii="Arial" w:cs="Arial" w:eastAsia="Arial" w:hAnsi="Arial"/>
          <w:sz w:val="15"/>
          <w:szCs w:val="15"/>
          <w:color w:val="auto"/>
        </w:rPr>
        <w:t>The board of directors has unanimously deemed it is advisable, and in the best interests of the Company and its stockholders, to amend the Company’s Amended and Restated Certificate of Incorporation to effect a 5-for-1 split of our common stock. The trading price of our common stock has experienced significant growth over the past few years. The board of directors regularly evaluates the effect of such growth on liquidity and marketability of our common stock and believes the considerable appreciation in the trading price of our common stock makes our common stock less affordable on a per-share basis to certain of our investors and employees. The board of directors believes effecting a 5-for-1 stock split would make our shares more affordable, attract a broader group of potential investors and employees and increase liquidity in the trading of shares of our common stock.</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present, our Amended and Restated Certificate of Incorporation authorizes the issuance of up to 100,000,000 shares of common stock, par value</w:t>
      </w:r>
    </w:p>
    <w:p>
      <w:pPr>
        <w:spacing w:after="0" w:line="37" w:lineRule="exact"/>
        <w:rPr>
          <w:sz w:val="20"/>
          <w:szCs w:val="20"/>
          <w:color w:val="auto"/>
        </w:rPr>
      </w:pPr>
    </w:p>
    <w:p>
      <w:pPr>
        <w:ind w:left="320" w:right="40"/>
        <w:spacing w:after="0" w:line="260" w:lineRule="auto"/>
        <w:rPr>
          <w:sz w:val="20"/>
          <w:szCs w:val="20"/>
          <w:color w:val="auto"/>
        </w:rPr>
      </w:pPr>
      <w:r>
        <w:rPr>
          <w:rFonts w:ascii="Arial" w:cs="Arial" w:eastAsia="Arial" w:hAnsi="Arial"/>
          <w:sz w:val="17"/>
          <w:szCs w:val="17"/>
          <w:color w:val="auto"/>
        </w:rPr>
        <w:t>$0.001 per share, and 15,000,000 shares of preferred stock, par value $0.001 per share. As of March 31, 2023, 33,321,455 shares of common stock were issued and outstanding, and, of the unissued shares, approximately 792,364 shares of common stock were reserved for issuance under the Company’s 2022 Employee Stock Purchase Plan (the “ESPP”) and approximately 952,074 shares of common stock were reserved for issuance pursuant to awards under our 2018 Plan.</w:t>
      </w:r>
    </w:p>
    <w:p>
      <w:pPr>
        <w:spacing w:after="0" w:line="285" w:lineRule="exact"/>
        <w:rPr>
          <w:sz w:val="20"/>
          <w:szCs w:val="20"/>
          <w:color w:val="auto"/>
        </w:rPr>
      </w:pPr>
    </w:p>
    <w:p>
      <w:pPr>
        <w:ind w:left="320" w:right="140"/>
        <w:spacing w:after="0" w:line="263" w:lineRule="auto"/>
        <w:rPr>
          <w:sz w:val="20"/>
          <w:szCs w:val="20"/>
          <w:color w:val="auto"/>
        </w:rPr>
      </w:pPr>
      <w:r>
        <w:rPr>
          <w:rFonts w:ascii="Arial" w:cs="Arial" w:eastAsia="Arial" w:hAnsi="Arial"/>
          <w:sz w:val="17"/>
          <w:szCs w:val="17"/>
          <w:color w:val="auto"/>
        </w:rPr>
        <w:t xml:space="preserve">In April 2023, subject to approval by our stockholders, the board of directors approved an amendment to the Amended and Restated Certificate of Incorporation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attached hereto (the “Stock Split Amendment”), which upon filing would effect a 5-for-1 forward stock split of our common stock (the “Stock Split”) and increase the number of authorized shares of our common stock from 100,000,000 to 400,000,000 (the “Share Increase”). Other than this Proposal 5 and Proposal 6 below, the board of directors has not approved any other changes to the Amended and Restated Certificate of Incorporation.</w:t>
      </w:r>
    </w:p>
    <w:p>
      <w:pPr>
        <w:spacing w:after="0" w:line="282" w:lineRule="exact"/>
        <w:rPr>
          <w:sz w:val="20"/>
          <w:szCs w:val="20"/>
          <w:color w:val="auto"/>
        </w:rPr>
      </w:pPr>
    </w:p>
    <w:p>
      <w:pPr>
        <w:ind w:left="320"/>
        <w:spacing w:after="0" w:line="259" w:lineRule="auto"/>
        <w:rPr>
          <w:sz w:val="20"/>
          <w:szCs w:val="20"/>
          <w:color w:val="auto"/>
        </w:rPr>
      </w:pPr>
      <w:r>
        <w:rPr>
          <w:rFonts w:ascii="Arial" w:cs="Arial" w:eastAsia="Arial" w:hAnsi="Arial"/>
          <w:sz w:val="17"/>
          <w:szCs w:val="17"/>
          <w:color w:val="auto"/>
        </w:rPr>
        <w:t>If our stockholders approve the Stock Split Amendment, the Stock Split and Share Increase would become effective, without any further action by stockholders, upon the filing of the Stock Split Amendment with the Secretary of State of the State of Delaware, subject to the effective date set forth therein. The exact timing of the filing of the Stock Split Amendment will be determined by us based on our evaluation as to when such action will be the most advantageous to us and our stockholders. If we fail to implement the Stock Split by the next Annual Meeting of Stockholders, stockholder approval would be required again prior to implementing any stock split. However, the board of directors or, to the extent delegated, the Company’s management, reserves the right, notwithstanding stockholder approval and without any further action by our stockholders, to elect not to proceed with the Stock Split and the Share Increase if, at any time prior to filing the Stock Split Amendment, the board of directors or, to the extent delegated, the Company’s management, in its sole discretion, determines that it is no longer in our best interest and the best interests of our stockholders to proceed with the Stock Split and Share Increase.</w:t>
      </w:r>
    </w:p>
    <w:p>
      <w:pPr>
        <w:spacing w:after="0" w:line="287" w:lineRule="exact"/>
        <w:rPr>
          <w:sz w:val="20"/>
          <w:szCs w:val="20"/>
          <w:color w:val="auto"/>
        </w:rPr>
      </w:pPr>
    </w:p>
    <w:p>
      <w:pPr>
        <w:ind w:left="320" w:right="240"/>
        <w:spacing w:after="0" w:line="270" w:lineRule="auto"/>
        <w:rPr>
          <w:sz w:val="20"/>
          <w:szCs w:val="20"/>
          <w:color w:val="auto"/>
        </w:rPr>
      </w:pPr>
      <w:r>
        <w:rPr>
          <w:rFonts w:ascii="Arial" w:cs="Arial" w:eastAsia="Arial" w:hAnsi="Arial"/>
          <w:sz w:val="17"/>
          <w:szCs w:val="17"/>
          <w:color w:val="auto"/>
        </w:rPr>
        <w:t>Book-entries dated as of a date prior to the effective time of the Stock Split representing outstanding shares of common stock shall, immediately after the effective time of the stock split, represent a number of shares equal to the same number of shares of common stock as is reflected on the book-entries, multiplied by five.</w:t>
      </w:r>
    </w:p>
    <w:p>
      <w:pPr>
        <w:spacing w:after="0" w:line="88"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Proposal 5 — Charter amendment to effect stock split</w:t>
      </w:r>
    </w:p>
    <w:p>
      <w:pPr>
        <w:spacing w:after="0" w:line="343"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Following the Stock Split, if ultimately implemented, we currently estimate that we will have approximately 166,607,275 shares of common stock outstanding, based on the number of shares of common stock that were issued and outstanding as of March 31, 2023. As of March 31, 2023, we also will have a total of 3,961,820 shares of common stock reserved for issuance under the ESPP, and a total of 4,760,370 shares of common stock reserved for issuance under the 2018 Plan, which reflects an increase in the number of shares of common stock reserved for issuance under such plans based on the Stock Split ratio.</w:t>
      </w:r>
    </w:p>
    <w:p>
      <w:pPr>
        <w:spacing w:after="0" w:line="282" w:lineRule="exact"/>
        <w:rPr>
          <w:sz w:val="20"/>
          <w:szCs w:val="20"/>
          <w:color w:val="auto"/>
        </w:rPr>
      </w:pPr>
    </w:p>
    <w:p>
      <w:pPr>
        <w:ind w:left="320" w:right="40"/>
        <w:spacing w:after="0" w:line="279" w:lineRule="auto"/>
        <w:rPr>
          <w:sz w:val="20"/>
          <w:szCs w:val="20"/>
          <w:color w:val="auto"/>
        </w:rPr>
      </w:pPr>
      <w:r>
        <w:rPr>
          <w:rFonts w:ascii="Arial" w:cs="Arial" w:eastAsia="Arial" w:hAnsi="Arial"/>
          <w:sz w:val="16"/>
          <w:szCs w:val="16"/>
          <w:color w:val="auto"/>
        </w:rPr>
        <w:t>In connection with the Stock Split, we will be required to increase the number of authorized shares of our common stock so as to accommodate the increased number of shares that would be outstanding following the Stock Split, and the number of authorized but unissued shares available for issuance by the board of directors in connection with any future stock dividends or splits, grants under the ESPP, 2018 Plan or other equity compensation plans, financings, mergers or acquisitions and for other general corporate purposes, without the delay and expense associated with convening a special stockholders’ meeting or soliciting stockholders’ written consents. Aside from the shares currently reserved or to be reserved for issuance under the ESPP, the 2018 Plan, or any other equity compensation plans, the board of directors has not authorized the issuance of any additional shares of common stock, and there are no current agreements or commitments for the issuance of additional shares.</w:t>
      </w:r>
    </w:p>
    <w:p>
      <w:pPr>
        <w:spacing w:after="0" w:line="272" w:lineRule="exact"/>
        <w:rPr>
          <w:sz w:val="20"/>
          <w:szCs w:val="20"/>
          <w:color w:val="auto"/>
        </w:rPr>
      </w:pPr>
    </w:p>
    <w:p>
      <w:pPr>
        <w:ind w:left="320" w:right="20"/>
        <w:spacing w:after="0" w:line="277" w:lineRule="auto"/>
        <w:rPr>
          <w:sz w:val="20"/>
          <w:szCs w:val="20"/>
          <w:color w:val="auto"/>
        </w:rPr>
      </w:pPr>
      <w:r>
        <w:rPr>
          <w:rFonts w:ascii="Arial" w:cs="Arial" w:eastAsia="Arial" w:hAnsi="Arial"/>
          <w:sz w:val="16"/>
          <w:szCs w:val="16"/>
          <w:color w:val="auto"/>
        </w:rPr>
        <w:t>Stockholders’ current ownership of common stock will not give them automatic rights to purchase any of the additional authorized shares of common stock as a result of the Stock Split. If the Stock Split Amendment is approved, the additional authorized shares of common stock will be available for issuance from time to time at the discretion of the board of directors without further action by the stockholders, except where stockholder approval is required by Nasdaq or as otherwise provided under applicable laws. Section 5.2 of our Amended and Restated Certificate of Incorporation authorizes the board of directors, without further stockholder approval, to issue preferred stock having such designations, preferences and rights as may be determined by the board of directors. Any future issuance of additional authorized shares of common stock may, among other things, dilute the earnings per share of the common stock and the equity and voting rights of those holding common stock at the time the additional shares are issued. Issuance of shares of preferred stock would dilute the earnings per share and book value per share of existing shares of common stock. Holders of preferred stock would have such voting rights as may be provided for by law and as determined by the board of directors.</w:t>
      </w:r>
    </w:p>
    <w:p>
      <w:pPr>
        <w:spacing w:after="0" w:line="274" w:lineRule="exact"/>
        <w:rPr>
          <w:sz w:val="20"/>
          <w:szCs w:val="20"/>
          <w:color w:val="auto"/>
        </w:rPr>
      </w:pPr>
    </w:p>
    <w:p>
      <w:pPr>
        <w:ind w:left="320" w:right="80"/>
        <w:spacing w:after="0" w:line="279" w:lineRule="auto"/>
        <w:rPr>
          <w:sz w:val="20"/>
          <w:szCs w:val="20"/>
          <w:color w:val="auto"/>
        </w:rPr>
      </w:pPr>
      <w:r>
        <w:rPr>
          <w:rFonts w:ascii="Arial" w:cs="Arial" w:eastAsia="Arial" w:hAnsi="Arial"/>
          <w:sz w:val="16"/>
          <w:szCs w:val="16"/>
          <w:color w:val="auto"/>
        </w:rPr>
        <w:t>Although an increase in the authorized shares of common stock could, under certain circumstances, be construed as having an anti-takeover effect (for example, by diluting the stock ownership of a person seeking to effect a change in the composition of the board of directors or contemplating a tender offer or other transaction for the combination of our company with another company), the board of directors is not proposing to adopt the Stock Split Amendment in response to any effort to accumulate our stock or obtain control of the Company by means of a merger, tender offer or solicitation in opposition of management. Instead, the increase in authorized shares is directly related to the proposal to effect the Stock Split. The increase is less than the proportional amount that would have resulted based on the Stock Split ratio, effectively reducing amount of post-Stock Split shares authorized for issuance, but our board of directors believes this effective reduction is appropriate based on our prior and forecasted usage.</w:t>
      </w:r>
    </w:p>
    <w:p>
      <w:pPr>
        <w:spacing w:after="0" w:line="226"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123</w:t>
      </w:r>
    </w:p>
    <w:p>
      <w:pPr>
        <w:sectPr>
          <w:pgSz w:w="11900" w:h="16838" w:orient="portrait"/>
          <w:cols w:equalWidth="0" w:num="1">
            <w:col w:w="10940"/>
          </w:cols>
          <w:pgMar w:left="320" w:top="473" w:right="6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Proposal 5 — Charter amendment to effect stock split</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Required vote</w:t>
      </w:r>
    </w:p>
    <w:p>
      <w:pPr>
        <w:spacing w:after="0" w:line="117"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The approval of the Stock Split Amendment to effect the Stock Split and Share Increase requires the affirmative vote of the holders of a majority of our outstanding shares of common stock, voting together as a single class. Unless marked to the contrary, proxies received will be voted “FOR” approval of the Stock Split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208280</wp:posOffset>
            </wp:positionV>
            <wp:extent cx="4733290" cy="3632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33290" cy="3632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16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99" w:lineRule="exact"/>
        <w:rPr>
          <w:sz w:val="20"/>
          <w:szCs w:val="20"/>
          <w:color w:val="auto"/>
        </w:rPr>
      </w:pPr>
    </w:p>
    <w:p>
      <w:pPr>
        <w:ind w:left="2300" w:right="2020" w:firstLine="969"/>
        <w:spacing w:after="0" w:line="181" w:lineRule="auto"/>
        <w:rPr>
          <w:sz w:val="20"/>
          <w:szCs w:val="20"/>
          <w:color w:val="auto"/>
        </w:rPr>
      </w:pPr>
      <w:r>
        <w:rPr>
          <w:rFonts w:ascii="Arial" w:cs="Arial" w:eastAsia="Arial" w:hAnsi="Arial"/>
          <w:sz w:val="16"/>
          <w:szCs w:val="16"/>
          <w:b w:val="1"/>
          <w:bCs w:val="1"/>
          <w:color w:val="auto"/>
        </w:rPr>
        <w:t xml:space="preserve">approval of the amendment to our Amended and Restated Certificate of </w:t>
      </w:r>
      <w:r>
        <w:rPr>
          <w:rFonts w:ascii="Arial" w:cs="Arial" w:eastAsia="Arial" w:hAnsi="Arial"/>
          <w:sz w:val="50"/>
          <w:szCs w:val="50"/>
          <w:b w:val="1"/>
          <w:bCs w:val="1"/>
          <w:color w:val="FFFFFF"/>
          <w:vertAlign w:val="subscript"/>
        </w:rPr>
        <w:t>FOR</w:t>
      </w:r>
      <w:r>
        <w:rPr>
          <w:rFonts w:ascii="Arial" w:cs="Arial" w:eastAsia="Arial" w:hAnsi="Arial"/>
          <w:sz w:val="16"/>
          <w:szCs w:val="16"/>
          <w:b w:val="1"/>
          <w:bCs w:val="1"/>
          <w:color w:val="auto"/>
        </w:rPr>
        <w:t xml:space="preserve"> Incorporation to effect a 5-for-1 “forward” stock split with a corresponding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-264160</wp:posOffset>
            </wp:positionV>
            <wp:extent cx="4733290" cy="520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733290" cy="520700"/>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7"/>
          <w:szCs w:val="17"/>
          <w:b w:val="1"/>
          <w:bCs w:val="1"/>
          <w:color w:val="auto"/>
        </w:rPr>
        <w:t>increase in the authorized number of shares of our common stock</w:t>
      </w:r>
    </w:p>
    <w:p>
      <w:pPr>
        <w:spacing w:after="0" w:line="317"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60"/>
          </w:cols>
          <w:pgMar w:left="320" w:top="473" w:right="71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Proposal 6 — Charter amendment to include ability to remove directors with or without cause</w:t>
      </w:r>
    </w:p>
    <w:p>
      <w:pPr>
        <w:spacing w:after="0" w:line="323" w:lineRule="exact"/>
        <w:rPr>
          <w:sz w:val="20"/>
          <w:szCs w:val="20"/>
          <w:color w:val="auto"/>
        </w:rPr>
      </w:pPr>
    </w:p>
    <w:p>
      <w:pPr>
        <w:ind w:left="320" w:right="140"/>
        <w:spacing w:after="0" w:line="246" w:lineRule="auto"/>
        <w:rPr>
          <w:sz w:val="20"/>
          <w:szCs w:val="20"/>
          <w:color w:val="auto"/>
        </w:rPr>
      </w:pPr>
      <w:r>
        <w:rPr>
          <w:rFonts w:ascii="Arial" w:cs="Arial" w:eastAsia="Arial" w:hAnsi="Arial"/>
          <w:sz w:val="31"/>
          <w:szCs w:val="31"/>
          <w:color w:val="FB4E0B"/>
        </w:rPr>
        <w:t>Proposal 6 — Approval of an Amendment to our Amended and Restated Certificate of Incorporation to allow for the removal of directors with or without cause by the affirmative vote of holders of a majority of the total outstanding shares of common stock</w:t>
      </w:r>
    </w:p>
    <w:p>
      <w:pPr>
        <w:spacing w:after="0" w:line="276" w:lineRule="exact"/>
        <w:rPr>
          <w:sz w:val="20"/>
          <w:szCs w:val="20"/>
          <w:color w:val="auto"/>
        </w:rPr>
      </w:pPr>
    </w:p>
    <w:p>
      <w:pPr>
        <w:jc w:val="both"/>
        <w:ind w:left="320" w:right="60"/>
        <w:spacing w:after="0" w:line="270" w:lineRule="auto"/>
        <w:rPr>
          <w:sz w:val="20"/>
          <w:szCs w:val="20"/>
          <w:color w:val="auto"/>
        </w:rPr>
      </w:pPr>
      <w:r>
        <w:rPr>
          <w:rFonts w:ascii="Arial" w:cs="Arial" w:eastAsia="Arial" w:hAnsi="Arial"/>
          <w:sz w:val="17"/>
          <w:szCs w:val="17"/>
          <w:color w:val="auto"/>
        </w:rPr>
        <w:t>Under the Company’s current Amended and Restated Certificate of Incorporation, a director may be removed from office only for cause and only by the affirmative vote of at least 66 2/3% of the total voting power of the then outstanding shares of capital stock of the Company entitled to vote generally in the election of our directors, voting together as a single class.</w:t>
      </w:r>
    </w:p>
    <w:p>
      <w:pPr>
        <w:spacing w:after="0" w:line="277" w:lineRule="exact"/>
        <w:rPr>
          <w:sz w:val="20"/>
          <w:szCs w:val="20"/>
          <w:color w:val="auto"/>
        </w:rPr>
      </w:pPr>
    </w:p>
    <w:p>
      <w:pPr>
        <w:ind w:left="320" w:right="40"/>
        <w:spacing w:after="0" w:line="276" w:lineRule="auto"/>
        <w:rPr>
          <w:sz w:val="20"/>
          <w:szCs w:val="20"/>
          <w:color w:val="auto"/>
        </w:rPr>
      </w:pPr>
      <w:r>
        <w:rPr>
          <w:rFonts w:ascii="Arial" w:cs="Arial" w:eastAsia="Arial" w:hAnsi="Arial"/>
          <w:sz w:val="16"/>
          <w:szCs w:val="16"/>
          <w:color w:val="auto"/>
        </w:rPr>
        <w:t xml:space="preserve">The board of directors has unanimously determined that it is advisable, and in the best interests of the Company and its stockholders, to amend the Amended and Restated Certificate of Incorporation to allow for the removal of directors with or without cause by the affirmative vote of holders of a majority of the total outstanding shares of our common stock. The governing documents of many other companies, as well as Section 141(k) of the Delaware General Corporation Law, allow for the removal of a director with or without cause by a majority of stockholders. To be consistent with market practice, subject to approval by our stockholders, our board of directors approved an amendment to our Amended and Restated Certificate of Incorporation set forth on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attached hereto, which allows for the removal of directors with or without cause by the affirmative vote of holders of a majority of the total outstanding shares of common stock (the “Director Removal Amendment”). Other than this Proposal 6 and Proposal 5 above, the board of directors has not approved any other changes to the Amended and Restated Certificate of Incorporation. If this Proposal 6 is approved by our stockholders, the board of directors will adopt a conforming amendment to our by-laws related to the removal of directors with or without cause by the affirmative vote of holders of a majority of the total outstanding shares of common stock.</w:t>
      </w:r>
    </w:p>
    <w:p>
      <w:pPr>
        <w:spacing w:after="0" w:line="278"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If the Director Removal Amendment is approved by the requisite percentages of stockholders at the Annual Meeting, the Director Removal Amendment would become effective upon the filing and effectiveness of the Director Removal Amendment with the Secretary of State of the State of Delaware, which is expected to take place promptly following the stockholders’ approval of the Director Removal Amendment.</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Required vote</w:t>
      </w:r>
    </w:p>
    <w:p>
      <w:pPr>
        <w:spacing w:after="0" w:line="117" w:lineRule="exact"/>
        <w:rPr>
          <w:sz w:val="20"/>
          <w:szCs w:val="20"/>
          <w:color w:val="auto"/>
        </w:rPr>
      </w:pPr>
    </w:p>
    <w:p>
      <w:pPr>
        <w:ind w:left="320" w:right="200"/>
        <w:spacing w:after="0" w:line="270" w:lineRule="auto"/>
        <w:rPr>
          <w:sz w:val="20"/>
          <w:szCs w:val="20"/>
          <w:color w:val="auto"/>
        </w:rPr>
      </w:pPr>
      <w:r>
        <w:rPr>
          <w:rFonts w:ascii="Arial" w:cs="Arial" w:eastAsia="Arial" w:hAnsi="Arial"/>
          <w:sz w:val="17"/>
          <w:szCs w:val="17"/>
          <w:color w:val="auto"/>
        </w:rPr>
        <w:t>The approval of the Director Removal Amendment requires the affirmative vote of the holders of at least 66 2/3% of the voting power of the shares of the outstanding voting stock of the Company, voting together as a single class. Unless marked to the contrary, proxies received will be voted “FOR” approval of the Director Removal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208280</wp:posOffset>
            </wp:positionV>
            <wp:extent cx="4733290" cy="3632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733290" cy="3632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160"/>
        <w:spacing w:after="0"/>
        <w:rPr>
          <w:sz w:val="20"/>
          <w:szCs w:val="20"/>
          <w:color w:val="auto"/>
        </w:rPr>
      </w:pPr>
      <w:r>
        <w:rPr>
          <w:rFonts w:ascii="Arial" w:cs="Arial" w:eastAsia="Arial" w:hAnsi="Arial"/>
          <w:sz w:val="21"/>
          <w:szCs w:val="21"/>
          <w:b w:val="1"/>
          <w:bCs w:val="1"/>
          <w:color w:val="FFFFFF"/>
        </w:rPr>
        <w:t>Our board recommends that you vote:</w:t>
      </w:r>
    </w:p>
    <w:p>
      <w:pPr>
        <w:spacing w:after="0" w:line="236" w:lineRule="exact"/>
        <w:rPr>
          <w:sz w:val="20"/>
          <w:szCs w:val="20"/>
          <w:color w:val="auto"/>
        </w:rPr>
      </w:pPr>
    </w:p>
    <w:p>
      <w:pPr>
        <w:ind w:left="3260" w:right="1800"/>
        <w:spacing w:after="0" w:line="266" w:lineRule="auto"/>
        <w:rPr>
          <w:sz w:val="20"/>
          <w:szCs w:val="20"/>
          <w:color w:val="auto"/>
        </w:rPr>
      </w:pPr>
      <w:r>
        <w:rPr>
          <w:rFonts w:ascii="Arial" w:cs="Arial" w:eastAsia="Arial" w:hAnsi="Arial"/>
          <w:sz w:val="15"/>
          <w:szCs w:val="15"/>
          <w:b w:val="1"/>
          <w:bCs w:val="1"/>
          <w:color w:val="auto"/>
        </w:rPr>
        <w:t>approval of the amendment to our Amended and Restated Certificate of Incorporation to allow for the removal of directors with or without cause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-230505</wp:posOffset>
            </wp:positionV>
            <wp:extent cx="4733290" cy="6527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33290" cy="652780"/>
                    </a:xfrm>
                    <a:prstGeom prst="rect">
                      <a:avLst/>
                    </a:prstGeom>
                    <a:noFill/>
                  </pic:spPr>
                </pic:pic>
              </a:graphicData>
            </a:graphic>
          </wp:anchor>
        </w:drawing>
      </w:r>
    </w:p>
    <w:p>
      <w:pPr>
        <w:ind w:left="3260" w:right="2240" w:hanging="959"/>
        <w:spacing w:after="0" w:line="188" w:lineRule="auto"/>
        <w:tabs>
          <w:tab w:leader="none" w:pos="3240" w:val="left"/>
        </w:tabs>
        <w:rPr>
          <w:sz w:val="20"/>
          <w:szCs w:val="20"/>
          <w:color w:val="auto"/>
        </w:rPr>
      </w:pPr>
      <w:r>
        <w:rPr>
          <w:rFonts w:ascii="Arial" w:cs="Arial" w:eastAsia="Arial" w:hAnsi="Arial"/>
          <w:sz w:val="31"/>
          <w:szCs w:val="31"/>
          <w:b w:val="1"/>
          <w:bCs w:val="1"/>
          <w:color w:val="FFFFFF"/>
        </w:rPr>
        <w:t>FOR</w:t>
      </w:r>
      <w:r>
        <w:rPr>
          <w:sz w:val="20"/>
          <w:szCs w:val="20"/>
          <w:color w:val="auto"/>
        </w:rPr>
        <w:tab/>
      </w:r>
      <w:r>
        <w:rPr>
          <w:rFonts w:ascii="Arial" w:cs="Arial" w:eastAsia="Arial" w:hAnsi="Arial"/>
          <w:sz w:val="17"/>
          <w:szCs w:val="17"/>
          <w:b w:val="1"/>
          <w:bCs w:val="1"/>
          <w:color w:val="auto"/>
        </w:rPr>
        <w:t>affirmative vote of holders of a majority of the total outstanding shares of common stock</w:t>
      </w:r>
    </w:p>
    <w:p>
      <w:pPr>
        <w:spacing w:after="0" w:line="200" w:lineRule="exact"/>
        <w:rPr>
          <w:sz w:val="20"/>
          <w:szCs w:val="20"/>
          <w:color w:val="auto"/>
        </w:rPr>
      </w:pPr>
    </w:p>
    <w:p>
      <w:pPr>
        <w:spacing w:after="0" w:line="285"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125</w:t>
      </w:r>
    </w:p>
    <w:p>
      <w:pPr>
        <w:sectPr>
          <w:pgSz w:w="11900" w:h="16838" w:orient="portrait"/>
          <w:cols w:equalWidth="0" w:num="1">
            <w:col w:w="10940"/>
          </w:cols>
          <w:pgMar w:left="320" w:top="473" w:right="6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Miscellaneous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Miscellaneous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4"/>
          <w:szCs w:val="24"/>
          <w:color w:val="auto"/>
        </w:rPr>
        <w:t>Stockholder proposals and director nominations for the 2024 Annual Meeting</w:t>
      </w:r>
    </w:p>
    <w:p>
      <w:pPr>
        <w:spacing w:after="0" w:line="117" w:lineRule="exact"/>
        <w:rPr>
          <w:sz w:val="20"/>
          <w:szCs w:val="20"/>
          <w:color w:val="auto"/>
        </w:rPr>
      </w:pPr>
    </w:p>
    <w:p>
      <w:pPr>
        <w:ind w:left="320"/>
        <w:spacing w:after="0" w:line="261" w:lineRule="auto"/>
        <w:rPr>
          <w:sz w:val="20"/>
          <w:szCs w:val="20"/>
          <w:color w:val="auto"/>
        </w:rPr>
      </w:pPr>
      <w:r>
        <w:rPr>
          <w:rFonts w:ascii="Arial" w:cs="Arial" w:eastAsia="Arial" w:hAnsi="Arial"/>
          <w:sz w:val="17"/>
          <w:szCs w:val="17"/>
          <w:color w:val="auto"/>
        </w:rPr>
        <w:t>Stockholder proposals intended to be included in our proxy materials for the 2024 Annual Meeting of Stockholders (“2024 Annual Meeting”) must be received by the deadline calculated in accordance with SEC Rule 14a-8, which is 120 days before the anniversary of the date of this year’s Proxy Statement. This year’s deadline is December 30, 2023. Such proposals must include the information required by SEC rules, and should be sent in writing by courier or certified mail to the Corporate Secretary of the Company at 320 Park Avenue, 29th Floor, New York, New York 10022. Stockholder proposals that are sent to any other person or location or by any other means may not be received in a timely manner and thus may be ineligible for inclusion.</w:t>
      </w:r>
    </w:p>
    <w:p>
      <w:pPr>
        <w:spacing w:after="0" w:line="286" w:lineRule="exact"/>
        <w:rPr>
          <w:sz w:val="20"/>
          <w:szCs w:val="20"/>
          <w:color w:val="auto"/>
        </w:rPr>
      </w:pPr>
    </w:p>
    <w:p>
      <w:pPr>
        <w:ind w:left="320" w:right="120"/>
        <w:spacing w:after="0" w:line="281" w:lineRule="auto"/>
        <w:rPr>
          <w:sz w:val="20"/>
          <w:szCs w:val="20"/>
          <w:color w:val="auto"/>
        </w:rPr>
      </w:pPr>
      <w:r>
        <w:rPr>
          <w:rFonts w:ascii="Arial" w:cs="Arial" w:eastAsia="Arial" w:hAnsi="Arial"/>
          <w:sz w:val="16"/>
          <w:szCs w:val="16"/>
          <w:color w:val="auto"/>
        </w:rPr>
        <w:t>Stockholders who intend to submit proposals at the 2024 Annual Meeting but whose proposals are not included in the proxy materials for the meeting, and stockholders who intend to submit nominations for directors at the 2024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2024 Annual Meeting must be delivered between February 21, 2024 and March 22, 2024. Special notice provisions apply under the By-laws if the date of the 2024 Annual Meeting is more than 30 days before or 70 days after the anniversary date of this year’s Annual Meeting of Stockholders.</w:t>
      </w:r>
    </w:p>
    <w:p>
      <w:pPr>
        <w:spacing w:after="0" w:line="269" w:lineRule="exact"/>
        <w:rPr>
          <w:sz w:val="20"/>
          <w:szCs w:val="20"/>
          <w:color w:val="auto"/>
        </w:rPr>
      </w:pPr>
    </w:p>
    <w:p>
      <w:pPr>
        <w:ind w:left="320" w:right="40"/>
        <w:spacing w:after="0" w:line="259" w:lineRule="auto"/>
        <w:rPr>
          <w:sz w:val="20"/>
          <w:szCs w:val="20"/>
          <w:color w:val="auto"/>
        </w:rPr>
      </w:pPr>
      <w:r>
        <w:rPr>
          <w:rFonts w:ascii="Arial" w:cs="Arial" w:eastAsia="Arial" w:hAnsi="Arial"/>
          <w:sz w:val="17"/>
          <w:szCs w:val="17"/>
          <w:color w:val="auto"/>
        </w:rPr>
        <w:t>Any notice of proposed business or nomination, whether or not included in our Proxy Statement, must include the information required under our By-laws, including Section 2.11.4, in order for the matter to be eligible for consideration at the 2024 Annual Meeting. In addition, to comply with the universal proxy rules, stockholders who intend to solicit proxies in support of director nominees other than the company’s nominees must provide notice that sets forth the information required by</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Rule 14a-19 under the Exchange Act no later than April 22, 2024.</w:t>
      </w:r>
    </w:p>
    <w:p>
      <w:pPr>
        <w:spacing w:after="0" w:line="313" w:lineRule="exact"/>
        <w:rPr>
          <w:sz w:val="20"/>
          <w:szCs w:val="20"/>
          <w:color w:val="auto"/>
        </w:rPr>
      </w:pPr>
    </w:p>
    <w:p>
      <w:pPr>
        <w:jc w:val="both"/>
        <w:ind w:left="320" w:right="40"/>
        <w:spacing w:after="0" w:line="295" w:lineRule="auto"/>
        <w:rPr>
          <w:sz w:val="20"/>
          <w:szCs w:val="20"/>
          <w:color w:val="auto"/>
        </w:rPr>
      </w:pPr>
      <w:r>
        <w:rPr>
          <w:rFonts w:ascii="Arial" w:cs="Arial" w:eastAsia="Arial" w:hAnsi="Arial"/>
          <w:sz w:val="16"/>
          <w:szCs w:val="16"/>
          <w:color w:val="auto"/>
        </w:rPr>
        <w:t>The presiding officer of the 2024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Delivery of documents to stockholders sharing an address</w:t>
      </w:r>
    </w:p>
    <w:p>
      <w:pPr>
        <w:spacing w:after="0" w:line="117" w:lineRule="exact"/>
        <w:rPr>
          <w:sz w:val="20"/>
          <w:szCs w:val="20"/>
          <w:color w:val="auto"/>
        </w:rPr>
      </w:pPr>
    </w:p>
    <w:p>
      <w:pPr>
        <w:ind w:left="320" w:right="20"/>
        <w:spacing w:after="0" w:line="302" w:lineRule="auto"/>
        <w:rPr>
          <w:sz w:val="20"/>
          <w:szCs w:val="20"/>
          <w:color w:val="auto"/>
        </w:rPr>
      </w:pPr>
      <w:r>
        <w:rPr>
          <w:rFonts w:ascii="Arial" w:cs="Arial" w:eastAsia="Arial" w:hAnsi="Arial"/>
          <w:sz w:val="15"/>
          <w:szCs w:val="15"/>
          <w:color w:val="auto"/>
        </w:rPr>
        <w:t>If you are the beneficial owner, but not the record holder, of shares of our common stock, your broker, bank, trust or other nominee may only deliver one copy of this Proxy Statement and the 2022 Form 10-K, which serves as our Annual Report to Stockholders under Regulation 14A (the “2022 Annual Report”), to multiple stockholders who share an address unless that nominee has received contrary instructions from one or more of the stockholders. We will deliver promptly, upon written or oral request, a separate copy of this Proxy Statement and the 2022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the Investor Relations page</w:t>
      </w:r>
    </w:p>
    <w:p>
      <w:pPr>
        <w:spacing w:after="0" w:line="70"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126</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40"/>
          </w:cols>
          <w:pgMar w:left="320" w:top="473" w:right="6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Miscellaneous</w:t>
      </w:r>
    </w:p>
    <w:p>
      <w:pPr>
        <w:spacing w:after="0" w:line="343"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of our website at https://ir.exlservice.com/.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Electronic access to Proxy Statement and Annual Report</w:t>
      </w:r>
    </w:p>
    <w:p>
      <w:pPr>
        <w:spacing w:after="0" w:line="117" w:lineRule="exact"/>
        <w:rPr>
          <w:sz w:val="20"/>
          <w:szCs w:val="20"/>
          <w:color w:val="auto"/>
        </w:rPr>
      </w:pPr>
    </w:p>
    <w:p>
      <w:pPr>
        <w:ind w:left="320" w:right="40"/>
        <w:spacing w:after="0" w:line="261" w:lineRule="auto"/>
        <w:rPr>
          <w:sz w:val="20"/>
          <w:szCs w:val="20"/>
          <w:color w:val="auto"/>
        </w:rPr>
      </w:pPr>
      <w:r>
        <w:rPr>
          <w:rFonts w:ascii="Arial" w:cs="Arial" w:eastAsia="Arial" w:hAnsi="Arial"/>
          <w:sz w:val="17"/>
          <w:szCs w:val="17"/>
          <w:color w:val="auto"/>
        </w:rPr>
        <w:t>This proxy statement and our 2022 Annual Report may be viewed on our website at www.exlservice.com and at www.proxyvote.com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Delinquent Section 16(a) reports</w:t>
      </w:r>
    </w:p>
    <w:p>
      <w:pPr>
        <w:spacing w:after="0" w:line="117" w:lineRule="exact"/>
        <w:rPr>
          <w:sz w:val="20"/>
          <w:szCs w:val="20"/>
          <w:color w:val="auto"/>
        </w:rPr>
      </w:pPr>
    </w:p>
    <w:p>
      <w:pPr>
        <w:ind w:left="320" w:right="20"/>
        <w:spacing w:after="0" w:line="263" w:lineRule="auto"/>
        <w:rPr>
          <w:sz w:val="20"/>
          <w:szCs w:val="20"/>
          <w:color w:val="auto"/>
        </w:rPr>
      </w:pPr>
      <w:r>
        <w:rPr>
          <w:rFonts w:ascii="Arial" w:cs="Arial" w:eastAsia="Arial" w:hAnsi="Arial"/>
          <w:sz w:val="17"/>
          <w:szCs w:val="17"/>
          <w:color w:val="auto"/>
        </w:rPr>
        <w:t>Section 16(a) of the Exchange Act requires our directors, executive officers and holders of more than 10% of the Company’s common stock to file reports with the SEC regarding their ownership and changes in ownership of our securities. Based upon our examination of the copies of Forms 3, 4, and 5, and amendments thereto filed electronically with the SEC and the written representations of our reporting persons, we believe that all reports were filed on a timely basis during fiscal 2022, except that one Form 4 filing for Ms. Studenmund (disclosing a grant of restricted stock units) was filed late due to administrative error.</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24"/>
          <w:szCs w:val="24"/>
          <w:color w:val="auto"/>
        </w:rPr>
        <w:t>Forward-looking statements</w:t>
      </w:r>
    </w:p>
    <w:p>
      <w:pPr>
        <w:spacing w:after="0" w:line="117" w:lineRule="exact"/>
        <w:rPr>
          <w:sz w:val="20"/>
          <w:szCs w:val="20"/>
          <w:color w:val="auto"/>
        </w:rPr>
      </w:pPr>
    </w:p>
    <w:p>
      <w:pPr>
        <w:ind w:left="320" w:right="20"/>
        <w:spacing w:after="0" w:line="276" w:lineRule="auto"/>
        <w:rPr>
          <w:sz w:val="20"/>
          <w:szCs w:val="20"/>
          <w:color w:val="auto"/>
        </w:rPr>
      </w:pPr>
      <w:r>
        <w:rPr>
          <w:rFonts w:ascii="Arial" w:cs="Arial" w:eastAsia="Arial" w:hAnsi="Arial"/>
          <w:sz w:val="16"/>
          <w:szCs w:val="16"/>
          <w:color w:val="auto"/>
        </w:rPr>
        <w:t>This Proxy Statement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For a more detailed discussion of these factors, see the information under “Risk Factors” and “Management’s Discussion and Analysis of Financial Condition and Results of Operations” in the 2022 Form 10-K.</w:t>
      </w:r>
    </w:p>
    <w:p>
      <w:pPr>
        <w:spacing w:after="0" w:line="229"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127</w:t>
      </w:r>
    </w:p>
    <w:p>
      <w:pPr>
        <w:sectPr>
          <w:pgSz w:w="11900" w:h="16838" w:orient="portrait"/>
          <w:cols w:equalWidth="0" w:num="1">
            <w:col w:w="10940"/>
          </w:cols>
          <w:pgMar w:left="320" w:top="473" w:right="6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Annual meeting Q&amp;A</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Annual Meeting Q&amp;A</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Who is providing this Proxy Statement?</w:t>
      </w:r>
    </w:p>
    <w:p>
      <w:pPr>
        <w:spacing w:after="0" w:line="195"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This Proxy Statement is being furnished to you in connection with the solicitation by the board of directors of ExlService Holdings, Inc., a Delaware corporation (“us,” “we,” “our” or the “Company”), of proxies to be used at our 2023 Annual Meeting of Stockholders (the “Annual Meeting”) to be held in virtual format only via live audio webcast at the website www.virtualshareholdermeeting.com/EXLS2023 on June 20, 2023 at 8:30 AM, Eastern Time, and any adjournments or postponements thereof.</w:t>
      </w:r>
    </w:p>
    <w:p>
      <w:pPr>
        <w:spacing w:after="0" w:line="383" w:lineRule="exact"/>
        <w:rPr>
          <w:sz w:val="20"/>
          <w:szCs w:val="20"/>
          <w:color w:val="auto"/>
        </w:rPr>
      </w:pPr>
    </w:p>
    <w:p>
      <w:pPr>
        <w:ind w:left="320"/>
        <w:spacing w:after="0"/>
        <w:rPr>
          <w:sz w:val="20"/>
          <w:szCs w:val="20"/>
          <w:color w:val="auto"/>
        </w:rPr>
      </w:pPr>
      <w:r>
        <w:rPr>
          <w:rFonts w:ascii="Arial" w:cs="Arial" w:eastAsia="Arial" w:hAnsi="Arial"/>
          <w:sz w:val="24"/>
          <w:szCs w:val="24"/>
          <w:color w:val="auto"/>
        </w:rPr>
        <w:t>How are the proxy materials being made available?</w:t>
      </w:r>
    </w:p>
    <w:p>
      <w:pPr>
        <w:spacing w:after="0" w:line="182" w:lineRule="exact"/>
        <w:rPr>
          <w:sz w:val="20"/>
          <w:szCs w:val="20"/>
          <w:color w:val="auto"/>
        </w:rPr>
      </w:pPr>
    </w:p>
    <w:p>
      <w:pPr>
        <w:ind w:left="320" w:right="40"/>
        <w:spacing w:after="0" w:line="302" w:lineRule="auto"/>
        <w:rPr>
          <w:sz w:val="20"/>
          <w:szCs w:val="20"/>
          <w:color w:val="auto"/>
        </w:rPr>
      </w:pPr>
      <w:r>
        <w:rPr>
          <w:rFonts w:ascii="Arial" w:cs="Arial" w:eastAsia="Arial" w:hAnsi="Arial"/>
          <w:sz w:val="15"/>
          <w:szCs w:val="15"/>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259" w:lineRule="exact"/>
        <w:rPr>
          <w:sz w:val="20"/>
          <w:szCs w:val="20"/>
          <w:color w:val="auto"/>
        </w:rPr>
      </w:pPr>
    </w:p>
    <w:p>
      <w:pPr>
        <w:jc w:val="both"/>
        <w:ind w:left="320" w:right="60"/>
        <w:spacing w:after="0" w:line="286" w:lineRule="auto"/>
        <w:rPr>
          <w:sz w:val="20"/>
          <w:szCs w:val="20"/>
          <w:color w:val="auto"/>
        </w:rPr>
      </w:pPr>
      <w:r>
        <w:rPr>
          <w:rFonts w:ascii="Arial" w:cs="Arial" w:eastAsia="Arial" w:hAnsi="Arial"/>
          <w:sz w:val="17"/>
          <w:szCs w:val="17"/>
          <w:color w:val="auto"/>
        </w:rPr>
        <w:t>Our Notice of Annual Meeting, Proxy Statement and form of proxy card are each available at www.proxyvote.com. You may access these materials and provide your proxy by following the instructions provided in the Internet Notice.</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When will the internet notice be sent?</w:t>
      </w:r>
    </w:p>
    <w:p>
      <w:pPr>
        <w:spacing w:after="0" w:line="182" w:lineRule="exact"/>
        <w:rPr>
          <w:sz w:val="20"/>
          <w:szCs w:val="20"/>
          <w:color w:val="auto"/>
        </w:rPr>
      </w:pPr>
    </w:p>
    <w:p>
      <w:pPr>
        <w:ind w:left="320" w:right="320"/>
        <w:spacing w:after="0" w:line="319" w:lineRule="auto"/>
        <w:rPr>
          <w:sz w:val="20"/>
          <w:szCs w:val="20"/>
          <w:color w:val="auto"/>
        </w:rPr>
      </w:pPr>
      <w:r>
        <w:rPr>
          <w:rFonts w:ascii="Arial" w:cs="Arial" w:eastAsia="Arial" w:hAnsi="Arial"/>
          <w:sz w:val="16"/>
          <w:szCs w:val="16"/>
          <w:color w:val="auto"/>
        </w:rPr>
        <w:t>We anticipate the Internet Notice will be sent to stockholders on or about April 28, 2023. This Proxy Statement and the form of proxy relating to the Annual Meeting will be made available via the Internet to stockholders on or prior to the date that the Internet Notice is first sent.</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Who can vote?</w:t>
      </w:r>
    </w:p>
    <w:p>
      <w:pPr>
        <w:spacing w:after="0" w:line="195" w:lineRule="exact"/>
        <w:rPr>
          <w:sz w:val="20"/>
          <w:szCs w:val="20"/>
          <w:color w:val="auto"/>
        </w:rPr>
      </w:pPr>
    </w:p>
    <w:p>
      <w:pPr>
        <w:jc w:val="both"/>
        <w:ind w:left="320" w:right="40"/>
        <w:spacing w:after="0" w:line="295" w:lineRule="auto"/>
        <w:rPr>
          <w:sz w:val="20"/>
          <w:szCs w:val="20"/>
          <w:color w:val="auto"/>
        </w:rPr>
      </w:pPr>
      <w:r>
        <w:rPr>
          <w:rFonts w:ascii="Arial" w:cs="Arial" w:eastAsia="Arial" w:hAnsi="Arial"/>
          <w:sz w:val="16"/>
          <w:szCs w:val="16"/>
          <w:color w:val="auto"/>
        </w:rPr>
        <w:t>Only stockholders who own shares of our common stock at the close of business on April 21, 2023, the record date for the Annual Meeting, can vote at the Annual Meeting. As of the close of business on April 21, 2023, the record date, we had 33,255,209 shares of common stock outstanding and entitled to vote. Each holder of common stock is entitled to one vote for each share held as of the record date for the Annual Meeting.</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24"/>
          <w:szCs w:val="24"/>
          <w:color w:val="auto"/>
        </w:rPr>
        <w:t>Is cumulative voting applicable in the election of directors?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is no cumulative voting in the election of directors.</w:t>
      </w:r>
    </w:p>
    <w:p>
      <w:pPr>
        <w:spacing w:after="0" w:line="136"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128</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Annual meeting Q&amp;A</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How do I vote my shares?</w:t>
      </w:r>
    </w:p>
    <w:p>
      <w:pPr>
        <w:spacing w:after="0" w:line="195" w:lineRule="exact"/>
        <w:rPr>
          <w:sz w:val="20"/>
          <w:szCs w:val="20"/>
          <w:color w:val="auto"/>
        </w:rPr>
      </w:pPr>
    </w:p>
    <w:p>
      <w:pPr>
        <w:ind w:left="320" w:right="60"/>
        <w:spacing w:after="0" w:line="265" w:lineRule="auto"/>
        <w:rPr>
          <w:sz w:val="20"/>
          <w:szCs w:val="20"/>
          <w:color w:val="auto"/>
        </w:rPr>
      </w:pPr>
      <w:r>
        <w:rPr>
          <w:rFonts w:ascii="Arial" w:cs="Arial" w:eastAsia="Arial" w:hAnsi="Arial"/>
          <w:sz w:val="17"/>
          <w:szCs w:val="17"/>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w:t>
      </w:r>
    </w:p>
    <w:p>
      <w:pPr>
        <w:spacing w:after="0" w:line="281" w:lineRule="exact"/>
        <w:rPr>
          <w:sz w:val="20"/>
          <w:szCs w:val="20"/>
          <w:color w:val="auto"/>
        </w:rPr>
      </w:pPr>
    </w:p>
    <w:p>
      <w:pPr>
        <w:ind w:left="320" w:right="160"/>
        <w:spacing w:after="0" w:line="263" w:lineRule="auto"/>
        <w:rPr>
          <w:sz w:val="20"/>
          <w:szCs w:val="20"/>
          <w:color w:val="auto"/>
        </w:rPr>
      </w:pPr>
      <w:r>
        <w:rPr>
          <w:rFonts w:ascii="Arial" w:cs="Arial" w:eastAsia="Arial" w:hAnsi="Arial"/>
          <w:sz w:val="17"/>
          <w:szCs w:val="17"/>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19, 2023.</w:t>
      </w:r>
    </w:p>
    <w:p>
      <w:pPr>
        <w:spacing w:after="0" w:line="282" w:lineRule="exact"/>
        <w:rPr>
          <w:sz w:val="20"/>
          <w:szCs w:val="20"/>
          <w:color w:val="auto"/>
        </w:rPr>
      </w:pPr>
    </w:p>
    <w:p>
      <w:pPr>
        <w:ind w:left="320" w:right="20"/>
        <w:spacing w:after="0" w:line="265" w:lineRule="auto"/>
        <w:rPr>
          <w:sz w:val="20"/>
          <w:szCs w:val="20"/>
          <w:color w:val="auto"/>
        </w:rPr>
      </w:pPr>
      <w:r>
        <w:rPr>
          <w:rFonts w:ascii="Arial" w:cs="Arial" w:eastAsia="Arial" w:hAnsi="Arial"/>
          <w:sz w:val="17"/>
          <w:szCs w:val="17"/>
          <w:color w:val="auto"/>
        </w:rPr>
        <w:t>You also have the right to vote electronically at the Annual Meeting if you decide to attend. Our board of directors recommends that you vote by Internet, phone or mail even if you choose to attend the Annual Meeting. If you are a “stockholder of record,” you may vote your shares electronically at the Annual Meeting. If you hold your shares in “street name,” you must obtain a proxy from your broker, bank, trustee or nominee giving you the right to vote the shares electronically at the Annual Meeting or your vote at the Annual Meeting will not be counted.</w:t>
      </w:r>
    </w:p>
    <w:p>
      <w:pPr>
        <w:spacing w:after="0" w:line="281" w:lineRule="exact"/>
        <w:rPr>
          <w:sz w:val="20"/>
          <w:szCs w:val="20"/>
          <w:color w:val="auto"/>
        </w:rPr>
      </w:pPr>
    </w:p>
    <w:p>
      <w:pPr>
        <w:ind w:left="320" w:right="40"/>
        <w:spacing w:after="0" w:line="286" w:lineRule="auto"/>
        <w:rPr>
          <w:sz w:val="20"/>
          <w:szCs w:val="20"/>
          <w:color w:val="auto"/>
        </w:rPr>
      </w:pPr>
      <w:r>
        <w:rPr>
          <w:rFonts w:ascii="Arial" w:cs="Arial" w:eastAsia="Arial" w:hAnsi="Arial"/>
          <w:sz w:val="17"/>
          <w:szCs w:val="17"/>
          <w:color w:val="auto"/>
        </w:rPr>
        <w:t>You will not be able to vote your shares unless you use one of the methods described above to designate a proxy or you vote electronically at the Annual Meeting.</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Can I revoke my proxy?</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 can revoke your proxy at any time before it is exercised in any of the following ways:</w:t>
      </w:r>
    </w:p>
    <w:p>
      <w:pPr>
        <w:spacing w:after="0" w:line="364" w:lineRule="exact"/>
        <w:rPr>
          <w:sz w:val="20"/>
          <w:szCs w:val="20"/>
          <w:color w:val="auto"/>
        </w:rPr>
      </w:pPr>
    </w:p>
    <w:p>
      <w:pPr>
        <w:ind w:left="1140" w:hanging="407"/>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voting at the Annual Meeting;</w:t>
      </w:r>
    </w:p>
    <w:p>
      <w:pPr>
        <w:spacing w:after="0" w:line="25" w:lineRule="exact"/>
        <w:rPr>
          <w:rFonts w:ascii="Arial" w:cs="Arial" w:eastAsia="Arial" w:hAnsi="Arial"/>
          <w:sz w:val="17"/>
          <w:szCs w:val="17"/>
          <w:color w:val="auto"/>
        </w:rPr>
      </w:pPr>
    </w:p>
    <w:p>
      <w:pPr>
        <w:ind w:left="1140" w:hanging="407"/>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submitting written notice of revocation to the inspector of elections prior to the Annual Meeting; or</w:t>
      </w:r>
    </w:p>
    <w:p>
      <w:pPr>
        <w:spacing w:after="0" w:line="12" w:lineRule="exact"/>
        <w:rPr>
          <w:rFonts w:ascii="Arial" w:cs="Arial" w:eastAsia="Arial" w:hAnsi="Arial"/>
          <w:sz w:val="17"/>
          <w:szCs w:val="17"/>
          <w:color w:val="auto"/>
        </w:rPr>
      </w:pPr>
    </w:p>
    <w:p>
      <w:pPr>
        <w:ind w:left="1140" w:hanging="407"/>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submitting another properly executed proxy of a later date to the inspector of elections prior to the Annual Meeting.</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How is a quorum established at the Annual Meeting?</w:t>
      </w:r>
    </w:p>
    <w:p>
      <w:pPr>
        <w:spacing w:after="0" w:line="182" w:lineRule="exact"/>
        <w:rPr>
          <w:sz w:val="20"/>
          <w:szCs w:val="20"/>
          <w:color w:val="auto"/>
        </w:rPr>
      </w:pPr>
    </w:p>
    <w:p>
      <w:pPr>
        <w:ind w:left="320" w:right="200"/>
        <w:spacing w:after="0" w:line="283" w:lineRule="auto"/>
        <w:rPr>
          <w:sz w:val="20"/>
          <w:szCs w:val="20"/>
          <w:color w:val="auto"/>
        </w:rPr>
      </w:pPr>
      <w:r>
        <w:rPr>
          <w:rFonts w:ascii="Arial" w:cs="Arial" w:eastAsia="Arial" w:hAnsi="Arial"/>
          <w:sz w:val="16"/>
          <w:szCs w:val="16"/>
          <w:color w:val="auto"/>
        </w:rPr>
        <w:t>A quorum, which is a majority of the issued and outstanding shares of our common stock as of the record date of April 21, 2023,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 Virtual attendance at our Annual Meeting constitutes presence in person for purposes of quorum at the Annual Meeting.</w:t>
      </w:r>
    </w:p>
    <w:p>
      <w:pPr>
        <w:spacing w:after="0" w:line="223"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129</w:t>
      </w:r>
    </w:p>
    <w:p>
      <w:pPr>
        <w:sectPr>
          <w:pgSz w:w="11900" w:h="16838" w:orient="portrait"/>
          <w:cols w:equalWidth="0" w:num="1">
            <w:col w:w="10940"/>
          </w:cols>
          <w:pgMar w:left="320" w:top="473" w:right="6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Annual meeting Q&amp;A</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What is a “broker non-vote”?</w:t>
      </w:r>
    </w:p>
    <w:p>
      <w:pPr>
        <w:spacing w:after="0" w:line="195" w:lineRule="exact"/>
        <w:rPr>
          <w:sz w:val="20"/>
          <w:szCs w:val="20"/>
          <w:color w:val="auto"/>
        </w:rPr>
      </w:pPr>
    </w:p>
    <w:p>
      <w:pPr>
        <w:ind w:left="320"/>
        <w:spacing w:after="0" w:line="263" w:lineRule="auto"/>
        <w:rPr>
          <w:sz w:val="20"/>
          <w:szCs w:val="20"/>
          <w:color w:val="auto"/>
        </w:rPr>
      </w:pPr>
      <w:r>
        <w:rPr>
          <w:rFonts w:ascii="Arial" w:cs="Arial" w:eastAsia="Arial" w:hAnsi="Arial"/>
          <w:sz w:val="17"/>
          <w:szCs w:val="17"/>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vote your shares on “non-routine” proposals as described below. As a result, a “broker non-vote” occurs. However, without your instructions, your broker has discretionary authority to vote your shares with respect to “routine” proposals only.</w:t>
      </w:r>
    </w:p>
    <w:p>
      <w:pPr>
        <w:spacing w:after="0" w:line="383" w:lineRule="exact"/>
        <w:rPr>
          <w:sz w:val="20"/>
          <w:szCs w:val="20"/>
          <w:color w:val="auto"/>
        </w:rPr>
      </w:pPr>
    </w:p>
    <w:p>
      <w:pPr>
        <w:ind w:left="320" w:right="440"/>
        <w:spacing w:after="0" w:line="276" w:lineRule="auto"/>
        <w:rPr>
          <w:sz w:val="20"/>
          <w:szCs w:val="20"/>
          <w:color w:val="auto"/>
        </w:rPr>
      </w:pPr>
      <w:r>
        <w:rPr>
          <w:rFonts w:ascii="Arial" w:cs="Arial" w:eastAsia="Arial" w:hAnsi="Arial"/>
          <w:sz w:val="24"/>
          <w:szCs w:val="24"/>
          <w:color w:val="auto"/>
        </w:rPr>
        <w:t>How many votes are needed to approve each proposal and what is the effect of abstentions and/or broker non-votes?</w:t>
      </w:r>
    </w:p>
    <w:p>
      <w:pPr>
        <w:spacing w:after="0" w:line="110" w:lineRule="exact"/>
        <w:rPr>
          <w:sz w:val="20"/>
          <w:szCs w:val="20"/>
          <w:color w:val="auto"/>
        </w:rPr>
      </w:pPr>
    </w:p>
    <w:p>
      <w:pPr>
        <w:ind w:left="320" w:right="40"/>
        <w:spacing w:after="0" w:line="279" w:lineRule="auto"/>
        <w:rPr>
          <w:sz w:val="20"/>
          <w:szCs w:val="20"/>
          <w:color w:val="auto"/>
        </w:rPr>
      </w:pPr>
      <w:r>
        <w:rPr>
          <w:rFonts w:ascii="Arial" w:cs="Arial" w:eastAsia="Arial" w:hAnsi="Arial"/>
          <w:sz w:val="16"/>
          <w:szCs w:val="16"/>
          <w:color w:val="auto"/>
        </w:rPr>
        <w:t>If you submit your proxy, but do not mark your voting preference, the proxy holders will vote your shares (i) FOR the election of all seven nominees for director, (ii) FOR the ratification of the appointment of our independent registered public accounting firm, (iii) FOR the approval on an advisory (non-binding) basis of the compensation of our named executive officers, (iv) EVERY YEAR on the determination of the frequency of the vote to approve the compensation of the named executive officers of the Company, (v) FOR the approval of the amendment to our Amended and Restated Certificate of Incorporation effecting the Stock Split (and a corresponding increase in the authorized shares), (vi) FOR the amendment to our Amended and Restated Certificate of Incorporation to allow removal of directors with or without cause and (vii) as described below, in the judgment of the proxy holder on any other matters properly presented at the Annual Meeting.</w:t>
      </w:r>
    </w:p>
    <w:p>
      <w:pPr>
        <w:spacing w:after="0" w:line="83"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130</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D8D8D8"/>
        </w:rPr>
        <w:t>Annual meeting Q&amp;A</w:t>
      </w:r>
    </w:p>
    <w:p>
      <w:pPr>
        <w:spacing w:after="0" w:line="366" w:lineRule="exact"/>
        <w:rPr>
          <w:sz w:val="20"/>
          <w:szCs w:val="20"/>
          <w:color w:val="auto"/>
        </w:rPr>
      </w:pPr>
    </w:p>
    <w:p>
      <w:pPr>
        <w:ind w:left="320" w:right="80"/>
        <w:spacing w:after="0" w:line="270" w:lineRule="auto"/>
        <w:rPr>
          <w:sz w:val="20"/>
          <w:szCs w:val="20"/>
          <w:color w:val="auto"/>
        </w:rPr>
      </w:pPr>
      <w:r>
        <w:rPr>
          <w:rFonts w:ascii="Arial" w:cs="Arial" w:eastAsia="Arial" w:hAnsi="Arial"/>
          <w:sz w:val="17"/>
          <w:szCs w:val="17"/>
          <w:color w:val="auto"/>
        </w:rPr>
        <w:t>The chart below summarizes, for each proposal described in this Proxy Statement, the Board’s voting recommendation, the voting approval standard, and the effect of abstentions and broker non-votes. Virtual attendance at our Annual Meeting will constitute presence “in person” for purposes of voting at the Annual Meeting.</w:t>
      </w:r>
    </w:p>
    <w:p>
      <w:pPr>
        <w:spacing w:after="0" w:line="310"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vMerge w:val="restart"/>
          </w:tcPr>
          <w:p>
            <w:pPr>
              <w:jc w:val="center"/>
              <w:spacing w:after="0"/>
              <w:rPr>
                <w:sz w:val="20"/>
                <w:szCs w:val="20"/>
                <w:color w:val="auto"/>
              </w:rPr>
            </w:pPr>
            <w:r>
              <w:rPr>
                <w:rFonts w:ascii="Arial" w:cs="Arial" w:eastAsia="Arial" w:hAnsi="Arial"/>
                <w:sz w:val="17"/>
                <w:szCs w:val="17"/>
                <w:b w:val="1"/>
                <w:bCs w:val="1"/>
                <w:color w:val="FB4E0B"/>
                <w:w w:val="91"/>
              </w:rPr>
              <w:t>Voting approval</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FB4E0B"/>
                <w:w w:val="94"/>
              </w:rPr>
              <w:t>Effect of</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7"/>
                <w:szCs w:val="17"/>
                <w:b w:val="1"/>
                <w:bCs w:val="1"/>
                <w:color w:val="FB4E0B"/>
                <w:w w:val="91"/>
              </w:rPr>
              <w:t>Board voting</w:t>
            </w:r>
          </w:p>
        </w:tc>
        <w:tc>
          <w:tcPr>
            <w:tcW w:w="178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FB4E0B"/>
                <w:w w:val="94"/>
              </w:rPr>
              <w:t>Effect of</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FB4E0B"/>
                <w:w w:val="91"/>
              </w:rPr>
              <w:t>Routine or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FB4E0B"/>
                <w:w w:val="93"/>
              </w:rPr>
              <w:t>broker non-</w:t>
            </w:r>
          </w:p>
        </w:tc>
        <w:tc>
          <w:tcPr>
            <w:tcW w:w="0" w:type="dxa"/>
            <w:vAlign w:val="bottom"/>
          </w:tcPr>
          <w:p>
            <w:pPr>
              <w:spacing w:after="0"/>
              <w:rPr>
                <w:sz w:val="1"/>
                <w:szCs w:val="1"/>
                <w:color w:val="auto"/>
              </w:rPr>
            </w:pPr>
          </w:p>
        </w:tc>
      </w:tr>
      <w:tr>
        <w:trPr>
          <w:trHeight w:val="350"/>
        </w:trPr>
        <w:tc>
          <w:tcPr>
            <w:tcW w:w="3940" w:type="dxa"/>
            <w:vAlign w:val="bottom"/>
            <w:tcBorders>
              <w:bottom w:val="single" w:sz="8" w:color="FB4E0B"/>
            </w:tcBorders>
          </w:tcPr>
          <w:p>
            <w:pPr>
              <w:ind w:left="100"/>
              <w:spacing w:after="0"/>
              <w:rPr>
                <w:sz w:val="20"/>
                <w:szCs w:val="20"/>
                <w:color w:val="auto"/>
              </w:rPr>
            </w:pPr>
            <w:r>
              <w:rPr>
                <w:rFonts w:ascii="Arial" w:cs="Arial" w:eastAsia="Arial" w:hAnsi="Arial"/>
                <w:sz w:val="17"/>
                <w:szCs w:val="17"/>
                <w:b w:val="1"/>
                <w:bCs w:val="1"/>
                <w:color w:val="FB4E0B"/>
              </w:rPr>
              <w:t>Proposal</w:t>
            </w:r>
          </w:p>
        </w:tc>
        <w:tc>
          <w:tcPr>
            <w:tcW w:w="144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90"/>
              </w:rPr>
              <w:t>recommendation</w:t>
            </w:r>
          </w:p>
        </w:tc>
        <w:tc>
          <w:tcPr>
            <w:tcW w:w="178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91"/>
              </w:rPr>
              <w:t>standard</w:t>
            </w:r>
          </w:p>
        </w:tc>
        <w:tc>
          <w:tcPr>
            <w:tcW w:w="124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85"/>
              </w:rPr>
              <w:t>abstentions</w:t>
            </w:r>
            <w:r>
              <w:rPr>
                <w:rFonts w:ascii="Arial" w:cs="Arial" w:eastAsia="Arial" w:hAnsi="Arial"/>
                <w:sz w:val="26"/>
                <w:szCs w:val="26"/>
                <w:b w:val="1"/>
                <w:bCs w:val="1"/>
                <w:color w:val="FB4E0B"/>
                <w:w w:val="85"/>
                <w:vertAlign w:val="superscript"/>
              </w:rPr>
              <w:t>(1)</w:t>
            </w:r>
          </w:p>
        </w:tc>
        <w:tc>
          <w:tcPr>
            <w:tcW w:w="120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91"/>
              </w:rPr>
              <w:t>non-routine</w:t>
            </w:r>
          </w:p>
        </w:tc>
        <w:tc>
          <w:tcPr>
            <w:tcW w:w="1020" w:type="dxa"/>
            <w:vAlign w:val="bottom"/>
            <w:tcBorders>
              <w:bottom w:val="single" w:sz="8" w:color="FB4E0B"/>
            </w:tcBorders>
          </w:tcPr>
          <w:p>
            <w:pPr>
              <w:jc w:val="center"/>
              <w:spacing w:after="0"/>
              <w:rPr>
                <w:sz w:val="20"/>
                <w:szCs w:val="20"/>
                <w:color w:val="auto"/>
              </w:rPr>
            </w:pPr>
            <w:r>
              <w:rPr>
                <w:rFonts w:ascii="Arial" w:cs="Arial" w:eastAsia="Arial" w:hAnsi="Arial"/>
                <w:sz w:val="17"/>
                <w:szCs w:val="17"/>
                <w:b w:val="1"/>
                <w:bCs w:val="1"/>
                <w:color w:val="FB4E0B"/>
                <w:w w:val="81"/>
              </w:rPr>
              <w:t>vote</w:t>
            </w:r>
            <w:r>
              <w:rPr>
                <w:rFonts w:ascii="Arial" w:cs="Arial" w:eastAsia="Arial" w:hAnsi="Arial"/>
                <w:sz w:val="26"/>
                <w:szCs w:val="26"/>
                <w:b w:val="1"/>
                <w:bCs w:val="1"/>
                <w:color w:val="FB4E0B"/>
                <w:w w:val="81"/>
                <w:vertAlign w:val="superscript"/>
              </w:rPr>
              <w:t>(2)</w:t>
            </w:r>
          </w:p>
        </w:tc>
        <w:tc>
          <w:tcPr>
            <w:tcW w:w="0" w:type="dxa"/>
            <w:vAlign w:val="bottom"/>
          </w:tcPr>
          <w:p>
            <w:pPr>
              <w:spacing w:after="0"/>
              <w:rPr>
                <w:sz w:val="1"/>
                <w:szCs w:val="1"/>
                <w:color w:val="auto"/>
              </w:rPr>
            </w:pPr>
          </w:p>
        </w:tc>
      </w:tr>
      <w:tr>
        <w:trPr>
          <w:trHeight w:val="24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 Election of directors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 xml:space="preserve">FOR </w:t>
            </w:r>
            <w:r>
              <w:rPr>
                <w:rFonts w:ascii="Arial" w:cs="Arial" w:eastAsia="Arial" w:hAnsi="Arial"/>
                <w:sz w:val="17"/>
                <w:szCs w:val="17"/>
                <w:color w:val="auto"/>
                <w:w w:val="94"/>
              </w:rPr>
              <w:t>the election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Affirmative vote of a</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No effect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Non-routine</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No effect</w:t>
            </w:r>
          </w:p>
        </w:tc>
        <w:tc>
          <w:tcPr>
            <w:tcW w:w="0" w:type="dxa"/>
            <w:vAlign w:val="bottom"/>
          </w:tcPr>
          <w:p>
            <w:pPr>
              <w:spacing w:after="0"/>
              <w:rPr>
                <w:sz w:val="1"/>
                <w:szCs w:val="1"/>
                <w:color w:val="auto"/>
              </w:rPr>
            </w:pPr>
          </w:p>
        </w:tc>
      </w:tr>
      <w:tr>
        <w:trPr>
          <w:trHeight w:val="325"/>
        </w:trPr>
        <w:tc>
          <w:tcPr>
            <w:tcW w:w="39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of each nominee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majority of votes cast</w:t>
            </w:r>
            <w:r>
              <w:rPr>
                <w:rFonts w:ascii="Arial" w:cs="Arial" w:eastAsia="Arial" w:hAnsi="Arial"/>
                <w:sz w:val="26"/>
                <w:szCs w:val="26"/>
                <w:color w:val="auto"/>
                <w:w w:val="91"/>
                <w:vertAlign w:val="superscript"/>
              </w:rPr>
              <w:t>(3)</w:t>
            </w:r>
          </w:p>
        </w:tc>
        <w:tc>
          <w:tcPr>
            <w:tcW w:w="12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 The ratification of the appointment of our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FOR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Majority of shares</w:t>
            </w:r>
          </w:p>
        </w:tc>
        <w:tc>
          <w:tcPr>
            <w:tcW w:w="1240" w:type="dxa"/>
            <w:vAlign w:val="bottom"/>
            <w:tcBorders>
              <w:right w:val="single" w:sz="8" w:color="auto"/>
            </w:tcBorders>
          </w:tcPr>
          <w:p>
            <w:pPr>
              <w:jc w:val="center"/>
              <w:spacing w:after="0" w:line="241" w:lineRule="exact"/>
              <w:rPr>
                <w:sz w:val="20"/>
                <w:szCs w:val="20"/>
                <w:color w:val="auto"/>
              </w:rPr>
            </w:pPr>
            <w:r>
              <w:rPr>
                <w:rFonts w:ascii="Arial" w:cs="Arial" w:eastAsia="Arial" w:hAnsi="Arial"/>
                <w:sz w:val="17"/>
                <w:szCs w:val="17"/>
                <w:color w:val="auto"/>
                <w:w w:val="86"/>
              </w:rPr>
              <w:t>Vote against</w:t>
            </w:r>
            <w:r>
              <w:rPr>
                <w:rFonts w:ascii="Arial" w:cs="Arial" w:eastAsia="Arial" w:hAnsi="Arial"/>
                <w:sz w:val="26"/>
                <w:szCs w:val="26"/>
                <w:color w:val="auto"/>
                <w:w w:val="86"/>
                <w:vertAlign w:val="superscript"/>
              </w:rPr>
              <w:t>(4)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Routine</w:t>
            </w:r>
          </w:p>
        </w:tc>
        <w:tc>
          <w:tcPr>
            <w:tcW w:w="102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independent registered public accounting firm</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present and entitled to</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vote</w:t>
            </w:r>
          </w:p>
        </w:tc>
        <w:tc>
          <w:tcPr>
            <w:tcW w:w="12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9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3: The advisory (non-binding) approval of the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FOR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Majority of shares</w:t>
            </w:r>
          </w:p>
        </w:tc>
        <w:tc>
          <w:tcPr>
            <w:tcW w:w="1240" w:type="dxa"/>
            <w:vAlign w:val="bottom"/>
            <w:tcBorders>
              <w:right w:val="single" w:sz="8" w:color="auto"/>
            </w:tcBorders>
          </w:tcPr>
          <w:p>
            <w:pPr>
              <w:jc w:val="center"/>
              <w:spacing w:after="0" w:line="241" w:lineRule="exact"/>
              <w:rPr>
                <w:sz w:val="20"/>
                <w:szCs w:val="20"/>
                <w:color w:val="auto"/>
              </w:rPr>
            </w:pPr>
            <w:r>
              <w:rPr>
                <w:rFonts w:ascii="Arial" w:cs="Arial" w:eastAsia="Arial" w:hAnsi="Arial"/>
                <w:sz w:val="17"/>
                <w:szCs w:val="17"/>
                <w:color w:val="auto"/>
                <w:w w:val="86"/>
              </w:rPr>
              <w:t>Vote against</w:t>
            </w:r>
            <w:r>
              <w:rPr>
                <w:rFonts w:ascii="Arial" w:cs="Arial" w:eastAsia="Arial" w:hAnsi="Arial"/>
                <w:sz w:val="26"/>
                <w:szCs w:val="26"/>
                <w:color w:val="auto"/>
                <w:w w:val="86"/>
                <w:vertAlign w:val="superscript"/>
              </w:rPr>
              <w:t>(4)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Non-routine</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No effect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compensation of our named executive officers</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present and entitled to</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vote</w:t>
            </w:r>
          </w:p>
        </w:tc>
        <w:tc>
          <w:tcPr>
            <w:tcW w:w="12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9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7"/>
              </w:rPr>
              <w:t>4: The advisory (non-binding) vote on the frequency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EVERY YEAR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Majority of shares</w:t>
            </w:r>
          </w:p>
        </w:tc>
        <w:tc>
          <w:tcPr>
            <w:tcW w:w="1240" w:type="dxa"/>
            <w:vAlign w:val="bottom"/>
            <w:tcBorders>
              <w:right w:val="single" w:sz="8" w:color="auto"/>
            </w:tcBorders>
          </w:tcPr>
          <w:p>
            <w:pPr>
              <w:jc w:val="center"/>
              <w:spacing w:after="0" w:line="241" w:lineRule="exact"/>
              <w:rPr>
                <w:sz w:val="20"/>
                <w:szCs w:val="20"/>
                <w:color w:val="auto"/>
              </w:rPr>
            </w:pPr>
            <w:r>
              <w:rPr>
                <w:rFonts w:ascii="Arial" w:cs="Arial" w:eastAsia="Arial" w:hAnsi="Arial"/>
                <w:sz w:val="17"/>
                <w:szCs w:val="17"/>
                <w:color w:val="auto"/>
                <w:w w:val="86"/>
              </w:rPr>
              <w:t>Vote against</w:t>
            </w:r>
            <w:r>
              <w:rPr>
                <w:rFonts w:ascii="Arial" w:cs="Arial" w:eastAsia="Arial" w:hAnsi="Arial"/>
                <w:sz w:val="26"/>
                <w:szCs w:val="26"/>
                <w:color w:val="auto"/>
                <w:w w:val="86"/>
                <w:vertAlign w:val="superscript"/>
              </w:rPr>
              <w:t>(4)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Non-routine</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No effect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the say-on-pay vote</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present and entitled to</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vote</w:t>
            </w:r>
          </w:p>
        </w:tc>
        <w:tc>
          <w:tcPr>
            <w:tcW w:w="12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9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1"/>
              </w:rPr>
              <w:t>5: The approval of an amendment to our Amended and</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FOR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Affirmative vote of a</w:t>
            </w:r>
          </w:p>
        </w:tc>
        <w:tc>
          <w:tcPr>
            <w:tcW w:w="1240" w:type="dxa"/>
            <w:vAlign w:val="bottom"/>
            <w:tcBorders>
              <w:right w:val="single" w:sz="8" w:color="auto"/>
            </w:tcBorders>
          </w:tcPr>
          <w:p>
            <w:pPr>
              <w:jc w:val="center"/>
              <w:spacing w:after="0" w:line="241" w:lineRule="exact"/>
              <w:rPr>
                <w:sz w:val="20"/>
                <w:szCs w:val="20"/>
                <w:color w:val="auto"/>
              </w:rPr>
            </w:pPr>
            <w:r>
              <w:rPr>
                <w:rFonts w:ascii="Arial" w:cs="Arial" w:eastAsia="Arial" w:hAnsi="Arial"/>
                <w:sz w:val="17"/>
                <w:szCs w:val="17"/>
                <w:color w:val="auto"/>
                <w:w w:val="86"/>
              </w:rPr>
              <w:t>Vote against</w:t>
            </w:r>
            <w:r>
              <w:rPr>
                <w:rFonts w:ascii="Arial" w:cs="Arial" w:eastAsia="Arial" w:hAnsi="Arial"/>
                <w:sz w:val="26"/>
                <w:szCs w:val="26"/>
                <w:color w:val="auto"/>
                <w:w w:val="86"/>
                <w:vertAlign w:val="superscript"/>
              </w:rPr>
              <w:t>(4)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Routine</w:t>
            </w:r>
          </w:p>
        </w:tc>
        <w:tc>
          <w:tcPr>
            <w:tcW w:w="102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Restated Certificate of Incorporation to effect the</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majority of shares</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Stock Split and Share Increase</w:t>
            </w: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outstanding</w:t>
            </w:r>
          </w:p>
        </w:tc>
        <w:tc>
          <w:tcPr>
            <w:tcW w:w="12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9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1"/>
              </w:rPr>
              <w:t>6: The approval of an amendment to our Amended and</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FOR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Affirmative vote of 66</w:t>
            </w:r>
          </w:p>
        </w:tc>
        <w:tc>
          <w:tcPr>
            <w:tcW w:w="1240" w:type="dxa"/>
            <w:vAlign w:val="bottom"/>
            <w:tcBorders>
              <w:right w:val="single" w:sz="8" w:color="auto"/>
            </w:tcBorders>
          </w:tcPr>
          <w:p>
            <w:pPr>
              <w:jc w:val="center"/>
              <w:spacing w:after="0" w:line="241" w:lineRule="exact"/>
              <w:rPr>
                <w:sz w:val="20"/>
                <w:szCs w:val="20"/>
                <w:color w:val="auto"/>
              </w:rPr>
            </w:pPr>
            <w:r>
              <w:rPr>
                <w:rFonts w:ascii="Arial" w:cs="Arial" w:eastAsia="Arial" w:hAnsi="Arial"/>
                <w:sz w:val="17"/>
                <w:szCs w:val="17"/>
                <w:color w:val="auto"/>
                <w:w w:val="86"/>
              </w:rPr>
              <w:t>Vote against</w:t>
            </w:r>
            <w:r>
              <w:rPr>
                <w:rFonts w:ascii="Arial" w:cs="Arial" w:eastAsia="Arial" w:hAnsi="Arial"/>
                <w:sz w:val="26"/>
                <w:szCs w:val="26"/>
                <w:color w:val="auto"/>
                <w:w w:val="86"/>
                <w:vertAlign w:val="superscript"/>
              </w:rPr>
              <w:t>(4)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Non-routine</w:t>
            </w:r>
          </w:p>
        </w:tc>
        <w:tc>
          <w:tcPr>
            <w:tcW w:w="1020" w:type="dxa"/>
            <w:vAlign w:val="bottom"/>
          </w:tcPr>
          <w:p>
            <w:pPr>
              <w:jc w:val="center"/>
              <w:spacing w:after="0"/>
              <w:rPr>
                <w:sz w:val="20"/>
                <w:szCs w:val="20"/>
                <w:color w:val="auto"/>
              </w:rPr>
            </w:pPr>
            <w:r>
              <w:rPr>
                <w:rFonts w:ascii="Arial" w:cs="Arial" w:eastAsia="Arial" w:hAnsi="Arial"/>
                <w:sz w:val="17"/>
                <w:szCs w:val="17"/>
                <w:color w:val="auto"/>
                <w:w w:val="88"/>
              </w:rPr>
              <w:t>Vote against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Restated Certificate of Incorporation to allow removal</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2/3% of the shares</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of directors with or without cause by the affirmative</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outstanding</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8"/>
              </w:rPr>
              <w:t>vote of holders of a majority of the total outstanding</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shares of common stock</w:t>
            </w: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40" w:type="dxa"/>
            <w:vAlign w:val="bottom"/>
            <w:tcBorders>
              <w:bottom w:val="single" w:sz="8" w:color="FB4E0B"/>
              <w:right w:val="single" w:sz="8" w:color="auto"/>
            </w:tcBorders>
          </w:tcPr>
          <w:p>
            <w:pPr>
              <w:spacing w:after="0"/>
              <w:rPr>
                <w:sz w:val="9"/>
                <w:szCs w:val="9"/>
                <w:color w:val="auto"/>
              </w:rPr>
            </w:pPr>
          </w:p>
        </w:tc>
        <w:tc>
          <w:tcPr>
            <w:tcW w:w="1440" w:type="dxa"/>
            <w:vAlign w:val="bottom"/>
            <w:tcBorders>
              <w:bottom w:val="single" w:sz="8" w:color="FB4E0B"/>
              <w:right w:val="single" w:sz="8" w:color="auto"/>
            </w:tcBorders>
          </w:tcPr>
          <w:p>
            <w:pPr>
              <w:spacing w:after="0"/>
              <w:rPr>
                <w:sz w:val="9"/>
                <w:szCs w:val="9"/>
                <w:color w:val="auto"/>
              </w:rPr>
            </w:pPr>
          </w:p>
        </w:tc>
        <w:tc>
          <w:tcPr>
            <w:tcW w:w="1780" w:type="dxa"/>
            <w:vAlign w:val="bottom"/>
            <w:tcBorders>
              <w:bottom w:val="single" w:sz="8" w:color="FB4E0B"/>
              <w:right w:val="single" w:sz="8" w:color="auto"/>
            </w:tcBorders>
          </w:tcPr>
          <w:p>
            <w:pPr>
              <w:spacing w:after="0"/>
              <w:rPr>
                <w:sz w:val="9"/>
                <w:szCs w:val="9"/>
                <w:color w:val="auto"/>
              </w:rPr>
            </w:pPr>
          </w:p>
        </w:tc>
        <w:tc>
          <w:tcPr>
            <w:tcW w:w="1240" w:type="dxa"/>
            <w:vAlign w:val="bottom"/>
            <w:tcBorders>
              <w:bottom w:val="single" w:sz="8" w:color="FB4E0B"/>
              <w:right w:val="single" w:sz="8" w:color="auto"/>
            </w:tcBorders>
          </w:tcPr>
          <w:p>
            <w:pPr>
              <w:spacing w:after="0"/>
              <w:rPr>
                <w:sz w:val="9"/>
                <w:szCs w:val="9"/>
                <w:color w:val="auto"/>
              </w:rPr>
            </w:pPr>
          </w:p>
        </w:tc>
        <w:tc>
          <w:tcPr>
            <w:tcW w:w="1200" w:type="dxa"/>
            <w:vAlign w:val="bottom"/>
            <w:tcBorders>
              <w:bottom w:val="single" w:sz="8" w:color="FB4E0B"/>
              <w:right w:val="single" w:sz="8" w:color="auto"/>
            </w:tcBorders>
          </w:tcPr>
          <w:p>
            <w:pPr>
              <w:spacing w:after="0"/>
              <w:rPr>
                <w:sz w:val="9"/>
                <w:szCs w:val="9"/>
                <w:color w:val="auto"/>
              </w:rPr>
            </w:pPr>
          </w:p>
        </w:tc>
        <w:tc>
          <w:tcPr>
            <w:tcW w:w="102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right="240" w:hanging="4"/>
        <w:spacing w:after="0" w:line="252" w:lineRule="auto"/>
        <w:tabs>
          <w:tab w:leader="none" w:pos="504" w:val="left"/>
        </w:tabs>
        <w:numPr>
          <w:ilvl w:val="0"/>
          <w:numId w:val="50"/>
        </w:numPr>
        <w:rPr>
          <w:rFonts w:ascii="Arial" w:cs="Arial" w:eastAsia="Arial" w:hAnsi="Arial"/>
          <w:sz w:val="13"/>
          <w:szCs w:val="13"/>
          <w:color w:val="auto"/>
        </w:rPr>
      </w:pPr>
      <w:r>
        <w:rPr>
          <w:rFonts w:ascii="Arial" w:cs="Arial" w:eastAsia="Arial" w:hAnsi="Arial"/>
          <w:sz w:val="13"/>
          <w:szCs w:val="13"/>
          <w:color w:val="auto"/>
        </w:rPr>
        <w:t>If you wish to abstain from voting on a proposal, you must indicate, or mark ABSTAIN, while voting. If a proxy is submitted with no direction given, the proxies given to the proxy holders will be voted in accordance with the Board recommendations.</w:t>
      </w:r>
    </w:p>
    <w:p>
      <w:pPr>
        <w:spacing w:after="0" w:line="115" w:lineRule="exact"/>
        <w:rPr>
          <w:rFonts w:ascii="Arial" w:cs="Arial" w:eastAsia="Arial" w:hAnsi="Arial"/>
          <w:sz w:val="13"/>
          <w:szCs w:val="13"/>
          <w:color w:val="auto"/>
        </w:rPr>
      </w:pPr>
    </w:p>
    <w:p>
      <w:pPr>
        <w:ind w:left="500" w:hanging="184"/>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As discussed above under “What is a broker non-vote?,” brokers will not be entitled to vote on “non-routine” proposals unless beneficial owners provide voting instructions.</w:t>
      </w:r>
    </w:p>
    <w:p>
      <w:pPr>
        <w:spacing w:after="0" w:line="123" w:lineRule="exact"/>
        <w:rPr>
          <w:rFonts w:ascii="Arial" w:cs="Arial" w:eastAsia="Arial" w:hAnsi="Arial"/>
          <w:sz w:val="13"/>
          <w:szCs w:val="13"/>
          <w:color w:val="auto"/>
        </w:rPr>
      </w:pPr>
    </w:p>
    <w:p>
      <w:pPr>
        <w:ind w:left="320" w:right="80" w:hanging="4"/>
        <w:spacing w:after="0" w:line="263" w:lineRule="auto"/>
        <w:tabs>
          <w:tab w:leader="none" w:pos="504" w:val="left"/>
        </w:tabs>
        <w:numPr>
          <w:ilvl w:val="0"/>
          <w:numId w:val="50"/>
        </w:numPr>
        <w:rPr>
          <w:rFonts w:ascii="Arial" w:cs="Arial" w:eastAsia="Arial" w:hAnsi="Arial"/>
          <w:sz w:val="12"/>
          <w:szCs w:val="12"/>
          <w:color w:val="auto"/>
        </w:rPr>
      </w:pPr>
      <w:r>
        <w:rPr>
          <w:rFonts w:ascii="Arial" w:cs="Arial" w:eastAsia="Arial" w:hAnsi="Arial"/>
          <w:sz w:val="12"/>
          <w:szCs w:val="12"/>
          <w:color w:val="auto"/>
        </w:rPr>
        <w:t>Under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will tender to the board of directors his or her resignation as a director. You may cast your vote in favor of electing all of the nominees as directors, against one or more nominees, or abstain from voting your shares.</w:t>
      </w:r>
    </w:p>
    <w:p>
      <w:pPr>
        <w:spacing w:after="0" w:line="110" w:lineRule="exact"/>
        <w:rPr>
          <w:rFonts w:ascii="Arial" w:cs="Arial" w:eastAsia="Arial" w:hAnsi="Arial"/>
          <w:sz w:val="12"/>
          <w:szCs w:val="12"/>
          <w:color w:val="auto"/>
        </w:rPr>
      </w:pPr>
    </w:p>
    <w:p>
      <w:pPr>
        <w:ind w:left="320" w:right="460" w:hanging="4"/>
        <w:spacing w:after="0" w:line="252" w:lineRule="auto"/>
        <w:tabs>
          <w:tab w:leader="none" w:pos="504" w:val="left"/>
        </w:tabs>
        <w:numPr>
          <w:ilvl w:val="0"/>
          <w:numId w:val="50"/>
        </w:numPr>
        <w:rPr>
          <w:rFonts w:ascii="Arial" w:cs="Arial" w:eastAsia="Arial" w:hAnsi="Arial"/>
          <w:sz w:val="13"/>
          <w:szCs w:val="13"/>
          <w:color w:val="auto"/>
        </w:rPr>
      </w:pPr>
      <w:r>
        <w:rPr>
          <w:rFonts w:ascii="Arial" w:cs="Arial" w:eastAsia="Arial" w:hAnsi="Arial"/>
          <w:sz w:val="13"/>
          <w:szCs w:val="13"/>
          <w:color w:val="auto"/>
        </w:rPr>
        <w:t>Under the Delaware General Corporation Law, shares that abstain constitute shares that are present and entitled to vote and, accordingly, have the practical effect of being voted “against” these proposals requiring a majority of shares present and entitled to vote or those based on total shares outstanding).</w:t>
      </w:r>
    </w:p>
    <w:p>
      <w:pPr>
        <w:spacing w:after="0" w:line="382" w:lineRule="exact"/>
        <w:rPr>
          <w:sz w:val="20"/>
          <w:szCs w:val="20"/>
          <w:color w:val="auto"/>
        </w:rPr>
      </w:pPr>
    </w:p>
    <w:p>
      <w:pPr>
        <w:ind w:left="320"/>
        <w:spacing w:after="0"/>
        <w:rPr>
          <w:sz w:val="20"/>
          <w:szCs w:val="20"/>
          <w:color w:val="auto"/>
        </w:rPr>
      </w:pPr>
      <w:r>
        <w:rPr>
          <w:rFonts w:ascii="Arial" w:cs="Arial" w:eastAsia="Arial" w:hAnsi="Arial"/>
          <w:sz w:val="24"/>
          <w:szCs w:val="24"/>
          <w:color w:val="auto"/>
        </w:rPr>
        <w:t>Are there other matters to be acted upon at the meeting?</w:t>
      </w:r>
    </w:p>
    <w:p>
      <w:pPr>
        <w:spacing w:after="0" w:line="182" w:lineRule="exact"/>
        <w:rPr>
          <w:sz w:val="20"/>
          <w:szCs w:val="20"/>
          <w:color w:val="auto"/>
        </w:rPr>
      </w:pPr>
    </w:p>
    <w:p>
      <w:pPr>
        <w:ind w:left="320" w:right="540"/>
        <w:spacing w:after="0" w:line="286" w:lineRule="auto"/>
        <w:rPr>
          <w:sz w:val="20"/>
          <w:szCs w:val="20"/>
          <w:color w:val="auto"/>
        </w:rPr>
      </w:pPr>
      <w:r>
        <w:rPr>
          <w:rFonts w:ascii="Arial" w:cs="Arial" w:eastAsia="Arial" w:hAnsi="Arial"/>
          <w:sz w:val="17"/>
          <w:szCs w:val="17"/>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w:t>
      </w:r>
    </w:p>
    <w:p>
      <w:pPr>
        <w:spacing w:after="0" w:line="217"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131</w:t>
      </w:r>
    </w:p>
    <w:p>
      <w:pPr>
        <w:sectPr>
          <w:pgSz w:w="11900" w:h="16838" w:orient="portrait"/>
          <w:cols w:equalWidth="0" w:num="1">
            <w:col w:w="10940"/>
          </w:cols>
          <w:pgMar w:left="320" w:top="473" w:right="6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Annual meeting Q&amp;A</w:t>
      </w:r>
    </w:p>
    <w:p>
      <w:pPr>
        <w:spacing w:after="0" w:line="343" w:lineRule="exact"/>
        <w:rPr>
          <w:sz w:val="20"/>
          <w:szCs w:val="20"/>
          <w:color w:val="auto"/>
        </w:rPr>
      </w:pPr>
    </w:p>
    <w:p>
      <w:pPr>
        <w:ind w:left="320" w:right="660"/>
        <w:spacing w:after="0" w:line="286" w:lineRule="auto"/>
        <w:rPr>
          <w:sz w:val="20"/>
          <w:szCs w:val="20"/>
          <w:color w:val="auto"/>
        </w:rPr>
      </w:pPr>
      <w:r>
        <w:rPr>
          <w:rFonts w:ascii="Arial" w:cs="Arial" w:eastAsia="Arial" w:hAnsi="Arial"/>
          <w:sz w:val="17"/>
          <w:szCs w:val="17"/>
          <w:color w:val="auto"/>
        </w:rPr>
        <w:t>presented at the Annual Meeting on which a vote may properly be taken, the shares represented by proxies will be voted in accordance with the judgment of the person or persons voting those shares.</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What about adjournments and postponements?</w:t>
      </w:r>
    </w:p>
    <w:p>
      <w:pPr>
        <w:spacing w:after="0" w:line="195"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Any action on the items of business described above may be considered at the Annual Meeting at the time and on the date specified above or at any time and date to which the Annual Meeting is properly adjourned or postponed.</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Who pays for solicitation of proxies?</w:t>
      </w:r>
    </w:p>
    <w:p>
      <w:pPr>
        <w:spacing w:after="0" w:line="182" w:lineRule="exact"/>
        <w:rPr>
          <w:sz w:val="20"/>
          <w:szCs w:val="20"/>
          <w:color w:val="auto"/>
        </w:rPr>
      </w:pPr>
    </w:p>
    <w:p>
      <w:pPr>
        <w:jc w:val="both"/>
        <w:ind w:left="320" w:right="140"/>
        <w:spacing w:after="0" w:line="270" w:lineRule="auto"/>
        <w:rPr>
          <w:sz w:val="20"/>
          <w:szCs w:val="20"/>
          <w:color w:val="auto"/>
        </w:rPr>
      </w:pPr>
      <w:r>
        <w:rPr>
          <w:rFonts w:ascii="Arial" w:cs="Arial" w:eastAsia="Arial" w:hAnsi="Arial"/>
          <w:sz w:val="17"/>
          <w:szCs w:val="17"/>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378" w:lineRule="exact"/>
        <w:rPr>
          <w:sz w:val="20"/>
          <w:szCs w:val="20"/>
          <w:color w:val="auto"/>
        </w:rPr>
      </w:pPr>
    </w:p>
    <w:p>
      <w:pPr>
        <w:ind w:left="320" w:right="60"/>
        <w:spacing w:after="0" w:line="276" w:lineRule="auto"/>
        <w:rPr>
          <w:sz w:val="20"/>
          <w:szCs w:val="20"/>
          <w:color w:val="auto"/>
        </w:rPr>
      </w:pPr>
      <w:r>
        <w:rPr>
          <w:rFonts w:ascii="Arial" w:cs="Arial" w:eastAsia="Arial" w:hAnsi="Arial"/>
          <w:sz w:val="24"/>
          <w:szCs w:val="24"/>
          <w:color w:val="auto"/>
        </w:rPr>
        <w:t>How can I attend the Annual Meeting and why is the Company holding the Annual Meeting in a virtual only format?</w:t>
      </w:r>
    </w:p>
    <w:p>
      <w:pPr>
        <w:spacing w:after="0" w:line="110" w:lineRule="exact"/>
        <w:rPr>
          <w:sz w:val="20"/>
          <w:szCs w:val="20"/>
          <w:color w:val="auto"/>
        </w:rPr>
      </w:pPr>
    </w:p>
    <w:p>
      <w:pPr>
        <w:ind w:left="320" w:right="560"/>
        <w:spacing w:after="0" w:line="286" w:lineRule="auto"/>
        <w:rPr>
          <w:sz w:val="20"/>
          <w:szCs w:val="20"/>
          <w:color w:val="auto"/>
        </w:rPr>
      </w:pPr>
      <w:r>
        <w:rPr>
          <w:rFonts w:ascii="Arial" w:cs="Arial" w:eastAsia="Arial" w:hAnsi="Arial"/>
          <w:sz w:val="17"/>
          <w:szCs w:val="17"/>
          <w:color w:val="auto"/>
        </w:rPr>
        <w:t>As we have done in recent years, we will hold a virtual Annual Meeting rather than a meeting at any physical location. We believe that holding a meeting in a virtual format provides an opportunity for broader stockholder participation.</w:t>
      </w:r>
    </w:p>
    <w:p>
      <w:pPr>
        <w:spacing w:after="0" w:line="263" w:lineRule="exact"/>
        <w:rPr>
          <w:sz w:val="20"/>
          <w:szCs w:val="20"/>
          <w:color w:val="auto"/>
        </w:rPr>
      </w:pPr>
    </w:p>
    <w:p>
      <w:pPr>
        <w:ind w:left="320" w:right="20"/>
        <w:spacing w:after="0" w:line="259" w:lineRule="auto"/>
        <w:rPr>
          <w:sz w:val="20"/>
          <w:szCs w:val="20"/>
          <w:color w:val="auto"/>
        </w:rPr>
      </w:pPr>
      <w:r>
        <w:rPr>
          <w:rFonts w:ascii="Arial" w:cs="Arial" w:eastAsia="Arial" w:hAnsi="Arial"/>
          <w:sz w:val="17"/>
          <w:szCs w:val="17"/>
          <w:color w:val="auto"/>
        </w:rPr>
        <w:t>To attend and participate in the Virtual Annual Meeting, stockholders will need to access the live audio webcast of the meeting. To do so, stockholders of record will need to visit www.virtualshareholdermeeting.com/EXLS2023 and use their 16-digit Control Numbers provided in the Internet Notice to log in to this website, and beneficial owners of shares held in street name will need to follow the instructions provided by the broker, bank or other nominee that holds their shares. We encourage stockholders to log in to this website and access the webcast before the Annual Meeting’s start time. Further instructions on how to attend, participate in and vote at the Annual Meeting, including how to demonstrate your ownership of our stock as of the record date, are available at www.virtualshareholdermeeting.com/EXLS2023. Please note you will only be able to attend, participate and vote in the meeting using this website. All references to attending the Annual Meeting “in person” in this Proxy Statement shall mean attending the live webcast at the Annual Meeting.</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24"/>
          <w:szCs w:val="24"/>
          <w:color w:val="auto"/>
        </w:rPr>
        <w:t>How do I submit questions at the Annual Meeting?</w:t>
      </w:r>
    </w:p>
    <w:p>
      <w:pPr>
        <w:spacing w:after="0" w:line="195" w:lineRule="exact"/>
        <w:rPr>
          <w:sz w:val="20"/>
          <w:szCs w:val="20"/>
          <w:color w:val="auto"/>
        </w:rPr>
      </w:pPr>
    </w:p>
    <w:p>
      <w:pPr>
        <w:ind w:left="320"/>
        <w:spacing w:after="0" w:line="263" w:lineRule="auto"/>
        <w:rPr>
          <w:sz w:val="20"/>
          <w:szCs w:val="20"/>
          <w:color w:val="auto"/>
        </w:rPr>
      </w:pPr>
      <w:r>
        <w:rPr>
          <w:rFonts w:ascii="Arial" w:cs="Arial" w:eastAsia="Arial" w:hAnsi="Arial"/>
          <w:sz w:val="17"/>
          <w:szCs w:val="17"/>
          <w:color w:val="auto"/>
        </w:rPr>
        <w:t>We are committed to ensuring that our stockholders will be afforded the same rights and opportunities to participate in a virtual Annual Meeting as they would at a meeting held at a physical location. You will be able to submit questions during our Annual Meeting by visiting www.virtualshareholdermeeting.com/EXLS2023. We will try to answer as many stockholder-submitted questions as time permits that comply with the meeting rules of conduct as determined by the chair of the meeting. However, we reserve the right to edit profanity or other inappropriate language, or to exclude questions that are not pertinent to meeting</w:t>
      </w:r>
    </w:p>
    <w:p>
      <w:pPr>
        <w:spacing w:after="0" w:line="93"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920"/>
          </w:cols>
          <w:pgMar w:left="320" w:top="473" w:right="65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Annual meeting Q&amp;A</w:t>
      </w:r>
    </w:p>
    <w:p>
      <w:pPr>
        <w:spacing w:after="0" w:line="343" w:lineRule="exact"/>
        <w:rPr>
          <w:sz w:val="20"/>
          <w:szCs w:val="20"/>
          <w:color w:val="auto"/>
        </w:rPr>
      </w:pPr>
    </w:p>
    <w:p>
      <w:pPr>
        <w:ind w:left="320" w:right="380"/>
        <w:spacing w:after="0" w:line="286" w:lineRule="auto"/>
        <w:rPr>
          <w:sz w:val="20"/>
          <w:szCs w:val="20"/>
          <w:color w:val="auto"/>
        </w:rPr>
      </w:pPr>
      <w:r>
        <w:rPr>
          <w:rFonts w:ascii="Arial" w:cs="Arial" w:eastAsia="Arial" w:hAnsi="Arial"/>
          <w:sz w:val="17"/>
          <w:szCs w:val="17"/>
          <w:color w:val="auto"/>
        </w:rPr>
        <w:t>matters or that are otherwise inappropriate. If we receive substantially similar questions, we will group such questions together and provide a single response to avoid repetition.</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Will the Annual Meeting be recorded?</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recording of the Annual Meeting will be available online at http://ir.exlservice.com for approximately 12 months following the meeting date.</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What if I have technical difficulties or trouble accessing the virtual Annual Meeting?</w:t>
      </w:r>
    </w:p>
    <w:p>
      <w:pPr>
        <w:spacing w:after="0" w:line="182" w:lineRule="exact"/>
        <w:rPr>
          <w:sz w:val="20"/>
          <w:szCs w:val="20"/>
          <w:color w:val="auto"/>
        </w:rPr>
      </w:pPr>
    </w:p>
    <w:p>
      <w:pPr>
        <w:ind w:left="320" w:right="80"/>
        <w:spacing w:after="0" w:line="270"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live webcast of the Annual Meeting. A technical support phone number will be posted on www.virtualshareholdermeeting.com/EXLS2023 that you may call if you experience technical difficulties during the check-in process or during the Annual Meeting.</w:t>
      </w:r>
    </w:p>
    <w:p>
      <w:pPr>
        <w:spacing w:after="0" w:line="378" w:lineRule="exact"/>
        <w:rPr>
          <w:sz w:val="20"/>
          <w:szCs w:val="20"/>
          <w:color w:val="auto"/>
        </w:rPr>
      </w:pPr>
    </w:p>
    <w:p>
      <w:pPr>
        <w:ind w:left="320"/>
        <w:spacing w:after="0"/>
        <w:rPr>
          <w:sz w:val="20"/>
          <w:szCs w:val="20"/>
          <w:color w:val="auto"/>
        </w:rPr>
      </w:pPr>
      <w:r>
        <w:rPr>
          <w:rFonts w:ascii="Arial" w:cs="Arial" w:eastAsia="Arial" w:hAnsi="Arial"/>
          <w:sz w:val="24"/>
          <w:szCs w:val="24"/>
          <w:color w:val="auto"/>
        </w:rPr>
        <w:t>What if I have further questions?</w:t>
      </w:r>
    </w:p>
    <w:p>
      <w:pPr>
        <w:spacing w:after="0" w:line="182" w:lineRule="exact"/>
        <w:rPr>
          <w:sz w:val="20"/>
          <w:szCs w:val="20"/>
          <w:color w:val="auto"/>
        </w:rPr>
      </w:pPr>
    </w:p>
    <w:p>
      <w:pPr>
        <w:ind w:left="320" w:right="420"/>
        <w:spacing w:after="0" w:line="286" w:lineRule="auto"/>
        <w:rPr>
          <w:sz w:val="20"/>
          <w:szCs w:val="20"/>
          <w:color w:val="auto"/>
        </w:rPr>
      </w:pPr>
      <w:r>
        <w:rPr>
          <w:rFonts w:ascii="Arial" w:cs="Arial" w:eastAsia="Arial" w:hAnsi="Arial"/>
          <w:sz w:val="17"/>
          <w:szCs w:val="17"/>
          <w:color w:val="auto"/>
        </w:rPr>
        <w:t>If you have any further questions about voting your shares or attending the Annual Meeting, please call our Investor Relations Department at (212) 624-5913 or email at ir@exlservice.com.</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Important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Please promptly vote and submit your proxy before the Annual Meeting by (i) Internet (by following the instructions provided in the Internet Notice),</w:t>
      </w:r>
    </w:p>
    <w:p>
      <w:pPr>
        <w:spacing w:after="0" w:line="37" w:lineRule="exact"/>
        <w:rPr>
          <w:sz w:val="20"/>
          <w:szCs w:val="20"/>
          <w:color w:val="auto"/>
        </w:rPr>
      </w:pPr>
    </w:p>
    <w:p>
      <w:pPr>
        <w:ind w:left="320" w:right="40" w:hanging="4"/>
        <w:spacing w:after="0" w:line="263" w:lineRule="auto"/>
        <w:tabs>
          <w:tab w:leader="none" w:pos="575"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236"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133</w:t>
      </w:r>
    </w:p>
    <w:p>
      <w:pPr>
        <w:sectPr>
          <w:pgSz w:w="11900" w:h="16838" w:orient="portrait"/>
          <w:cols w:equalWidth="0" w:num="1">
            <w:col w:w="10940"/>
          </w:cols>
          <w:pgMar w:left="320" w:top="473" w:right="6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Other matters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Other matters</w:t>
      </w:r>
    </w:p>
    <w:p>
      <w:pPr>
        <w:spacing w:after="0" w:line="328" w:lineRule="exact"/>
        <w:rPr>
          <w:sz w:val="20"/>
          <w:szCs w:val="20"/>
          <w:color w:val="auto"/>
        </w:rPr>
      </w:pPr>
    </w:p>
    <w:p>
      <w:pPr>
        <w:ind w:left="320" w:right="400"/>
        <w:spacing w:after="0" w:line="356" w:lineRule="auto"/>
        <w:rPr>
          <w:sz w:val="20"/>
          <w:szCs w:val="20"/>
          <w:color w:val="auto"/>
        </w:rPr>
      </w:pPr>
      <w:r>
        <w:rPr>
          <w:rFonts w:ascii="Arial" w:cs="Arial" w:eastAsia="Arial" w:hAnsi="Arial"/>
          <w:sz w:val="15"/>
          <w:szCs w:val="15"/>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Whether or not you intend to be present at the Annual Meeting, we urge you to submit your signed proxy promptly.</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238760</wp:posOffset>
            </wp:positionV>
            <wp:extent cx="2032000" cy="6858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Ajay Ayyappan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Executive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April 28, 2023</w:t>
      </w:r>
    </w:p>
    <w:p>
      <w:pPr>
        <w:spacing w:after="0" w:line="307"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b w:val="1"/>
          <w:bCs w:val="1"/>
          <w:color w:val="auto"/>
        </w:rPr>
        <w:t>We will furnish without charge to each person whose proxy is being solicited, upon the written request of any such person, a copy of the 2022 Form 10-K, as filed with the SEC, as well as copies of exhibits to the 2022 Form 10-K, but for copies of exhibits will charge a reasonable fee per page to any requesting stockholder. Stockholders may make such request in writing to ExlService Holdings, Inc., 320 Park Avenue, 29th Floor, New York, New York 10022, Attention: Investor Relations. The request must include a representation by the stockholder that as of April 21, 2023, the stockholder was entitled to vote at the Annual Meeting.</w:t>
      </w:r>
    </w:p>
    <w:p>
      <w:pPr>
        <w:spacing w:after="0" w:line="78" w:lineRule="exact"/>
        <w:rPr>
          <w:sz w:val="20"/>
          <w:szCs w:val="20"/>
          <w:color w:val="auto"/>
        </w:rPr>
      </w:pPr>
    </w:p>
    <w:p>
      <w:pPr>
        <w:ind w:left="420"/>
        <w:spacing w:after="0"/>
        <w:tabs>
          <w:tab w:leader="none" w:pos="1040" w:val="left"/>
          <w:tab w:leader="none" w:pos="1380" w:val="left"/>
        </w:tabs>
        <w:rPr>
          <w:sz w:val="20"/>
          <w:szCs w:val="20"/>
          <w:color w:val="auto"/>
        </w:rPr>
      </w:pPr>
      <w:r>
        <w:rPr>
          <w:rFonts w:ascii="Arial" w:cs="Arial" w:eastAsia="Arial" w:hAnsi="Arial"/>
          <w:sz w:val="17"/>
          <w:szCs w:val="17"/>
          <w:b w:val="1"/>
          <w:bCs w:val="1"/>
          <w:color w:val="auto"/>
        </w:rPr>
        <w:t>134</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1"/>
          <w:szCs w:val="11"/>
          <w:color w:val="auto"/>
        </w:rPr>
        <w:t>EXL 2023 Proxy Statement</w:t>
      </w:r>
    </w:p>
    <w:p>
      <w:pPr>
        <w:sectPr>
          <w:pgSz w:w="11900" w:h="16838" w:orient="portrait"/>
          <w:cols w:equalWidth="0" w:num="1">
            <w:col w:w="10860"/>
          </w:cols>
          <w:pgMar w:left="320" w:top="473" w:right="71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Annex A</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Annex A</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CERTIFICATE OF AMENDMENT</w:t>
      </w:r>
    </w:p>
    <w:p>
      <w:pPr>
        <w:spacing w:after="0" w:line="30"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TO AMENDED AND RESTATED CERTIFICATE OF INCORPORATION</w:t>
      </w:r>
    </w:p>
    <w:p>
      <w:pPr>
        <w:spacing w:after="0" w:line="10"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OF</w:t>
      </w:r>
    </w:p>
    <w:p>
      <w:pPr>
        <w:spacing w:after="0" w:line="10"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EXLSERVICE HOLDINGS, INC.</w:t>
      </w:r>
    </w:p>
    <w:p>
      <w:pPr>
        <w:spacing w:after="0" w:line="201" w:lineRule="exact"/>
        <w:rPr>
          <w:sz w:val="20"/>
          <w:szCs w:val="20"/>
          <w:color w:val="auto"/>
        </w:rPr>
      </w:pPr>
    </w:p>
    <w:p>
      <w:pPr>
        <w:ind w:left="320" w:right="60"/>
        <w:spacing w:after="0" w:line="295" w:lineRule="auto"/>
        <w:rPr>
          <w:sz w:val="20"/>
          <w:szCs w:val="20"/>
          <w:color w:val="auto"/>
        </w:rPr>
      </w:pPr>
      <w:r>
        <w:rPr>
          <w:rFonts w:ascii="Arial" w:cs="Arial" w:eastAsia="Arial" w:hAnsi="Arial"/>
          <w:sz w:val="16"/>
          <w:szCs w:val="16"/>
          <w:color w:val="auto"/>
        </w:rPr>
        <w:t>I, the undersigned, being the officer designated by the board of directors to execute this Certificate of Amendment to the Amended and Restated Certificate of Incorporation, as amended (the “Amended and Restated Certificate of Incorporation”), of ExlService Holdings, Inc. (the “Corporation”), a corporation organized and existing under and by virtue of the General Corporation Law of the State of Delaware do hereby certify:</w:t>
      </w:r>
    </w:p>
    <w:p>
      <w:pPr>
        <w:spacing w:after="0" w:line="252" w:lineRule="exact"/>
        <w:rPr>
          <w:sz w:val="20"/>
          <w:szCs w:val="20"/>
          <w:color w:val="auto"/>
        </w:rPr>
      </w:pPr>
    </w:p>
    <w:p>
      <w:pPr>
        <w:ind w:left="320" w:right="40"/>
        <w:spacing w:after="0" w:line="274" w:lineRule="auto"/>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7"/>
          <w:szCs w:val="17"/>
          <w:color w:val="auto"/>
        </w:rPr>
        <w:t>By unanimous written consent of the Corporation’s Board of Directors, resolutions were duly adopted setting forth a proposed amendment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declaring said amendment to be advisable and directing that the amendment be considered at the next annual meeting of the stockholders of the Corporation.</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amendments to the Amended and Restated Certificate of Incorporation as set forth in such resolutions, are as follows:</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of the Amended and Restated Certificate of Incorporation is hereby amended and restated in its entirety to read as follows:</w:t>
      </w:r>
    </w:p>
    <w:p>
      <w:pPr>
        <w:spacing w:after="0" w:line="325" w:lineRule="exact"/>
        <w:rPr>
          <w:sz w:val="20"/>
          <w:szCs w:val="20"/>
          <w:color w:val="auto"/>
        </w:rPr>
      </w:pPr>
    </w:p>
    <w:p>
      <w:pPr>
        <w:ind w:left="740" w:right="320" w:firstLine="407"/>
        <w:spacing w:after="0" w:line="26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Number of Shares</w:t>
      </w:r>
      <w:r>
        <w:rPr>
          <w:rFonts w:ascii="Arial" w:cs="Arial" w:eastAsia="Arial" w:hAnsi="Arial"/>
          <w:sz w:val="17"/>
          <w:szCs w:val="17"/>
          <w:color w:val="auto"/>
        </w:rPr>
        <w:t>. The Corporation is authorized to issue two classes of stock to be designated, respectively, “Common Stock” and “Preferred Stock.” The total number of shares of all classes of stock which the Corporation shall have authority to issue is 290,000,000 shares, consisting of (i) 400,000,000 shares of Common Stock, $0.001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 15,000,000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45,833.36 are designated as Series A Preferred Stock (“</w:t>
      </w:r>
      <w:r>
        <w:rPr>
          <w:rFonts w:ascii="Arial" w:cs="Arial" w:eastAsia="Arial" w:hAnsi="Arial"/>
          <w:sz w:val="17"/>
          <w:szCs w:val="17"/>
          <w:u w:val="single" w:color="auto"/>
          <w:color w:val="auto"/>
        </w:rPr>
        <w:t>Series A Preferred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Amended and Restated Certificate of Incorporation is hereby amended and restated in its entirety to read as follows:</w:t>
      </w:r>
    </w:p>
    <w:p>
      <w:pPr>
        <w:spacing w:after="0" w:line="325" w:lineRule="exact"/>
        <w:rPr>
          <w:sz w:val="20"/>
          <w:szCs w:val="20"/>
          <w:color w:val="auto"/>
        </w:rPr>
      </w:pPr>
    </w:p>
    <w:p>
      <w:pPr>
        <w:ind w:left="1140"/>
        <w:spacing w:after="0"/>
        <w:tabs>
          <w:tab w:leader="none" w:pos="9180" w:val="left"/>
        </w:tabs>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Stock Split</w:t>
      </w:r>
      <w:r>
        <w:rPr>
          <w:rFonts w:ascii="Arial" w:cs="Arial" w:eastAsia="Arial" w:hAnsi="Arial"/>
          <w:sz w:val="17"/>
          <w:szCs w:val="17"/>
          <w:color w:val="auto"/>
        </w:rPr>
        <w:t>. Without any other action on the part of the Corporation or any other person, effective</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25" w:lineRule="exact"/>
        <w:rPr>
          <w:sz w:val="20"/>
          <w:szCs w:val="20"/>
          <w:color w:val="auto"/>
        </w:rPr>
      </w:pPr>
    </w:p>
    <w:p>
      <w:pPr>
        <w:ind w:left="740" w:right="60" w:firstLine="1"/>
        <w:spacing w:after="0" w:line="258" w:lineRule="auto"/>
        <w:tabs>
          <w:tab w:leader="none" w:pos="947"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share of Common Stock issued and outstanding, and each share of Common Stock held as treasury stock, as of such time (the “</w:t>
      </w:r>
      <w:r>
        <w:rPr>
          <w:rFonts w:ascii="Arial" w:cs="Arial" w:eastAsia="Arial" w:hAnsi="Arial"/>
          <w:sz w:val="17"/>
          <w:szCs w:val="17"/>
          <w:u w:val="single" w:color="auto"/>
          <w:color w:val="auto"/>
        </w:rPr>
        <w:t>Pre-Split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shall automatically, without further action on the part of the Corporation or any holder of Pre-Split Common Stock, convert into five fully paid and nonassessable shares of Common Stock, $0.001 par value per share, reflecting a 5-for-1 stock split. The conversion described in the foregoing sentence shall be referred to herein as the “</w:t>
      </w:r>
      <w:r>
        <w:rPr>
          <w:rFonts w:ascii="Arial" w:cs="Arial" w:eastAsia="Arial" w:hAnsi="Arial"/>
          <w:sz w:val="17"/>
          <w:szCs w:val="17"/>
          <w:u w:val="single" w:color="auto"/>
          <w:color w:val="auto"/>
        </w:rPr>
        <w:t>Stock Split</w:t>
      </w:r>
      <w:r>
        <w:rPr>
          <w:rFonts w:ascii="Arial" w:cs="Arial" w:eastAsia="Arial" w:hAnsi="Arial"/>
          <w:sz w:val="17"/>
          <w:szCs w:val="17"/>
          <w:color w:val="auto"/>
        </w:rPr>
        <w:t>”. No script or fractional shares of Common Stock shall be issued upon the Stock Split, and the par value of the Common Stock shall not be affected. At the Effective Time, each holder of Common Stock shall automatically hold the number of</w:t>
      </w:r>
    </w:p>
    <w:p>
      <w:pPr>
        <w:spacing w:after="0" w:line="242"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135</w:t>
      </w:r>
    </w:p>
    <w:p>
      <w:pPr>
        <w:sectPr>
          <w:pgSz w:w="11900" w:h="16838" w:orient="portrait"/>
          <w:cols w:equalWidth="0" w:num="1">
            <w:col w:w="10940"/>
          </w:cols>
          <w:pgMar w:left="320" w:top="473" w:right="6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D8D8D8"/>
        </w:rPr>
        <w:t>Annex A</w:t>
      </w:r>
    </w:p>
    <w:p>
      <w:pPr>
        <w:spacing w:after="0" w:line="343" w:lineRule="exact"/>
        <w:rPr>
          <w:sz w:val="20"/>
          <w:szCs w:val="20"/>
          <w:color w:val="auto"/>
        </w:rPr>
      </w:pPr>
    </w:p>
    <w:p>
      <w:pPr>
        <w:ind w:left="740" w:right="20"/>
        <w:spacing w:after="0" w:line="306" w:lineRule="auto"/>
        <w:rPr>
          <w:sz w:val="20"/>
          <w:szCs w:val="20"/>
          <w:color w:val="auto"/>
        </w:rPr>
      </w:pPr>
      <w:r>
        <w:rPr>
          <w:rFonts w:ascii="Arial" w:cs="Arial" w:eastAsia="Arial" w:hAnsi="Arial"/>
          <w:sz w:val="15"/>
          <w:szCs w:val="15"/>
          <w:color w:val="auto"/>
        </w:rPr>
        <w:t>Pre-Split Common Stock shares held by such holder multiplied by five. From and after the Effective Time, any stock certificates that, immediately prior to the Effective Time, represented the shares of Pre-Split Common Stock shall, from and after the Effective Time, automatically and without the necessity of presenting the same for exchange, represent the number of shares of Common Stock into which such Pre-Split Common Stock has been converted in the Stock Split. Whenever any fractional shares of Common Stock would otherwise be required to be issued or distributed, the actual issuance or distribution shall reflect a rounding of such fraction to the nearest whole share of Common Stock (rounded down).”</w:t>
      </w:r>
    </w:p>
    <w:p>
      <w:pPr>
        <w:spacing w:after="0" w:line="247" w:lineRule="exact"/>
        <w:rPr>
          <w:sz w:val="20"/>
          <w:szCs w:val="20"/>
          <w:color w:val="auto"/>
        </w:rPr>
      </w:pPr>
    </w:p>
    <w:p>
      <w:pPr>
        <w:ind w:left="320" w:right="200"/>
        <w:spacing w:after="0" w:line="293"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That said amendments were duly adopted in accordance with the provisions of Section 242 of the General Corporation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The foregoing amendments shall be effective upon filing with the Secretary of State of the State of Delaware.</w:t>
      </w:r>
    </w:p>
    <w:p>
      <w:pPr>
        <w:spacing w:after="0" w:line="251" w:lineRule="exact"/>
        <w:rPr>
          <w:sz w:val="20"/>
          <w:szCs w:val="20"/>
          <w:color w:val="auto"/>
        </w:rPr>
      </w:pPr>
    </w:p>
    <w:p>
      <w:pPr>
        <w:ind w:left="320" w:right="800" w:firstLine="425"/>
        <w:spacing w:after="0" w:line="293"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of Amendment to be signed by a duly authorized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as of this ___ day of _______, 2023.</w:t>
      </w:r>
    </w:p>
    <w:p>
      <w:pPr>
        <w:spacing w:after="0" w:line="296"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440" w:type="dxa"/>
            <w:vAlign w:val="bottom"/>
          </w:tcPr>
          <w:p>
            <w:pPr>
              <w:spacing w:after="0"/>
              <w:rPr>
                <w:sz w:val="19"/>
                <w:szCs w:val="19"/>
                <w:color w:val="auto"/>
              </w:rPr>
            </w:pPr>
          </w:p>
        </w:tc>
        <w:tc>
          <w:tcPr>
            <w:tcW w:w="10080" w:type="dxa"/>
            <w:vAlign w:val="bottom"/>
            <w:gridSpan w:val="2"/>
          </w:tcPr>
          <w:p>
            <w:pPr>
              <w:ind w:left="5840"/>
              <w:spacing w:after="0"/>
              <w:rPr>
                <w:sz w:val="20"/>
                <w:szCs w:val="20"/>
                <w:color w:val="auto"/>
              </w:rPr>
            </w:pPr>
            <w:r>
              <w:rPr>
                <w:rFonts w:ascii="Arial" w:cs="Arial" w:eastAsia="Arial" w:hAnsi="Arial"/>
                <w:sz w:val="17"/>
                <w:szCs w:val="17"/>
                <w:color w:val="auto"/>
              </w:rPr>
              <w:t>EXLSERVICE HOLDINGS, INC.</w:t>
            </w:r>
          </w:p>
        </w:tc>
      </w:tr>
      <w:tr>
        <w:trPr>
          <w:trHeight w:val="416"/>
        </w:trPr>
        <w:tc>
          <w:tcPr>
            <w:tcW w:w="440" w:type="dxa"/>
            <w:vAlign w:val="bottom"/>
          </w:tcPr>
          <w:p>
            <w:pPr>
              <w:spacing w:after="0"/>
              <w:rPr>
                <w:sz w:val="24"/>
                <w:szCs w:val="24"/>
                <w:color w:val="auto"/>
              </w:rPr>
            </w:pPr>
          </w:p>
        </w:tc>
        <w:tc>
          <w:tcPr>
            <w:tcW w:w="10080" w:type="dxa"/>
            <w:vAlign w:val="bottom"/>
            <w:gridSpan w:val="2"/>
          </w:tcPr>
          <w:p>
            <w:pPr>
              <w:ind w:left="5840"/>
              <w:spacing w:after="0"/>
              <w:rPr>
                <w:sz w:val="20"/>
                <w:szCs w:val="20"/>
                <w:color w:val="auto"/>
              </w:rPr>
            </w:pPr>
            <w:r>
              <w:rPr>
                <w:rFonts w:ascii="Arial" w:cs="Arial" w:eastAsia="Arial" w:hAnsi="Arial"/>
                <w:sz w:val="17"/>
                <w:szCs w:val="17"/>
                <w:color w:val="auto"/>
              </w:rPr>
              <w:t>By:</w:t>
            </w:r>
          </w:p>
        </w:tc>
      </w:tr>
      <w:tr>
        <w:trPr>
          <w:trHeight w:val="189"/>
        </w:trPr>
        <w:tc>
          <w:tcPr>
            <w:tcW w:w="440" w:type="dxa"/>
            <w:vAlign w:val="bottom"/>
          </w:tcPr>
          <w:p>
            <w:pPr>
              <w:spacing w:after="0"/>
              <w:rPr>
                <w:sz w:val="16"/>
                <w:szCs w:val="16"/>
                <w:color w:val="auto"/>
              </w:rPr>
            </w:pPr>
          </w:p>
        </w:tc>
        <w:tc>
          <w:tcPr>
            <w:tcW w:w="6340" w:type="dxa"/>
            <w:vAlign w:val="bottom"/>
          </w:tcPr>
          <w:p>
            <w:pPr>
              <w:ind w:left="5840"/>
              <w:spacing w:after="0" w:line="189" w:lineRule="exact"/>
              <w:rPr>
                <w:sz w:val="20"/>
                <w:szCs w:val="20"/>
                <w:color w:val="auto"/>
              </w:rPr>
            </w:pPr>
            <w:r>
              <w:rPr>
                <w:rFonts w:ascii="Arial" w:cs="Arial" w:eastAsia="Arial" w:hAnsi="Arial"/>
                <w:sz w:val="17"/>
                <w:szCs w:val="17"/>
                <w:color w:val="auto"/>
                <w:w w:val="95"/>
              </w:rPr>
              <w:t>Name:</w:t>
            </w:r>
          </w:p>
        </w:tc>
        <w:tc>
          <w:tcPr>
            <w:tcW w:w="37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7"/>
                <w:szCs w:val="17"/>
                <w:color w:val="auto"/>
              </w:rPr>
              <w:t>Rohit Kapoor</w:t>
            </w:r>
          </w:p>
        </w:tc>
      </w:tr>
      <w:tr>
        <w:trPr>
          <w:trHeight w:val="208"/>
        </w:trPr>
        <w:tc>
          <w:tcPr>
            <w:tcW w:w="440" w:type="dxa"/>
            <w:vAlign w:val="bottom"/>
          </w:tcPr>
          <w:p>
            <w:pPr>
              <w:spacing w:after="0"/>
              <w:rPr>
                <w:sz w:val="18"/>
                <w:szCs w:val="18"/>
                <w:color w:val="auto"/>
              </w:rPr>
            </w:pPr>
          </w:p>
        </w:tc>
        <w:tc>
          <w:tcPr>
            <w:tcW w:w="10080" w:type="dxa"/>
            <w:vAlign w:val="bottom"/>
            <w:gridSpan w:val="2"/>
          </w:tcPr>
          <w:p>
            <w:pPr>
              <w:ind w:left="5840"/>
              <w:spacing w:after="0"/>
              <w:rPr>
                <w:sz w:val="20"/>
                <w:szCs w:val="20"/>
                <w:color w:val="auto"/>
              </w:rPr>
            </w:pPr>
            <w:r>
              <w:rPr>
                <w:rFonts w:ascii="Arial" w:cs="Arial" w:eastAsia="Arial" w:hAnsi="Arial"/>
                <w:sz w:val="17"/>
                <w:szCs w:val="17"/>
                <w:color w:val="auto"/>
              </w:rPr>
              <w:t>Title:  Chief Executive Officer, Vice-Chairman and</w:t>
            </w:r>
          </w:p>
        </w:tc>
      </w:tr>
      <w:tr>
        <w:trPr>
          <w:trHeight w:val="221"/>
        </w:trPr>
        <w:tc>
          <w:tcPr>
            <w:tcW w:w="4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472"/>
        </w:trPr>
        <w:tc>
          <w:tcPr>
            <w:tcW w:w="44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136</w:t>
            </w:r>
          </w:p>
        </w:tc>
        <w:tc>
          <w:tcPr>
            <w:tcW w:w="10080" w:type="dxa"/>
            <w:vAlign w:val="bottom"/>
            <w:gridSpan w:val="2"/>
          </w:tcPr>
          <w:p>
            <w:pPr>
              <w:ind w:left="200"/>
              <w:spacing w:after="0"/>
              <w:rPr>
                <w:sz w:val="20"/>
                <w:szCs w:val="20"/>
                <w:color w:val="auto"/>
              </w:rPr>
            </w:pPr>
            <w:r>
              <w:rPr>
                <w:rFonts w:ascii="Arial" w:cs="Arial" w:eastAsia="Arial" w:hAnsi="Arial"/>
                <w:sz w:val="28"/>
                <w:szCs w:val="28"/>
                <w:b w:val="1"/>
                <w:bCs w:val="1"/>
                <w:color w:val="FB4E0B"/>
              </w:rPr>
              <w:t xml:space="preserve">/  </w:t>
            </w:r>
            <w:r>
              <w:rPr>
                <w:rFonts w:ascii="Arial" w:cs="Arial" w:eastAsia="Arial" w:hAnsi="Arial"/>
                <w:sz w:val="13"/>
                <w:szCs w:val="13"/>
                <w:color w:val="000000"/>
              </w:rPr>
              <w:t>EXL 2023 Proxy Statement</w:t>
            </w:r>
          </w:p>
        </w:tc>
      </w:tr>
    </w:tbl>
    <w:p>
      <w:pPr>
        <w:sectPr>
          <w:pgSz w:w="11900" w:h="16838" w:orient="portrait"/>
          <w:cols w:equalWidth="0" w:num="1">
            <w:col w:w="10940"/>
          </w:cols>
          <w:pgMar w:left="320" w:top="473" w:right="6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6939280" cy="6527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D8D8D8"/>
        </w:rPr>
        <w:t>Annex B</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1"/>
          <w:szCs w:val="31"/>
          <w:color w:val="FB4E0B"/>
        </w:rPr>
        <w:t>Annex B</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CERTIFICATE OF AMENDMENT</w:t>
      </w:r>
    </w:p>
    <w:p>
      <w:pPr>
        <w:spacing w:after="0" w:line="30"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TO AMENDED AND RESTATED CERTIFICATE OF INCORPORATION</w:t>
      </w:r>
    </w:p>
    <w:p>
      <w:pPr>
        <w:spacing w:after="0" w:line="10"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OF</w:t>
      </w:r>
    </w:p>
    <w:p>
      <w:pPr>
        <w:spacing w:after="0" w:line="10" w:lineRule="exact"/>
        <w:rPr>
          <w:sz w:val="20"/>
          <w:szCs w:val="20"/>
          <w:color w:val="auto"/>
        </w:rPr>
      </w:pPr>
    </w:p>
    <w:p>
      <w:pPr>
        <w:jc w:val="center"/>
        <w:ind w:right="-319"/>
        <w:spacing w:after="0"/>
        <w:rPr>
          <w:sz w:val="20"/>
          <w:szCs w:val="20"/>
          <w:color w:val="auto"/>
        </w:rPr>
      </w:pPr>
      <w:r>
        <w:rPr>
          <w:rFonts w:ascii="Arial" w:cs="Arial" w:eastAsia="Arial" w:hAnsi="Arial"/>
          <w:sz w:val="24"/>
          <w:szCs w:val="24"/>
          <w:color w:val="auto"/>
        </w:rPr>
        <w:t>EXLSERVICE HOLDINGS, INC.</w:t>
      </w:r>
    </w:p>
    <w:p>
      <w:pPr>
        <w:spacing w:after="0" w:line="201" w:lineRule="exact"/>
        <w:rPr>
          <w:sz w:val="20"/>
          <w:szCs w:val="20"/>
          <w:color w:val="auto"/>
        </w:rPr>
      </w:pPr>
    </w:p>
    <w:p>
      <w:pPr>
        <w:ind w:left="320" w:right="60"/>
        <w:spacing w:after="0" w:line="295" w:lineRule="auto"/>
        <w:rPr>
          <w:sz w:val="20"/>
          <w:szCs w:val="20"/>
          <w:color w:val="auto"/>
        </w:rPr>
      </w:pPr>
      <w:r>
        <w:rPr>
          <w:rFonts w:ascii="Arial" w:cs="Arial" w:eastAsia="Arial" w:hAnsi="Arial"/>
          <w:sz w:val="16"/>
          <w:szCs w:val="16"/>
          <w:color w:val="auto"/>
        </w:rPr>
        <w:t>I, the undersigned, being the officer designated by the board of directors to execute this Certificate of Amendment to the Amended and Restated Certificate of Incorporation, as amended (the “Amended and Restated Certificate of Incorporation”), of ExlService Holdings, Inc. (the “Corporation”), a corporation organized and existing under and by virtue of the General Corporation Law of the State of Delaware do hereby certify:</w:t>
      </w:r>
    </w:p>
    <w:p>
      <w:pPr>
        <w:spacing w:after="0" w:line="252" w:lineRule="exact"/>
        <w:rPr>
          <w:sz w:val="20"/>
          <w:szCs w:val="20"/>
          <w:color w:val="auto"/>
        </w:rPr>
      </w:pPr>
    </w:p>
    <w:p>
      <w:pPr>
        <w:ind w:left="320" w:right="40"/>
        <w:spacing w:after="0" w:line="274" w:lineRule="auto"/>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7"/>
          <w:szCs w:val="17"/>
          <w:color w:val="auto"/>
        </w:rPr>
        <w:t>By unanimous written consent of the Corporation’s Board of Directors, resolutions were duly adopted setting forth a proposed amendment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declaring said amendment to be advisable and directing that the amendment be considered at the next annual meeting of the stockholders of the Corporation.</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amendments to the Amended and Restated Certificate of Incorporation as set forth in such resolutions, is as follows:</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of the Amended and Restated Certificate of Incorporation, as amended, is hereby amended and restated in its entirety to read as follows:</w:t>
      </w:r>
    </w:p>
    <w:p>
      <w:pPr>
        <w:spacing w:after="0" w:line="348" w:lineRule="exact"/>
        <w:rPr>
          <w:sz w:val="20"/>
          <w:szCs w:val="20"/>
          <w:color w:val="auto"/>
        </w:rPr>
      </w:pPr>
    </w:p>
    <w:p>
      <w:pPr>
        <w:ind w:left="740" w:right="180"/>
        <w:spacing w:after="0" w:line="311"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Removal of Directors</w:t>
      </w:r>
      <w:r>
        <w:rPr>
          <w:rFonts w:ascii="Arial" w:cs="Arial" w:eastAsia="Arial" w:hAnsi="Arial"/>
          <w:sz w:val="15"/>
          <w:szCs w:val="15"/>
          <w:color w:val="auto"/>
        </w:rPr>
        <w:t>. Unless otherwise restricted by applicable law and except for such additional Directors, if any, as are elected by the holders of any series of Preferred Stock as provided for or fixed pursuant to the provisions of Section 5 hereof, any Director, or the entire Board, may be removed from office at any time, with or without cause, by the affirmative vote of at least a majority of the total voting power of the outstanding shares of capital stock of the Corporation entitled to vote generally in the election of Directors, voting together as a single class.”</w:t>
      </w:r>
    </w:p>
    <w:p>
      <w:pPr>
        <w:spacing w:after="0" w:line="245" w:lineRule="exact"/>
        <w:rPr>
          <w:sz w:val="20"/>
          <w:szCs w:val="20"/>
          <w:color w:val="auto"/>
        </w:rPr>
      </w:pPr>
    </w:p>
    <w:p>
      <w:pPr>
        <w:ind w:left="320" w:right="200"/>
        <w:spacing w:after="0" w:line="293"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That said amendments were duly adopted in accordance with the provisions of Section 242 of the General Corporation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The foregoing amendments shall be effective upon filing with the Secretary of State of the State of Delaware.</w:t>
      </w:r>
    </w:p>
    <w:p>
      <w:pPr>
        <w:spacing w:after="0" w:line="251" w:lineRule="exact"/>
        <w:rPr>
          <w:sz w:val="20"/>
          <w:szCs w:val="20"/>
          <w:color w:val="auto"/>
        </w:rPr>
      </w:pPr>
    </w:p>
    <w:p>
      <w:pPr>
        <w:ind w:left="320" w:right="800" w:firstLine="425"/>
        <w:spacing w:after="0" w:line="293"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of Amendment to be signed by a duly authorized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as of this ___ day of June, 2023.</w:t>
      </w:r>
    </w:p>
    <w:p>
      <w:pPr>
        <w:spacing w:after="0" w:line="296"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EXLSERVICE HOLDINGS, INC.</w:t>
      </w:r>
    </w:p>
    <w:p>
      <w:pPr>
        <w:spacing w:after="0" w:line="2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By:</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-123190</wp:posOffset>
            </wp:positionV>
            <wp:extent cx="23710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spacing w:after="0" w:line="6" w:lineRule="exact"/>
        <w:rPr>
          <w:sz w:val="20"/>
          <w:szCs w:val="20"/>
          <w:color w:val="auto"/>
        </w:rPr>
      </w:pPr>
    </w:p>
    <w:p>
      <w:pPr>
        <w:ind w:left="6700"/>
        <w:spacing w:after="0"/>
        <w:tabs>
          <w:tab w:leader="none" w:pos="7240" w:val="left"/>
        </w:tabs>
        <w:rPr>
          <w:sz w:val="20"/>
          <w:szCs w:val="20"/>
          <w:color w:val="auto"/>
        </w:rPr>
      </w:pPr>
      <w:r>
        <w:rPr>
          <w:rFonts w:ascii="Arial" w:cs="Arial" w:eastAsia="Arial" w:hAnsi="Arial"/>
          <w:sz w:val="17"/>
          <w:szCs w:val="17"/>
          <w:color w:val="auto"/>
        </w:rPr>
        <w:t>Title:</w:t>
        <w:tab/>
        <w:t>Chief Executive Officer, Vice-Chairman and</w:t>
      </w:r>
    </w:p>
    <w:p>
      <w:pPr>
        <w:spacing w:after="0" w:line="13"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Director</w:t>
      </w:r>
    </w:p>
    <w:p>
      <w:pPr>
        <w:spacing w:after="0" w:line="267" w:lineRule="exact"/>
        <w:rPr>
          <w:sz w:val="20"/>
          <w:szCs w:val="20"/>
          <w:color w:val="auto"/>
        </w:rPr>
      </w:pPr>
    </w:p>
    <w:p>
      <w:pPr>
        <w:ind w:left="8060"/>
        <w:spacing w:after="0"/>
        <w:tabs>
          <w:tab w:leader="none" w:pos="10060" w:val="left"/>
          <w:tab w:leader="none" w:pos="10440" w:val="left"/>
        </w:tabs>
        <w:rPr>
          <w:sz w:val="20"/>
          <w:szCs w:val="20"/>
          <w:color w:val="auto"/>
        </w:rPr>
      </w:pPr>
      <w:r>
        <w:rPr>
          <w:rFonts w:ascii="Arial" w:cs="Arial" w:eastAsia="Arial" w:hAnsi="Arial"/>
          <w:sz w:val="13"/>
          <w:szCs w:val="13"/>
          <w:color w:val="auto"/>
        </w:rPr>
        <w:t>EXL 2023 Proxy Statement</w:t>
      </w:r>
      <w:r>
        <w:rPr>
          <w:sz w:val="20"/>
          <w:szCs w:val="20"/>
          <w:color w:val="auto"/>
        </w:rPr>
        <w:tab/>
      </w:r>
      <w:r>
        <w:rPr>
          <w:rFonts w:ascii="Arial" w:cs="Arial" w:eastAsia="Arial" w:hAnsi="Arial"/>
          <w:sz w:val="28"/>
          <w:szCs w:val="28"/>
          <w:b w:val="1"/>
          <w:bCs w:val="1"/>
          <w:color w:val="FB4E0B"/>
        </w:rPr>
        <w:t>/</w:t>
      </w:r>
      <w:r>
        <w:rPr>
          <w:sz w:val="20"/>
          <w:szCs w:val="20"/>
          <w:color w:val="auto"/>
        </w:rPr>
        <w:tab/>
      </w:r>
      <w:r>
        <w:rPr>
          <w:rFonts w:ascii="Arial" w:cs="Arial" w:eastAsia="Arial" w:hAnsi="Arial"/>
          <w:sz w:val="15"/>
          <w:szCs w:val="15"/>
          <w:b w:val="1"/>
          <w:bCs w:val="1"/>
          <w:color w:val="auto"/>
        </w:rPr>
        <w:t>137</w:t>
      </w:r>
    </w:p>
    <w:p>
      <w:pPr>
        <w:sectPr>
          <w:pgSz w:w="11900" w:h="16838" w:orient="portrait"/>
          <w:cols w:equalWidth="0" w:num="1">
            <w:col w:w="10940"/>
          </w:cols>
          <w:pgMar w:left="320" w:top="473" w:right="63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7000240" cy="91198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140" w:name="page141"/>
    <w:bookmarkEnd w:id="140"/>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773545" cy="87649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p>
      <w:pPr>
        <w:sectPr>
          <w:pgSz w:w="11900" w:h="16838" w:orient="portrait"/>
          <w:cols w:equalWidth="0" w:num="1">
            <w:col w:w="10139"/>
          </w:cols>
          <w:pgMar w:left="320" w:top="473" w:right="1440"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6773545" cy="87649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sectPr>
      <w:pgSz w:w="11900" w:h="16838" w:orient="portrait"/>
      <w:cols w:equalWidth="0" w:num="1">
        <w:col w:w="10139"/>
      </w:cols>
      <w:pgMar w:left="3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lvl w:ilvl="1">
      <w:lvlJc w:val="left"/>
      <w:lvlText w:val="\endash "/>
      <w:numFmt w:val="bullet"/>
      <w:start w:val="1"/>
    </w:lvl>
  </w:abstractNum>
  <w:abstractNum w:abstractNumId="10">
    <w:nsid w:val="737B8DDC"/>
    <w:multiLevelType w:val="hybridMultilevel"/>
    <w:lvl w:ilvl="0">
      <w:lvlJc w:val="left"/>
      <w:lvlText w:val=" "/>
      <w:numFmt w:val="bullet"/>
      <w:start w:val="1"/>
    </w:lvl>
  </w:abstractNum>
  <w:abstractNum w:abstractNumId="11">
    <w:nsid w:val="6CEAF087"/>
    <w:multiLevelType w:val="hybridMultilevel"/>
    <w:lvl w:ilvl="0">
      <w:lvlJc w:val="left"/>
      <w:lvlText w:val=" "/>
      <w:numFmt w:val="bullet"/>
      <w:start w:val="1"/>
    </w:lvl>
  </w:abstractNum>
  <w:abstractNum w:abstractNumId="12">
    <w:nsid w:val="22221A70"/>
    <w:multiLevelType w:val="hybridMultilevel"/>
    <w:lvl w:ilvl="0">
      <w:lvlJc w:val="left"/>
      <w:lvlText w:val=" "/>
      <w:numFmt w:val="bullet"/>
      <w:start w:val="1"/>
    </w:lvl>
  </w:abstractNum>
  <w:abstractNum w:abstractNumId="13">
    <w:nsid w:val="4516DDE9"/>
    <w:multiLevelType w:val="hybridMultilevel"/>
    <w:lvl w:ilvl="0">
      <w:lvlJc w:val="left"/>
      <w:lvlText w:val=" "/>
      <w:numFmt w:val="bullet"/>
      <w:start w:val="1"/>
    </w:lvl>
  </w:abstractNum>
  <w:abstractNum w:abstractNumId="14">
    <w:nsid w:val="3006C83E"/>
    <w:multiLevelType w:val="hybridMultilevel"/>
    <w:lvl w:ilvl="0">
      <w:lvlJc w:val="left"/>
      <w:lvlText w:val="(%1)"/>
      <w:numFmt w:val="lowerRoman"/>
      <w:start w:val="1"/>
    </w:lvl>
  </w:abstractNum>
  <w:abstractNum w:abstractNumId="15">
    <w:nsid w:val="614FD4A1"/>
    <w:multiLevelType w:val="hybridMultilevel"/>
    <w:lvl w:ilvl="0">
      <w:lvlJc w:val="left"/>
      <w:lvlText w:val="(%1)"/>
      <w:numFmt w:val="lowerRoman"/>
      <w:start w:val="3"/>
    </w:lvl>
  </w:abstractNum>
  <w:abstractNum w:abstractNumId="16">
    <w:nsid w:val="419AC241"/>
    <w:multiLevelType w:val="hybridMultilevel"/>
    <w:lvl w:ilvl="0">
      <w:lvlJc w:val="left"/>
      <w:lvlText w:val="4"/>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lvl w:ilvl="1">
      <w:lvlJc w:val="left"/>
      <w:lvlText w:val="\endash "/>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lvl w:ilvl="1">
      <w:lvlJc w:val="left"/>
      <w:lvlText w:val="\endash "/>
      <w:numFmt w:val="bullet"/>
      <w:start w:val="1"/>
    </w:lvl>
  </w:abstractNum>
  <w:abstractNum w:abstractNumId="24">
    <w:nsid w:val="2463B9EA"/>
    <w:multiLevelType w:val="hybridMultilevel"/>
    <w:lvl w:ilvl="0">
      <w:lvlJc w:val="left"/>
      <w:lvlText w:val="\endash "/>
      <w:numFmt w:val="bullet"/>
      <w:start w:val="1"/>
    </w:lvl>
  </w:abstractNum>
  <w:abstractNum w:abstractNumId="25">
    <w:nsid w:val="5E884ADC"/>
    <w:multiLevelType w:val="hybridMultilevel"/>
    <w:lvl w:ilvl="0">
      <w:lvlJc w:val="left"/>
      <w:lvlText w:val="\endash "/>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lvl w:ilvl="1">
      <w:lvlJc w:val="left"/>
      <w:lvlText w:val="(%2)"/>
      <w:numFmt w:val="lowerLetter"/>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lvl w:ilvl="1">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4"/>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decimal"/>
      <w:start w:val="8"/>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lowerRoman"/>
      <w:start w:val="2"/>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2023-04-28T18:09:58Z</dcterms:created>
  <dcterms:modified xsi:type="dcterms:W3CDTF">2023-04-28T18:09:58Z</dcterms:modified>
</cp:coreProperties>
</file>