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134620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101600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16" w:lineRule="exact"/>
        <w:rPr>
          <w:sz w:val="24"/>
          <w:szCs w:val="24"/>
          <w:color w:val="auto"/>
        </w:rPr>
      </w:pPr>
    </w:p>
    <w:p>
      <w:pPr>
        <w:ind w:left="300" w:hanging="28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3" w:lineRule="exact"/>
        <w:rPr>
          <w:sz w:val="24"/>
          <w:szCs w:val="24"/>
          <w:color w:val="auto"/>
        </w:rPr>
      </w:pPr>
    </w:p>
    <w:p>
      <w:pPr>
        <w:ind w:left="300" w:hanging="280"/>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260"/>
        <w:spacing w:after="0"/>
        <w:tabs>
          <w:tab w:leader="none" w:pos="69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3906520</wp:posOffset>
            </wp:positionH>
            <wp:positionV relativeFrom="paragraph">
              <wp:posOffset>-635</wp:posOffset>
            </wp:positionV>
            <wp:extent cx="117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001-33089</w:t>
      </w:r>
    </w:p>
    <w:p>
      <w:pPr>
        <w:spacing w:after="0" w:line="2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EXLSERVICE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2" w:lineRule="exact"/>
        <w:rPr>
          <w:sz w:val="24"/>
          <w:szCs w:val="24"/>
          <w:color w:val="auto"/>
        </w:rPr>
      </w:pPr>
    </w:p>
    <w:tbl>
      <w:tblPr>
        <w:tblLayout w:type="fixed"/>
        <w:tblInd w:w="330" w:type="dxa"/>
        <w:tblCellMar>
          <w:top w:w="0" w:type="dxa"/>
          <w:left w:w="0" w:type="dxa"/>
          <w:bottom w:w="0" w:type="dxa"/>
          <w:right w:w="0" w:type="dxa"/>
        </w:tblCellMar>
      </w:tblPr>
      <w:tr>
        <w:trPr>
          <w:trHeight w:val="198"/>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40" w:type="dxa"/>
            <w:vAlign w:val="bottom"/>
            <w:gridSpan w:val="2"/>
          </w:tcPr>
          <w:p>
            <w:pPr>
              <w:jc w:val="center"/>
              <w:ind w:right="134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1988"/>
              <w:spacing w:after="0"/>
              <w:rPr>
                <w:sz w:val="20"/>
                <w:szCs w:val="20"/>
                <w:color w:val="auto"/>
              </w:rPr>
            </w:pPr>
            <w:r>
              <w:rPr>
                <w:rFonts w:ascii="Times New Roman" w:cs="Times New Roman" w:eastAsia="Times New Roman" w:hAnsi="Times New Roman"/>
                <w:sz w:val="15"/>
                <w:szCs w:val="15"/>
                <w:b w:val="1"/>
                <w:bCs w:val="1"/>
                <w:color w:val="auto"/>
              </w:rPr>
              <w:t>82-0572194</w:t>
            </w:r>
          </w:p>
        </w:tc>
        <w:tc>
          <w:tcPr>
            <w:tcW w:w="620" w:type="dxa"/>
            <w:vAlign w:val="bottom"/>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330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2"/>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2"/>
        </w:trPr>
        <w:tc>
          <w:tcPr>
            <w:tcW w:w="1340" w:type="dxa"/>
            <w:vAlign w:val="bottom"/>
          </w:tcPr>
          <w:p>
            <w:pPr>
              <w:spacing w:after="0"/>
              <w:rPr>
                <w:sz w:val="22"/>
                <w:szCs w:val="22"/>
                <w:color w:val="auto"/>
              </w:rPr>
            </w:pPr>
          </w:p>
        </w:tc>
        <w:tc>
          <w:tcPr>
            <w:tcW w:w="33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320 Park Avenue, 29th Floor,</w:t>
            </w: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00"/>
        </w:trPr>
        <w:tc>
          <w:tcPr>
            <w:tcW w:w="1340" w:type="dxa"/>
            <w:vAlign w:val="bottom"/>
          </w:tcPr>
          <w:p>
            <w:pPr>
              <w:spacing w:after="0"/>
              <w:rPr>
                <w:sz w:val="17"/>
                <w:szCs w:val="17"/>
                <w:color w:val="auto"/>
              </w:rPr>
            </w:pP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5"/>
                <w:szCs w:val="15"/>
                <w:b w:val="1"/>
                <w:bCs w:val="1"/>
                <w:color w:val="auto"/>
              </w:rPr>
              <w:t>New York, New York</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2168"/>
              <w:spacing w:after="0"/>
              <w:rPr>
                <w:sz w:val="20"/>
                <w:szCs w:val="20"/>
                <w:color w:val="auto"/>
              </w:rPr>
            </w:pPr>
            <w:r>
              <w:rPr>
                <w:rFonts w:ascii="Times New Roman" w:cs="Times New Roman" w:eastAsia="Times New Roman" w:hAnsi="Times New Roman"/>
                <w:sz w:val="15"/>
                <w:szCs w:val="15"/>
                <w:b w:val="1"/>
                <w:bCs w:val="1"/>
                <w:color w:val="auto"/>
              </w:rPr>
              <w:t>10022</w:t>
            </w:r>
          </w:p>
        </w:tc>
        <w:tc>
          <w:tcPr>
            <w:tcW w:w="620" w:type="dxa"/>
            <w:vAlign w:val="bottom"/>
          </w:tcPr>
          <w:p>
            <w:pPr>
              <w:spacing w:after="0"/>
              <w:rPr>
                <w:sz w:val="17"/>
                <w:szCs w:val="17"/>
                <w:color w:val="auto"/>
              </w:rPr>
            </w:pPr>
          </w:p>
        </w:tc>
      </w:tr>
      <w:tr>
        <w:trPr>
          <w:trHeight w:val="182"/>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2"/>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1"/>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jc w:val="center"/>
              <w:ind w:left="46"/>
              <w:spacing w:after="0"/>
              <w:rPr>
                <w:sz w:val="20"/>
                <w:szCs w:val="20"/>
                <w:color w:val="auto"/>
              </w:rPr>
            </w:pPr>
            <w:r>
              <w:rPr>
                <w:rFonts w:ascii="Times New Roman" w:cs="Times New Roman" w:eastAsia="Times New Roman" w:hAnsi="Times New Roman"/>
                <w:sz w:val="15"/>
                <w:szCs w:val="15"/>
                <w:b w:val="1"/>
                <w:bCs w:val="1"/>
                <w:color w:val="auto"/>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5"/>
          </w:tcPr>
          <w:p>
            <w:pPr>
              <w:jc w:val="center"/>
              <w:ind w:left="1106"/>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7"/>
        </w:trPr>
        <w:tc>
          <w:tcPr>
            <w:tcW w:w="1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gridSpan w:val="3"/>
          </w:tcPr>
          <w:p>
            <w:pPr>
              <w:spacing w:after="0"/>
              <w:rPr>
                <w:sz w:val="7"/>
                <w:szCs w:val="7"/>
                <w:color w:val="auto"/>
              </w:rPr>
            </w:pPr>
          </w:p>
        </w:tc>
        <w:tc>
          <w:tcPr>
            <w:tcW w:w="1420" w:type="dxa"/>
            <w:vAlign w:val="bottom"/>
            <w:tcBorders>
              <w:bottom w:val="single" w:sz="8" w:color="auto"/>
            </w:tcBorders>
            <w:gridSpan w:val="3"/>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198"/>
        </w:trPr>
        <w:tc>
          <w:tcPr>
            <w:tcW w:w="134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8"/>
          </w:tcPr>
          <w:p>
            <w:pPr>
              <w:jc w:val="center"/>
              <w:ind w:right="25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69"/>
        </w:trPr>
        <w:tc>
          <w:tcPr>
            <w:tcW w:w="1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gridSpan w:val="2"/>
          </w:tcPr>
          <w:p>
            <w:pPr>
              <w:jc w:val="center"/>
              <w:ind w:right="1266"/>
              <w:spacing w:after="0" w:line="135"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8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820"/>
              <w:spacing w:after="0" w:line="135"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tcBorders>
              <w:right w:val="single" w:sz="8" w:color="auto"/>
            </w:tcBorders>
            <w:gridSpan w:val="2"/>
          </w:tcPr>
          <w:p>
            <w:pPr>
              <w:jc w:val="center"/>
              <w:ind w:right="6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7"/>
              </w:rPr>
              <w:t>EXLS</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w:t>
      </w:r>
    </w:p>
    <w:p>
      <w:pPr>
        <w:spacing w:after="0" w:line="216" w:lineRule="exact"/>
        <w:rPr>
          <w:sz w:val="24"/>
          <w:szCs w:val="24"/>
          <w:color w:val="auto"/>
        </w:rPr>
      </w:pPr>
    </w:p>
    <w:p>
      <w:pPr>
        <w:ind w:firstLine="309"/>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4940" w:val="left"/>
        </w:tabs>
        <w:rPr>
          <w:sz w:val="20"/>
          <w:szCs w:val="20"/>
          <w:color w:val="auto"/>
        </w:rPr>
      </w:pPr>
      <w:r>
        <w:rPr>
          <w:rFonts w:ascii="Times New Roman" w:cs="Times New Roman" w:eastAsia="Times New Roman" w:hAnsi="Times New Roman"/>
          <w:sz w:val="15"/>
          <w:szCs w:val="15"/>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8"/>
          <w:szCs w:val="18"/>
          <w:color w:val="auto"/>
        </w:rPr>
        <w:t>☐</w:t>
      </w:r>
    </w:p>
    <w:p>
      <w:pPr>
        <w:spacing w:after="0" w:line="253" w:lineRule="exact"/>
        <w:rPr>
          <w:sz w:val="24"/>
          <w:szCs w:val="24"/>
          <w:color w:val="auto"/>
        </w:rPr>
      </w:pPr>
    </w:p>
    <w:p>
      <w:pPr>
        <w:ind w:firstLine="309"/>
        <w:spacing w:after="0" w:line="22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firstLine="309"/>
        <w:spacing w:after="0" w:line="26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1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47" w:lineRule="exact"/>
        <w:rPr>
          <w:sz w:val="24"/>
          <w:szCs w:val="24"/>
          <w:color w:val="auto"/>
        </w:rPr>
      </w:pPr>
    </w:p>
    <w:p>
      <w:pPr>
        <w:ind w:firstLine="309"/>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3" w:lineRule="exact"/>
        <w:rPr>
          <w:sz w:val="24"/>
          <w:szCs w:val="24"/>
          <w:color w:val="auto"/>
        </w:rPr>
      </w:pPr>
    </w:p>
    <w:p>
      <w:pPr>
        <w:spacing w:after="0" w:line="173" w:lineRule="exact"/>
        <w:tabs>
          <w:tab w:leader="none" w:pos="764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3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July 30, 2024, there were 161,404,784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229235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ITEM</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560" w:type="dxa"/>
            <w:vAlign w:val="bottom"/>
            <w:gridSpan w:val="3"/>
            <w:vMerge w:val="continue"/>
          </w:tcPr>
          <w:p>
            <w:pPr>
              <w:spacing w:after="0"/>
              <w:rPr>
                <w:sz w:val="17"/>
                <w:szCs w:val="17"/>
                <w:color w:val="auto"/>
              </w:rPr>
            </w:pPr>
          </w:p>
        </w:tc>
        <w:tc>
          <w:tcPr>
            <w:tcW w:w="198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7060" w:type="dxa"/>
            <w:vAlign w:val="bottom"/>
            <w:gridSpan w:val="11"/>
            <w:vMerge w:val="restart"/>
          </w:tcPr>
          <w:p>
            <w:pPr>
              <w:spacing w:after="0"/>
              <w:rPr>
                <w:sz w:val="17"/>
                <w:szCs w:val="17"/>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tcBorders>
              <w:bottom w:val="single" w:sz="8" w:color="0000FF"/>
            </w:tcBorders>
            <w:gridSpan w:val="9"/>
            <w:vMerge w:val="continue"/>
          </w:tcPr>
          <w:p>
            <w:pPr>
              <w:spacing w:after="0"/>
              <w:rPr>
                <w:sz w:val="15"/>
                <w:szCs w:val="15"/>
                <w:color w:val="auto"/>
              </w:rPr>
            </w:pPr>
          </w:p>
        </w:tc>
        <w:tc>
          <w:tcPr>
            <w:tcW w:w="7060" w:type="dxa"/>
            <w:vAlign w:val="bottom"/>
            <w:gridSpan w:val="11"/>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Consolidated Balance Sheets as of June 30, 2024 and December 31, 2023</w:t>
            </w:r>
          </w:p>
        </w:tc>
        <w:tc>
          <w:tcPr>
            <w:tcW w:w="3780" w:type="dxa"/>
            <w:vAlign w:val="bottom"/>
            <w:gridSpan w:val="6"/>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Three and Six Months Ended June 30, 2024 and 2023</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Three and Six Months Ended June 30, 2024 and 2023</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Six Months Ended June 30, 2024 and 2023</w:t>
            </w:r>
          </w:p>
        </w:tc>
        <w:tc>
          <w:tcPr>
            <w:tcW w:w="20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Six Months Ended June 30, 2024 and 2023</w:t>
            </w:r>
          </w:p>
        </w:tc>
        <w:tc>
          <w:tcPr>
            <w:tcW w:w="2600" w:type="dxa"/>
            <w:vAlign w:val="bottom"/>
            <w:gridSpan w:val="4"/>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tcPr>
          <w:p>
            <w:pPr>
              <w:spacing w:after="0"/>
              <w:rPr>
                <w:sz w:val="21"/>
                <w:szCs w:val="21"/>
                <w:color w:val="auto"/>
              </w:rPr>
            </w:pPr>
          </w:p>
        </w:tc>
        <w:tc>
          <w:tcPr>
            <w:tcW w:w="6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860" w:type="dxa"/>
            <w:vAlign w:val="bottom"/>
            <w:gridSpan w:val="5"/>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Pr>
          <w:p>
            <w:pPr>
              <w:spacing w:after="0"/>
              <w:rPr>
                <w:sz w:val="21"/>
                <w:szCs w:val="21"/>
                <w:color w:val="auto"/>
              </w:rPr>
            </w:pPr>
          </w:p>
        </w:tc>
        <w:tc>
          <w:tcPr>
            <w:tcW w:w="4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860" w:type="dxa"/>
            <w:vAlign w:val="bottom"/>
            <w:gridSpan w:val="7"/>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20" w:type="dxa"/>
            <w:vAlign w:val="bottom"/>
          </w:tcPr>
          <w:p>
            <w:pPr>
              <w:spacing w:after="0"/>
              <w:rPr>
                <w:sz w:val="21"/>
                <w:szCs w:val="21"/>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320" w:type="dxa"/>
            <w:vAlign w:val="bottom"/>
            <w:gridSpan w:val="13"/>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spacing w:after="0"/>
              <w:rPr>
                <w:sz w:val="21"/>
                <w:szCs w:val="21"/>
                <w:color w:val="auto"/>
              </w:rPr>
            </w:pP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260" w:type="dxa"/>
            <w:vAlign w:val="bottom"/>
            <w:gridSpan w:val="12"/>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gridSpan w:val="2"/>
          </w:tcPr>
          <w:p>
            <w:pPr>
              <w:spacing w:after="0"/>
              <w:rPr>
                <w:sz w:val="21"/>
                <w:szCs w:val="21"/>
                <w:color w:val="auto"/>
              </w:rPr>
            </w:pPr>
          </w:p>
        </w:tc>
        <w:tc>
          <w:tcPr>
            <w:tcW w:w="7760" w:type="dxa"/>
            <w:vAlign w:val="bottom"/>
            <w:gridSpan w:val="15"/>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tcPr>
          <w:p>
            <w:pPr>
              <w:spacing w:after="0"/>
              <w:rPr>
                <w:sz w:val="21"/>
                <w:szCs w:val="21"/>
                <w:color w:val="auto"/>
              </w:rPr>
            </w:pPr>
          </w:p>
        </w:tc>
        <w:tc>
          <w:tcPr>
            <w:tcW w:w="4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80" w:type="dxa"/>
            <w:vAlign w:val="bottom"/>
            <w:gridSpan w:val="8"/>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54</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20" w:type="dxa"/>
            <w:vAlign w:val="bottom"/>
          </w:tcPr>
          <w:p>
            <w:pPr>
              <w:spacing w:after="0"/>
              <w:rPr>
                <w:sz w:val="21"/>
                <w:szCs w:val="21"/>
                <w:color w:val="auto"/>
              </w:rPr>
            </w:pPr>
          </w:p>
        </w:tc>
        <w:tc>
          <w:tcPr>
            <w:tcW w:w="17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gridSpan w:val="4"/>
          </w:tcPr>
          <w:p>
            <w:pPr>
              <w:spacing w:after="0"/>
              <w:rPr>
                <w:sz w:val="21"/>
                <w:szCs w:val="21"/>
                <w:color w:val="auto"/>
              </w:rPr>
            </w:pPr>
          </w:p>
        </w:tc>
        <w:tc>
          <w:tcPr>
            <w:tcW w:w="6820" w:type="dxa"/>
            <w:vAlign w:val="bottom"/>
            <w:gridSpan w:val="10"/>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54</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82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54</w:t>
            </w:r>
          </w:p>
        </w:tc>
        <w:tc>
          <w:tcPr>
            <w:tcW w:w="0" w:type="dxa"/>
            <w:vAlign w:val="bottom"/>
          </w:tcPr>
          <w:p>
            <w:pPr>
              <w:spacing w:after="0"/>
              <w:rPr>
                <w:sz w:val="1"/>
                <w:szCs w:val="1"/>
                <w:color w:val="auto"/>
              </w:rPr>
            </w:pPr>
          </w:p>
        </w:tc>
      </w:tr>
      <w:tr>
        <w:trPr>
          <w:trHeight w:val="2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tcPr>
          <w:p>
            <w:pPr>
              <w:spacing w:after="0"/>
              <w:rPr>
                <w:sz w:val="21"/>
                <w:szCs w:val="21"/>
                <w:color w:val="auto"/>
              </w:rPr>
            </w:pPr>
          </w:p>
        </w:tc>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780" w:type="dxa"/>
            <w:vAlign w:val="bottom"/>
            <w:gridSpan w:val="16"/>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1"/>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Signatures</w:t>
            </w:r>
          </w:p>
        </w:tc>
        <w:tc>
          <w:tcPr>
            <w:tcW w:w="2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12"/>
          </w:tcPr>
          <w:p>
            <w:pPr>
              <w:ind w:left="40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CONSOLIDATED BALANCE SHEETS (UNAUDITED)</w:t>
      </w:r>
    </w:p>
    <w:p>
      <w:pPr>
        <w:spacing w:after="0" w:line="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7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8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7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136,953</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153,881</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4,062</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308,108</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93,612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76,669</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703,712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679,673</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100,373</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64,856</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82,927</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405,639</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50,164</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8,816</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53,939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49,524</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1,503,767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5,055</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65,000</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12,318</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employee costs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117,137</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114,113</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15,404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12,780</w:t>
            </w: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286,862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326,403</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135,000</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58,175</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1,495</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37,616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31,462</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651,161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552,535</w:t>
            </w:r>
          </w:p>
        </w:tc>
        <w:tc>
          <w:tcPr>
            <w:tcW w:w="0" w:type="dxa"/>
            <w:vAlign w:val="bottom"/>
          </w:tcPr>
          <w:p>
            <w:pPr>
              <w:spacing w:after="0"/>
              <w:rPr>
                <w:sz w:val="1"/>
                <w:szCs w:val="1"/>
                <w:color w:val="auto"/>
              </w:rPr>
            </w:pPr>
          </w:p>
        </w:tc>
      </w:tr>
      <w:tr>
        <w:trPr>
          <w:trHeight w:val="174"/>
        </w:trPr>
        <w:tc>
          <w:tcPr>
            <w:tcW w:w="7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5"/>
                <w:szCs w:val="15"/>
                <w:color w:val="auto"/>
                <w:w w:val="93"/>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ExlService Holdings, Inc. Stockholders’ equity: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4"/>
        </w:trPr>
        <w:tc>
          <w:tcPr>
            <w:tcW w:w="74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204,783,113 shares issued and 162,176,382 shares outstanding</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84"/>
        </w:trPr>
        <w:tc>
          <w:tcPr>
            <w:tcW w:w="7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 of June 30, 2024 and 203,410,038 shares issued and 165,277,880 shares outstanding as of December 31, 2023</w:t>
            </w: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520,922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508,028</w:t>
            </w:r>
          </w:p>
        </w:tc>
        <w:tc>
          <w:tcPr>
            <w:tcW w:w="0" w:type="dxa"/>
            <w:vAlign w:val="bottom"/>
          </w:tcPr>
          <w:p>
            <w:pPr>
              <w:spacing w:after="0"/>
              <w:rPr>
                <w:sz w:val="1"/>
                <w:szCs w:val="1"/>
                <w:color w:val="auto"/>
              </w:rPr>
            </w:pPr>
          </w:p>
        </w:tc>
      </w:tr>
      <w:tr>
        <w:trPr>
          <w:trHeight w:val="192"/>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Retained earnings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1,178,251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1,083,663</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(127,040)</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1,563,269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1,464,854</w:t>
            </w:r>
          </w:p>
        </w:tc>
        <w:tc>
          <w:tcPr>
            <w:tcW w:w="0" w:type="dxa"/>
            <w:vAlign w:val="bottom"/>
          </w:tcPr>
          <w:p>
            <w:pPr>
              <w:spacing w:after="0"/>
              <w:rPr>
                <w:sz w:val="1"/>
                <w:szCs w:val="1"/>
                <w:color w:val="auto"/>
              </w:rPr>
            </w:pPr>
          </w:p>
        </w:tc>
      </w:tr>
      <w:tr>
        <w:trPr>
          <w:trHeight w:val="187"/>
        </w:trPr>
        <w:tc>
          <w:tcPr>
            <w:tcW w:w="7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Less: 42,606,731 shares as of June 30, 2024 and 38,132,158 shares as of December 31, 2023, held in treasury, at cost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(710,663)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(575,417)</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852,606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889,437</w:t>
            </w:r>
          </w:p>
        </w:tc>
        <w:tc>
          <w:tcPr>
            <w:tcW w:w="0" w:type="dxa"/>
            <w:vAlign w:val="bottom"/>
          </w:tcPr>
          <w:p>
            <w:pPr>
              <w:spacing w:after="0"/>
              <w:rPr>
                <w:sz w:val="1"/>
                <w:szCs w:val="1"/>
                <w:color w:val="auto"/>
              </w:rPr>
            </w:pPr>
          </w:p>
        </w:tc>
      </w:tr>
      <w:tr>
        <w:trPr>
          <w:trHeight w:val="21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1,503,767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35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CONSOLIDATED STATEMENTS OF INCOME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4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5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805,639</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253,220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555,530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504,689</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166,260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151,776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329,343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300,950</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92,351</w:t>
            </w: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57,731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9, 10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26,609</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86,965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176,691</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64,811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124,259</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Income before income tax expense and earnings from equity</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59,707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64,556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122,251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123,879</w:t>
            </w: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23,612</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earnings from equity affiliates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45,834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49,002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94,625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100,267</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Gain/(loss) from equity-method investment</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Net income attributable to ExlService Holdings, Inc.</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45,825</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49,068</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94,588</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100,399</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Times New Roman" w:cs="Times New Roman" w:eastAsia="Times New Roman" w:hAnsi="Times New Roman"/>
                <w:sz w:val="17"/>
                <w:szCs w:val="17"/>
                <w:color w:val="auto"/>
              </w:rPr>
              <w:t>Earnings per share attributable to ExlService Holdings, Inc.</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4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stockholders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 average number of shares used in computing earnings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per share attributable to ExlService Holdings, Inc. stockholders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162,794,138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166,776,770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163,938,263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166,986,130</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163,961,754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168,442,245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165,344,304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169,047,775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20" w:hanging="217"/>
        <w:spacing w:after="0"/>
        <w:tabs>
          <w:tab w:leader="none" w:pos="220" w:val="left"/>
        </w:tabs>
        <w:numPr>
          <w:ilvl w:val="0"/>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Exclusive of depreciation and amortization expense.</w:t>
      </w:r>
    </w:p>
    <w:p>
      <w:pPr>
        <w:spacing w:after="0" w:line="240" w:lineRule="exact"/>
        <w:rPr>
          <w:rFonts w:ascii="Times New Roman" w:cs="Times New Roman" w:eastAsia="Times New Roman" w:hAnsi="Times New Roman"/>
          <w:sz w:val="15"/>
          <w:szCs w:val="15"/>
          <w:i w:val="1"/>
          <w:iCs w:val="1"/>
          <w:color w:val="auto"/>
        </w:rPr>
      </w:pPr>
    </w:p>
    <w:p>
      <w:pPr>
        <w:ind w:firstLine="3"/>
        <w:spacing w:after="0" w:line="294" w:lineRule="auto"/>
        <w:tabs>
          <w:tab w:leader="none" w:pos="241" w:val="left"/>
        </w:tabs>
        <w:numPr>
          <w:ilvl w:val="0"/>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(UNAUDITED)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56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44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100,399</w:t>
            </w:r>
          </w:p>
        </w:tc>
      </w:tr>
      <w:tr>
        <w:trPr>
          <w:trHeight w:val="205"/>
        </w:trPr>
        <w:tc>
          <w:tcPr>
            <w:tcW w:w="44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comprehensive income/(loss):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Unrealized gain/(loss) on cash flow hedges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16,145</w:t>
            </w:r>
          </w:p>
        </w:tc>
      </w:tr>
      <w:tr>
        <w:trPr>
          <w:trHeight w:val="219"/>
        </w:trPr>
        <w:tc>
          <w:tcPr>
            <w:tcW w:w="4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Currency translation adjustments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r>
      <w:tr>
        <w:trPr>
          <w:trHeight w:val="20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Reclassification adjustments: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4400" w:type="dxa"/>
            <w:vAlign w:val="bottom"/>
          </w:tcPr>
          <w:p>
            <w:pPr>
              <w:ind w:left="320"/>
              <w:spacing w:after="0" w:line="219" w:lineRule="exact"/>
              <w:rPr>
                <w:sz w:val="20"/>
                <w:szCs w:val="20"/>
                <w:color w:val="auto"/>
              </w:rPr>
            </w:pPr>
            <w:r>
              <w:rPr>
                <w:rFonts w:ascii="Times New Roman" w:cs="Times New Roman" w:eastAsia="Times New Roman" w:hAnsi="Times New Roman"/>
                <w:sz w:val="15"/>
                <w:szCs w:val="15"/>
                <w:color w:val="auto"/>
              </w:rPr>
              <w:t xml:space="preserve">(Gain)/loss on cash flow hedges </w:t>
            </w:r>
            <w:r>
              <w:rPr>
                <w:rFonts w:ascii="Times New Roman" w:cs="Times New Roman" w:eastAsia="Times New Roman" w:hAnsi="Times New Roman"/>
                <w:sz w:val="20"/>
                <w:szCs w:val="20"/>
                <w:color w:val="auto"/>
                <w:vertAlign w:val="superscript"/>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4,229</w:t>
            </w:r>
          </w:p>
        </w:tc>
      </w:tr>
      <w:tr>
        <w:trPr>
          <w:trHeight w:val="219"/>
        </w:trPr>
        <w:tc>
          <w:tcPr>
            <w:tcW w:w="440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5"/>
                <w:szCs w:val="15"/>
                <w:color w:val="auto"/>
              </w:rPr>
              <w:t xml:space="preserve">Retirement benefits </w:t>
            </w:r>
            <w:r>
              <w:rPr>
                <w:rFonts w:ascii="Times New Roman" w:cs="Times New Roman" w:eastAsia="Times New Roman" w:hAnsi="Times New Roman"/>
                <w:sz w:val="20"/>
                <w:szCs w:val="20"/>
                <w:color w:val="auto"/>
                <w:vertAlign w:val="superscript"/>
              </w:rPr>
              <w:t>(2)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4400" w:type="dxa"/>
            <w:vAlign w:val="bottom"/>
            <w:tcBorders>
              <w:bottom w:val="single" w:sz="8" w:color="CCEEFF"/>
            </w:tcBorders>
          </w:tcPr>
          <w:p>
            <w:pPr>
              <w:ind w:left="120"/>
              <w:spacing w:after="0" w:line="219" w:lineRule="exact"/>
              <w:rPr>
                <w:sz w:val="20"/>
                <w:szCs w:val="20"/>
                <w:color w:val="auto"/>
              </w:rPr>
            </w:pPr>
            <w:r>
              <w:rPr>
                <w:rFonts w:ascii="Times New Roman" w:cs="Times New Roman" w:eastAsia="Times New Roman" w:hAnsi="Times New Roman"/>
                <w:sz w:val="15"/>
                <w:szCs w:val="15"/>
                <w:b w:val="1"/>
                <w:bCs w:val="1"/>
                <w:color w:val="auto"/>
              </w:rPr>
              <w:t xml:space="preserve">Income tax effects relating to above </w:t>
            </w:r>
            <w:r>
              <w:rPr>
                <w:rFonts w:ascii="Times New Roman" w:cs="Times New Roman" w:eastAsia="Times New Roman" w:hAnsi="Times New Roman"/>
                <w:sz w:val="20"/>
                <w:szCs w:val="20"/>
                <w:b w:val="1"/>
                <w:bCs w:val="1"/>
                <w:color w:val="auto"/>
                <w:vertAlign w:val="superscript"/>
              </w:rPr>
              <w:t>(3)</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w:t>
            </w:r>
          </w:p>
        </w:tc>
      </w:tr>
      <w:tr>
        <w:trPr>
          <w:trHeight w:val="212"/>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Total other comprehensive income/(loss)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(5,672)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19,996</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40,153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56,408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85,520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120,395</w:t>
            </w:r>
          </w:p>
        </w:tc>
      </w:tr>
      <w:tr>
        <w:trPr>
          <w:trHeight w:val="20"/>
        </w:trPr>
        <w:tc>
          <w:tcPr>
            <w:tcW w:w="4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hanging="537"/>
        <w:spacing w:after="0" w:line="294" w:lineRule="auto"/>
        <w:tabs>
          <w:tab w:leader="none" w:pos="533"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reclassified to net income and are included in cost of revenues, operating expenses and interest expense, as applicable in the unaudited consolidated statements of income.</w:t>
      </w:r>
    </w:p>
    <w:p>
      <w:pPr>
        <w:spacing w:after="0" w:line="170" w:lineRule="exact"/>
        <w:rPr>
          <w:rFonts w:ascii="Times New Roman" w:cs="Times New Roman" w:eastAsia="Times New Roman" w:hAnsi="Times New Roman"/>
          <w:sz w:val="14"/>
          <w:szCs w:val="14"/>
          <w:i w:val="1"/>
          <w:iCs w:val="1"/>
          <w:color w:val="auto"/>
        </w:rPr>
      </w:pPr>
    </w:p>
    <w:p>
      <w:pPr>
        <w:ind w:left="540" w:hanging="537"/>
        <w:spacing w:after="0"/>
        <w:tabs>
          <w:tab w:leader="none" w:pos="5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reclassified to net income and are included in other income, net in the unaudited consolidated statements of income.</w:t>
      </w:r>
    </w:p>
    <w:p>
      <w:pPr>
        <w:spacing w:after="0" w:line="227" w:lineRule="exact"/>
        <w:rPr>
          <w:rFonts w:ascii="Times New Roman" w:cs="Times New Roman" w:eastAsia="Times New Roman" w:hAnsi="Times New Roman"/>
          <w:sz w:val="14"/>
          <w:szCs w:val="14"/>
          <w:i w:val="1"/>
          <w:iCs w:val="1"/>
          <w:color w:val="auto"/>
        </w:rPr>
      </w:pPr>
    </w:p>
    <w:p>
      <w:pPr>
        <w:ind w:left="540" w:hanging="537"/>
        <w:spacing w:after="0"/>
        <w:tabs>
          <w:tab w:leader="none" w:pos="5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ind w:left="3740"/>
        <w:spacing w:after="0"/>
        <w:rPr>
          <w:sz w:val="20"/>
          <w:szCs w:val="20"/>
          <w:color w:val="auto"/>
        </w:rPr>
      </w:pPr>
      <w:r>
        <w:rPr>
          <w:rFonts w:ascii="Times New Roman" w:cs="Times New Roman" w:eastAsia="Times New Roman" w:hAnsi="Times New Roman"/>
          <w:sz w:val="17"/>
          <w:szCs w:val="17"/>
          <w:b w:val="1"/>
          <w:bCs w:val="1"/>
          <w:color w:val="auto"/>
        </w:rPr>
        <w:t>For the three months ended June 30, 2024 and 2023</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204,734,988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1,132,426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(130,436)</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(42,309,378)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(701,766)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803,255</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18,095</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14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1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tcPr>
          <w:p>
            <w:pPr>
              <w:jc w:val="center"/>
              <w:ind w:right="200"/>
              <w:spacing w:after="0" w:line="58" w:lineRule="exact"/>
              <w:rPr>
                <w:sz w:val="20"/>
                <w:szCs w:val="20"/>
                <w:color w:val="auto"/>
              </w:rPr>
            </w:pPr>
            <w:r>
              <w:rPr>
                <w:rFonts w:ascii="Times New Roman" w:cs="Times New Roman" w:eastAsia="Times New Roman" w:hAnsi="Times New Roman"/>
                <w:sz w:val="6"/>
                <w:szCs w:val="6"/>
                <w:b w:val="1"/>
                <w:bCs w:val="1"/>
                <w:color w:val="auto"/>
              </w:rPr>
              <w:t>Paid-in</w:t>
            </w:r>
          </w:p>
        </w:tc>
        <w:tc>
          <w:tcPr>
            <w:tcW w:w="140" w:type="dxa"/>
            <w:vAlign w:val="bottom"/>
          </w:tcPr>
          <w:p>
            <w:pPr>
              <w:spacing w:after="0"/>
              <w:rPr>
                <w:sz w:val="5"/>
                <w:szCs w:val="5"/>
                <w:color w:val="auto"/>
              </w:rPr>
            </w:pPr>
          </w:p>
        </w:tc>
        <w:tc>
          <w:tcPr>
            <w:tcW w:w="820" w:type="dxa"/>
            <w:vAlign w:val="bottom"/>
            <w:gridSpan w:val="2"/>
          </w:tcPr>
          <w:p>
            <w:pPr>
              <w:ind w:left="40"/>
              <w:spacing w:after="0" w:line="58" w:lineRule="exact"/>
              <w:rPr>
                <w:sz w:val="20"/>
                <w:szCs w:val="20"/>
                <w:color w:val="auto"/>
              </w:rPr>
            </w:pPr>
            <w:r>
              <w:rPr>
                <w:rFonts w:ascii="Times New Roman" w:cs="Times New Roman" w:eastAsia="Times New Roman" w:hAnsi="Times New Roman"/>
                <w:sz w:val="6"/>
                <w:szCs w:val="6"/>
                <w:b w:val="1"/>
                <w:bCs w:val="1"/>
                <w:color w:val="auto"/>
              </w:rPr>
              <w:t>Retained</w:t>
            </w:r>
          </w:p>
        </w:tc>
        <w:tc>
          <w:tcPr>
            <w:tcW w:w="120" w:type="dxa"/>
            <w:vAlign w:val="bottom"/>
          </w:tcPr>
          <w:p>
            <w:pPr>
              <w:spacing w:after="0"/>
              <w:rPr>
                <w:sz w:val="5"/>
                <w:szCs w:val="5"/>
                <w:color w:val="auto"/>
              </w:rPr>
            </w:pPr>
          </w:p>
        </w:tc>
        <w:tc>
          <w:tcPr>
            <w:tcW w:w="1220" w:type="dxa"/>
            <w:vAlign w:val="bottom"/>
            <w:gridSpan w:val="2"/>
          </w:tcPr>
          <w:p>
            <w:pPr>
              <w:jc w:val="center"/>
              <w:ind w:right="200"/>
              <w:spacing w:after="0" w:line="58"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Capital </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80" w:type="dxa"/>
            <w:vAlign w:val="bottom"/>
            <w:gridSpan w:val="2"/>
          </w:tcPr>
          <w:p>
            <w:pPr>
              <w:ind w:left="22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201,671,840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460,365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950,436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(131,487)</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(35,064,565)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(484,294)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795,222</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76,795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(920,720)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(29,013)</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49,068</w:t>
            </w:r>
          </w:p>
        </w:tc>
        <w:tc>
          <w:tcPr>
            <w:tcW w:w="0" w:type="dxa"/>
            <w:vAlign w:val="bottom"/>
          </w:tcPr>
          <w:p>
            <w:pPr>
              <w:spacing w:after="0"/>
              <w:rPr>
                <w:sz w:val="1"/>
                <w:szCs w:val="1"/>
                <w:color w:val="auto"/>
              </w:rPr>
            </w:pPr>
          </w:p>
        </w:tc>
      </w:tr>
      <w:tr>
        <w:trPr>
          <w:trHeight w:val="21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201,748,635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471,962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(124,147)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(35,985,285)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(513,307)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834,214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00" w:firstLine="3"/>
        <w:spacing w:after="0" w:line="294" w:lineRule="auto"/>
        <w:tabs>
          <w:tab w:leader="none" w:pos="219"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ind w:left="382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2024 and 2023</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39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0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1,373,075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0" w:type="dxa"/>
            <w:vAlign w:val="bottom"/>
          </w:tcPr>
          <w:p>
            <w:pPr>
              <w:spacing w:after="0"/>
              <w:rPr>
                <w:sz w:val="1"/>
                <w:szCs w:val="1"/>
                <w:color w:val="auto"/>
              </w:rPr>
            </w:pPr>
          </w:p>
        </w:tc>
      </w:tr>
      <w:tr>
        <w:trPr>
          <w:trHeight w:val="183"/>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(134,628)</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0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w:t>
            </w:r>
          </w:p>
        </w:tc>
        <w:tc>
          <w:tcPr>
            <w:tcW w:w="0" w:type="dxa"/>
            <w:vAlign w:val="bottom"/>
          </w:tcPr>
          <w:p>
            <w:pPr>
              <w:spacing w:after="0"/>
              <w:rPr>
                <w:sz w:val="1"/>
                <w:szCs w:val="1"/>
                <w:color w:val="auto"/>
              </w:rPr>
            </w:pPr>
          </w:p>
        </w:tc>
      </w:tr>
      <w:tr>
        <w:trPr>
          <w:trHeight w:val="218"/>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280" w:type="dxa"/>
            <w:vAlign w:val="bottom"/>
          </w:tcPr>
          <w:p>
            <w:pPr>
              <w:spacing w:after="0"/>
              <w:rPr>
                <w:sz w:val="5"/>
                <w:szCs w:val="5"/>
                <w:color w:val="auto"/>
              </w:rPr>
            </w:pP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200"/>
              <w:spacing w:after="0" w:line="58"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5"/>
                <w:szCs w:val="5"/>
                <w:color w:val="auto"/>
              </w:rPr>
            </w:pPr>
          </w:p>
        </w:tc>
        <w:tc>
          <w:tcPr>
            <w:tcW w:w="860" w:type="dxa"/>
            <w:vAlign w:val="bottom"/>
            <w:gridSpan w:val="2"/>
          </w:tcPr>
          <w:p>
            <w:pPr>
              <w:ind w:left="40"/>
              <w:spacing w:after="0" w:line="58" w:lineRule="exact"/>
              <w:rPr>
                <w:sz w:val="20"/>
                <w:szCs w:val="20"/>
                <w:color w:val="auto"/>
              </w:rPr>
            </w:pPr>
            <w:r>
              <w:rPr>
                <w:rFonts w:ascii="Times New Roman" w:cs="Times New Roman" w:eastAsia="Times New Roman" w:hAnsi="Times New Roman"/>
                <w:sz w:val="6"/>
                <w:szCs w:val="6"/>
                <w:b w:val="1"/>
                <w:bCs w:val="1"/>
                <w:color w:val="auto"/>
              </w:rPr>
              <w:t>Retained</w:t>
            </w:r>
          </w:p>
        </w:tc>
        <w:tc>
          <w:tcPr>
            <w:tcW w:w="120" w:type="dxa"/>
            <w:vAlign w:val="bottom"/>
          </w:tcPr>
          <w:p>
            <w:pPr>
              <w:spacing w:after="0"/>
              <w:rPr>
                <w:sz w:val="5"/>
                <w:szCs w:val="5"/>
                <w:color w:val="auto"/>
              </w:rPr>
            </w:pPr>
          </w:p>
        </w:tc>
        <w:tc>
          <w:tcPr>
            <w:tcW w:w="1220" w:type="dxa"/>
            <w:vAlign w:val="bottom"/>
            <w:gridSpan w:val="2"/>
          </w:tcPr>
          <w:p>
            <w:pPr>
              <w:jc w:val="center"/>
              <w:ind w:right="220"/>
              <w:spacing w:after="0" w:line="58"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Capital </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80" w:type="dxa"/>
            <w:vAlign w:val="bottom"/>
            <w:gridSpan w:val="2"/>
          </w:tcPr>
          <w:p>
            <w:pPr>
              <w:ind w:left="22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199,939,880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444,948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899,105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(144,143)</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(33,767,660)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(441,931)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758,179</w:t>
            </w:r>
          </w:p>
        </w:tc>
        <w:tc>
          <w:tcPr>
            <w:tcW w:w="0" w:type="dxa"/>
            <w:vAlign w:val="bottom"/>
          </w:tcPr>
          <w:p>
            <w:pPr>
              <w:spacing w:after="0"/>
              <w:rPr>
                <w:sz w:val="1"/>
                <w:szCs w:val="1"/>
                <w:color w:val="auto"/>
              </w:rPr>
            </w:pPr>
          </w:p>
        </w:tc>
      </w:tr>
      <w:tr>
        <w:trPr>
          <w:trHeight w:val="134"/>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1,808,755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0" w:type="dxa"/>
            <w:vAlign w:val="bottom"/>
          </w:tcPr>
          <w:p>
            <w:pPr>
              <w:spacing w:after="0"/>
              <w:rPr>
                <w:sz w:val="1"/>
                <w:szCs w:val="1"/>
                <w:color w:val="auto"/>
              </w:rPr>
            </w:pPr>
          </w:p>
        </w:tc>
      </w:tr>
      <w:tr>
        <w:trPr>
          <w:trHeight w:val="18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25,918</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(71,376)</w:t>
            </w:r>
          </w:p>
        </w:tc>
        <w:tc>
          <w:tcPr>
            <w:tcW w:w="0" w:type="dxa"/>
            <w:vAlign w:val="bottom"/>
          </w:tcPr>
          <w:p>
            <w:pPr>
              <w:spacing w:after="0"/>
              <w:rPr>
                <w:sz w:val="1"/>
                <w:szCs w:val="1"/>
                <w:color w:val="auto"/>
              </w:rPr>
            </w:pPr>
          </w:p>
        </w:tc>
      </w:tr>
      <w:tr>
        <w:trPr>
          <w:trHeight w:val="20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19,996</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100,399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100,399</w:t>
            </w:r>
          </w:p>
        </w:tc>
        <w:tc>
          <w:tcPr>
            <w:tcW w:w="0" w:type="dxa"/>
            <w:vAlign w:val="bottom"/>
          </w:tcPr>
          <w:p>
            <w:pPr>
              <w:spacing w:after="0"/>
              <w:rPr>
                <w:sz w:val="1"/>
                <w:szCs w:val="1"/>
                <w:color w:val="auto"/>
              </w:rPr>
            </w:pPr>
          </w:p>
        </w:tc>
      </w:tr>
      <w:tr>
        <w:trPr>
          <w:trHeight w:val="218"/>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201,748,635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471,962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999,504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(35,985,285)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(513,307)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834,214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520" w:firstLine="3"/>
        <w:spacing w:after="0" w:line="294" w:lineRule="auto"/>
        <w:tabs>
          <w:tab w:leader="none" w:pos="219" w:val="left"/>
        </w:tabs>
        <w:numPr>
          <w:ilvl w:val="0"/>
          <w:numId w:val="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8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5"/>
                <w:szCs w:val="15"/>
                <w:color w:val="auto"/>
              </w:rPr>
            </w:pPr>
          </w:p>
        </w:tc>
      </w:tr>
      <w:tr>
        <w:trPr>
          <w:trHeight w:val="22"/>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94,588</w:t>
            </w:r>
          </w:p>
        </w:tc>
        <w:tc>
          <w:tcPr>
            <w:tcW w:w="12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100,399</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26,464</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25,918</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10,332</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(18,283)</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(20,008)</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(28,375)</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(17,159)</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 payable,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employee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(35,128)</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(24,331)</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772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63,559</w:t>
            </w:r>
          </w:p>
        </w:tc>
      </w:tr>
      <w:tr>
        <w:trPr>
          <w:trHeight w:val="186"/>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(26,113)</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(159,854)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(113,826)</w:t>
            </w:r>
          </w:p>
        </w:tc>
      </w:tr>
      <w:tr>
        <w:trPr>
          <w:trHeight w:val="186"/>
        </w:trPr>
        <w:tc>
          <w:tcPr>
            <w:tcW w:w="7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139,844</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151,178</w:t>
            </w:r>
          </w:p>
        </w:tc>
      </w:tr>
      <w:tr>
        <w:trPr>
          <w:trHeight w:val="19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investing activities</w:t>
            </w: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(43,249)</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11,786</w:t>
            </w:r>
          </w:p>
        </w:tc>
      </w:tr>
      <w:tr>
        <w:trPr>
          <w:trHeight w:val="32"/>
        </w:trPr>
        <w:tc>
          <w:tcPr>
            <w:tcW w:w="7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(160,647)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(70,638)</w:t>
            </w:r>
          </w:p>
        </w:tc>
      </w:tr>
      <w:tr>
        <w:trPr>
          <w:trHeight w:val="186"/>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01"/>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r>
      <w:tr>
        <w:trPr>
          <w:trHeight w:val="179"/>
        </w:trPr>
        <w:tc>
          <w:tcPr>
            <w:tcW w:w="772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Net cash used for financing activities</w:t>
            </w: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(27,305)</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(101,833)</w:t>
            </w:r>
          </w:p>
        </w:tc>
      </w:tr>
      <w:tr>
        <w:trPr>
          <w:trHeight w:val="19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r>
      <w:tr>
        <w:trPr>
          <w:trHeight w:val="179"/>
        </w:trPr>
        <w:tc>
          <w:tcPr>
            <w:tcW w:w="77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(24,978)</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141,015</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123,566</w:t>
            </w:r>
          </w:p>
        </w:tc>
      </w:tr>
      <w:tr>
        <w:trPr>
          <w:trHeight w:val="179"/>
        </w:trPr>
        <w:tc>
          <w:tcPr>
            <w:tcW w:w="77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106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121,654</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98,588</w:t>
            </w:r>
          </w:p>
        </w:tc>
      </w:tr>
      <w:tr>
        <w:trPr>
          <w:trHeight w:val="49"/>
        </w:trPr>
        <w:tc>
          <w:tcPr>
            <w:tcW w:w="77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8"/>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120" w:type="dxa"/>
            <w:vAlign w:val="bottom"/>
          </w:tcPr>
          <w:p>
            <w:pPr>
              <w:spacing w:after="0"/>
              <w:rPr>
                <w:sz w:val="16"/>
                <w:szCs w:val="16"/>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6,914</w:t>
            </w:r>
          </w:p>
        </w:tc>
      </w:tr>
      <w:tr>
        <w:trPr>
          <w:trHeight w:val="201"/>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w:t>
            </w: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53,299</w:t>
            </w: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1"/>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w:t>
            </w:r>
          </w:p>
        </w:tc>
      </w:tr>
      <w:tr>
        <w:trPr>
          <w:trHeight w:val="178"/>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5"/>
                <w:szCs w:val="15"/>
                <w:color w:val="auto"/>
              </w:rPr>
            </w:pP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3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The Company partners with clients using a data and AI-led approach to reinvent business models, drive better business outcomes and unlock growth with speed. The Company harnesses the power of data, analytics, artificial intelligence (“AI”), and deep industry knowledge to transform operations for the world’s leading corporations in industries including insurance, healthcare, banking and financial services, media and retail, among others.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clients are located principally in the United States of America (“U.S.”) and the United Kingdom (“U.K.”).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Basis of Preparation and Principles of Consolidation</w:t>
      </w:r>
    </w:p>
    <w:p>
      <w:pPr>
        <w:spacing w:after="0" w:line="236"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2023.</w:t>
      </w:r>
    </w:p>
    <w:p>
      <w:pPr>
        <w:spacing w:after="0" w:line="20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9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92"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192"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For purposes of comparability, certain prior period amounts have been reclassified to conform to the current year presentation in accordance with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Use of Estimates</w:t>
      </w:r>
    </w:p>
    <w:p>
      <w:pPr>
        <w:spacing w:after="0" w:line="236"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fair value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 generation of economic benefits to calculate depreciation and amortization for long-lived assets and other intangible assets, and recoverability of long-lived assets, goodwill and other intangible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Recent Accounting Pronouncements</w:t>
      </w:r>
    </w:p>
    <w:p>
      <w:pPr>
        <w:spacing w:after="0" w:line="232"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 xml:space="preserve">In October 2023, the Financial Accounting Standards Board (“FASB”) issued Accounting Standard Update (“ASU”) 2023-06, </w:t>
      </w:r>
      <w:r>
        <w:rPr>
          <w:rFonts w:ascii="Times New Roman" w:cs="Times New Roman" w:eastAsia="Times New Roman" w:hAnsi="Times New Roman"/>
          <w:sz w:val="17"/>
          <w:szCs w:val="17"/>
          <w:i w:val="1"/>
          <w:iCs w:val="1"/>
          <w:color w:val="auto"/>
        </w:rPr>
        <w:t>Disclosure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Codification Amendments in Response to the SEC’s Disclosure Update and Simplification Initiative</w:t>
      </w:r>
      <w:r>
        <w:rPr>
          <w:rFonts w:ascii="Times New Roman" w:cs="Times New Roman" w:eastAsia="Times New Roman" w:hAnsi="Times New Roman"/>
          <w:sz w:val="17"/>
          <w:szCs w:val="17"/>
          <w:color w:val="auto"/>
        </w:rPr>
        <w:t>. This ASU modifies the disclosure or presentation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a variety of Topics in the Codification. Certain of the amendments represent clarifications to or technical corrections of the current requirements.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The amendments in this ASU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adoption of this ASU will not have a material impact on the Company’s unaudited consolidated financial statements. The Company will continue to monitor for SEC action, and plan accordingly for adoption.</w:t>
      </w:r>
    </w:p>
    <w:p>
      <w:pPr>
        <w:spacing w:after="0" w:line="21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 xml:space="preserve">In November 2023, FASB issued ASU No. 2023-07, </w:t>
      </w:r>
      <w:r>
        <w:rPr>
          <w:rFonts w:ascii="Times New Roman" w:cs="Times New Roman" w:eastAsia="Times New Roman" w:hAnsi="Times New Roman"/>
          <w:sz w:val="17"/>
          <w:szCs w:val="17"/>
          <w:i w:val="1"/>
          <w:iCs w:val="1"/>
          <w:color w:val="auto"/>
        </w:rPr>
        <w:t>Segment Reporting (“Accounting Standards Codification (“ASC”) Topic 280”):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Reportable Segment Disclosures</w:t>
      </w:r>
      <w:r>
        <w:rPr>
          <w:rFonts w:ascii="Times New Roman" w:cs="Times New Roman" w:eastAsia="Times New Roman" w:hAnsi="Times New Roman"/>
          <w:sz w:val="17"/>
          <w:szCs w:val="17"/>
          <w:color w:val="auto"/>
        </w:rPr>
        <w:t>. This ASU improves reportable segment disclosure requirements on an annual and interim basis for all public entities by requiring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is effective for fiscal years beginning after December 15, 2023, and interim periods within fiscal years beginning after December 15, 2024, with early adoption permitted. The Company is currently evaluating the impact of this ASU on its unaudited consolidated financial statements.</w:t>
      </w:r>
    </w:p>
    <w:p>
      <w:pPr>
        <w:spacing w:after="0" w:line="201"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FASB issued ASU No. 2023-09, </w:t>
      </w:r>
      <w:r>
        <w:rPr>
          <w:rFonts w:ascii="Times New Roman" w:cs="Times New Roman" w:eastAsia="Times New Roman" w:hAnsi="Times New Roman"/>
          <w:sz w:val="17"/>
          <w:szCs w:val="17"/>
          <w:i w:val="1"/>
          <w:iCs w:val="1"/>
          <w:color w:val="auto"/>
        </w:rPr>
        <w:t>Income Taxes (“ASC Topic 740”), Improvements to Income Tax Disclosures</w:t>
      </w:r>
      <w:r>
        <w:rPr>
          <w:rFonts w:ascii="Times New Roman" w:cs="Times New Roman" w:eastAsia="Times New Roman" w:hAnsi="Times New Roman"/>
          <w:sz w:val="17"/>
          <w:szCs w:val="17"/>
          <w:color w:val="auto"/>
        </w:rPr>
        <w:t>. This ASU expands disclosures relating to the entity’s income tax rate reconciliation, income taxes paid and certain other disclosures related to income taxes. The ASU will be effective for annual periods beginning after December 15, 2024. The Company is currently evaluating the impact of this ASU on its unaudited consolidated financial statements.</w:t>
      </w:r>
    </w:p>
    <w:p>
      <w:pPr>
        <w:spacing w:after="0" w:line="163" w:lineRule="exact"/>
        <w:rPr>
          <w:sz w:val="20"/>
          <w:szCs w:val="20"/>
          <w:color w:val="auto"/>
        </w:rPr>
      </w:pPr>
    </w:p>
    <w:p>
      <w:pPr>
        <w:ind w:left="220" w:hanging="217"/>
        <w:spacing w:after="0"/>
        <w:tabs>
          <w:tab w:leader="none" w:pos="2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32" w:lineRule="exact"/>
        <w:rPr>
          <w:sz w:val="20"/>
          <w:szCs w:val="20"/>
          <w:color w:val="auto"/>
        </w:rPr>
      </w:pPr>
    </w:p>
    <w:p>
      <w:pPr>
        <w:jc w:val="both"/>
        <w:ind w:firstLine="387"/>
        <w:spacing w:after="0"/>
        <w:rPr>
          <w:sz w:val="20"/>
          <w:szCs w:val="20"/>
          <w:color w:val="auto"/>
        </w:rPr>
      </w:pPr>
      <w:r>
        <w:rPr>
          <w:rFonts w:ascii="Times New Roman" w:cs="Times New Roman" w:eastAsia="Times New Roman" w:hAnsi="Times New Roman"/>
          <w:sz w:val="17"/>
          <w:szCs w:val="17"/>
          <w:color w:val="auto"/>
        </w:rPr>
        <w:t xml:space="preserve">In March 2023, FASB issued ASU No. 2023-01, </w:t>
      </w:r>
      <w:r>
        <w:rPr>
          <w:rFonts w:ascii="Times New Roman" w:cs="Times New Roman" w:eastAsia="Times New Roman" w:hAnsi="Times New Roman"/>
          <w:sz w:val="17"/>
          <w:szCs w:val="17"/>
          <w:i w:val="1"/>
          <w:iCs w:val="1"/>
          <w:color w:val="auto"/>
        </w:rPr>
        <w:t>Leases (“ASC Topic 842”): Common Control Arrangements</w:t>
      </w:r>
      <w:r>
        <w:rPr>
          <w:rFonts w:ascii="Times New Roman" w:cs="Times New Roman" w:eastAsia="Times New Roman" w:hAnsi="Times New Roman"/>
          <w:sz w:val="17"/>
          <w:szCs w:val="17"/>
          <w:color w:val="auto"/>
        </w:rPr>
        <w:t>. This ASU provides guidance in ASC Topic 842 that leasehold improvements 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does not have any lease arrangements with entities under common control and the adoption of this ASU did not have a material impact on its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9"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color w:val="auto"/>
        </w:rPr>
        <w:t xml:space="preserve">In March 2024, FASB issued ASU No. 2024-01, </w:t>
      </w:r>
      <w:r>
        <w:rPr>
          <w:rFonts w:ascii="Times New Roman" w:cs="Times New Roman" w:eastAsia="Times New Roman" w:hAnsi="Times New Roman"/>
          <w:sz w:val="17"/>
          <w:szCs w:val="17"/>
          <w:i w:val="1"/>
          <w:iCs w:val="1"/>
          <w:color w:val="auto"/>
        </w:rPr>
        <w:t>Compensation-Stock Compensation (“ASC Topic 718”)</w:t>
      </w:r>
      <w:r>
        <w:rPr>
          <w:rFonts w:ascii="Times New Roman" w:cs="Times New Roman" w:eastAsia="Times New Roman" w:hAnsi="Times New Roman"/>
          <w:sz w:val="17"/>
          <w:szCs w:val="17"/>
          <w:color w:val="auto"/>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unaudited consolidated financial statements.</w:t>
      </w:r>
    </w:p>
    <w:p>
      <w:pPr>
        <w:spacing w:after="0" w:line="206"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7"/>
          <w:szCs w:val="17"/>
          <w:color w:val="auto"/>
        </w:rPr>
        <w:t xml:space="preserve">In March 2024, FASB issued ASU No. 2024-02, </w:t>
      </w:r>
      <w:r>
        <w:rPr>
          <w:rFonts w:ascii="Times New Roman" w:cs="Times New Roman" w:eastAsia="Times New Roman" w:hAnsi="Times New Roman"/>
          <w:sz w:val="17"/>
          <w:szCs w:val="17"/>
          <w:i w:val="1"/>
          <w:iCs w:val="1"/>
          <w:color w:val="auto"/>
        </w:rPr>
        <w:t>Codification Improvements—Amendments to Remove References to the Concepts Statements</w:t>
      </w:r>
      <w:r>
        <w:rPr>
          <w:rFonts w:ascii="Times New Roman" w:cs="Times New Roman" w:eastAsia="Times New Roman" w:hAnsi="Times New Roman"/>
          <w:sz w:val="17"/>
          <w:szCs w:val="17"/>
          <w:color w:val="auto"/>
        </w:rPr>
        <w:t>. This ASU contains amendments to the ASC that remove references to various FASB Concepts Statements. The ASU will be effective for annual periods beginning after December 15, 2024, with early adoption permitted. The Company has early adopted this ASU beginning January 1, 2024. The adoption of this ASU did not have a material impact on the Company’s unaudited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and Geographical Information</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is a provider of data analytics and digital operations and solutions.</w:t>
      </w:r>
    </w:p>
    <w:p>
      <w:pPr>
        <w:spacing w:after="0" w:line="230"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98" w:lineRule="exact"/>
        <w:rPr>
          <w:sz w:val="20"/>
          <w:szCs w:val="20"/>
          <w:color w:val="auto"/>
        </w:rPr>
      </w:pPr>
    </w:p>
    <w:p>
      <w:pPr>
        <w:ind w:right="100" w:firstLine="387"/>
        <w:spacing w:after="0" w:line="271" w:lineRule="auto"/>
        <w:rPr>
          <w:sz w:val="20"/>
          <w:szCs w:val="20"/>
          <w:color w:val="auto"/>
        </w:rPr>
      </w:pPr>
      <w:r>
        <w:rPr>
          <w:rFonts w:ascii="Times New Roman" w:cs="Times New Roman" w:eastAsia="Times New Roman" w:hAnsi="Times New Roman"/>
          <w:sz w:val="17"/>
          <w:szCs w:val="17"/>
          <w:color w:val="auto"/>
        </w:rPr>
        <w:t>The CODM generally reviews financial information such as revenues, cost of revenues and gross profit, disaggregated by the operating segments to allocate an overall budget among the operating segments.</w:t>
      </w:r>
    </w:p>
    <w:p>
      <w:pPr>
        <w:spacing w:after="0" w:line="177"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Revenues and cost of revenues for the three months ended June 30, 2024 and 2023, respectively, for each of the reportable segments, are as follows: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46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80" w:type="dxa"/>
            <w:vAlign w:val="bottom"/>
            <w:tcBorders>
              <w:top w:val="single" w:sz="8" w:color="auto"/>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 2024</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40" w:type="dxa"/>
            <w:vAlign w:val="bottom"/>
          </w:tcPr>
          <w:p>
            <w:pPr>
              <w:spacing w:after="0"/>
              <w:rPr>
                <w:sz w:val="14"/>
                <w:szCs w:val="14"/>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282,106</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166,260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104,811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13,873</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equity-method investment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170180</wp:posOffset>
            </wp:positionV>
            <wp:extent cx="3978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827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Revenues, net</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p>
      <w:pPr>
        <w:ind w:left="10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31"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17"/>
          <w:szCs w:val="17"/>
          <w:color w:val="auto"/>
        </w:rPr>
        <w:t>Foreign exchange gain, net, interest expense and other income, net Income tax expense</w:t>
      </w:r>
    </w:p>
    <w:p>
      <w:pPr>
        <w:spacing w:after="0" w:line="1" w:lineRule="exact"/>
        <w:rPr>
          <w:sz w:val="20"/>
          <w:szCs w:val="20"/>
          <w:color w:val="auto"/>
        </w:rPr>
      </w:pPr>
    </w:p>
    <w:p>
      <w:pPr>
        <w:ind w:left="100" w:right="2020"/>
        <w:spacing w:after="0" w:line="298" w:lineRule="auto"/>
        <w:rPr>
          <w:sz w:val="20"/>
          <w:szCs w:val="20"/>
          <w:color w:val="auto"/>
        </w:rPr>
      </w:pPr>
      <w:r>
        <w:rPr>
          <w:rFonts w:ascii="Times New Roman" w:cs="Times New Roman" w:eastAsia="Times New Roman" w:hAnsi="Times New Roman"/>
          <w:sz w:val="17"/>
          <w:szCs w:val="17"/>
          <w:color w:val="auto"/>
        </w:rPr>
        <w:t>Gain from equity-method investment Net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1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128,457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182,183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404,996</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37,845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253,220</w:t>
            </w:r>
          </w:p>
        </w:tc>
        <w:tc>
          <w:tcPr>
            <w:tcW w:w="0" w:type="dxa"/>
            <w:vAlign w:val="bottom"/>
          </w:tcPr>
          <w:p>
            <w:pPr>
              <w:spacing w:after="0"/>
              <w:rPr>
                <w:sz w:val="1"/>
                <w:szCs w:val="1"/>
                <w:color w:val="auto"/>
              </w:rPr>
            </w:pPr>
          </w:p>
        </w:tc>
      </w:tr>
      <w:tr>
        <w:trPr>
          <w:trHeight w:val="212"/>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151,776</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86,965</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-1202690</wp:posOffset>
            </wp:positionV>
            <wp:extent cx="7040245" cy="147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0245" cy="147320"/>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-916305</wp:posOffset>
            </wp:positionV>
            <wp:extent cx="7040245" cy="16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0245" cy="163830"/>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-596900</wp:posOffset>
            </wp:positionV>
            <wp:extent cx="7040245"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0245" cy="13906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-318770</wp:posOffset>
            </wp:positionV>
            <wp:extent cx="7040245"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0245" cy="139065"/>
                    </a:xfrm>
                    <a:prstGeom prst="rect">
                      <a:avLst/>
                    </a:prstGeom>
                    <a:noFill/>
                  </pic:spPr>
                </pic:pic>
              </a:graphicData>
            </a:graphic>
          </wp:anchor>
        </w:drawing>
      </w:r>
    </w:p>
    <w:p>
      <w:pPr>
        <w:spacing w:after="0" w:line="469" w:lineRule="exact"/>
        <w:rPr>
          <w:sz w:val="20"/>
          <w:szCs w:val="20"/>
          <w:color w:val="auto"/>
        </w:rPr>
      </w:pPr>
    </w:p>
    <w:p>
      <w:pPr>
        <w:sectPr>
          <w:pgSz w:w="11900" w:h="16838" w:orient="portrait"/>
          <w:cols w:equalWidth="0" w:num="2">
            <w:col w:w="4680" w:space="220"/>
            <w:col w:w="6340"/>
          </w:cols>
          <w:pgMar w:left="320" w:top="119" w:right="339" w:bottom="1440" w:gutter="0" w:footer="0" w:header="0"/>
          <w:type w:val="continuous"/>
        </w:sectPr>
      </w:pPr>
    </w:p>
    <w:p>
      <w:pPr>
        <w:spacing w:after="0" w:line="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Revenues and cost of revenues for the six months ended June 30, 2024 and 2023,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180975</wp:posOffset>
            </wp:positionV>
            <wp:extent cx="4281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Revenues,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31"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28" w:lineRule="exact"/>
        <w:rPr>
          <w:sz w:val="20"/>
          <w:szCs w:val="20"/>
          <w:color w:val="auto"/>
        </w:rPr>
      </w:pPr>
    </w:p>
    <w:p>
      <w:pPr>
        <w:ind w:left="20" w:right="1780"/>
        <w:spacing w:after="0" w:line="298" w:lineRule="auto"/>
        <w:rPr>
          <w:sz w:val="20"/>
          <w:szCs w:val="20"/>
          <w:color w:val="auto"/>
        </w:rPr>
      </w:pPr>
      <w:r>
        <w:rPr>
          <w:rFonts w:ascii="Times New Roman" w:cs="Times New Roman" w:eastAsia="Times New Roman" w:hAnsi="Times New Roman"/>
          <w:sz w:val="17"/>
          <w:szCs w:val="17"/>
          <w:color w:val="auto"/>
        </w:rPr>
        <w:t>Loss from equity-method investment Net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2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294,436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151,577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384,512</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187,816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36,119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86,048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245,547</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555,530</w:t>
            </w:r>
          </w:p>
        </w:tc>
        <w:tc>
          <w:tcPr>
            <w:tcW w:w="0" w:type="dxa"/>
            <w:vAlign w:val="bottom"/>
          </w:tcPr>
          <w:p>
            <w:pPr>
              <w:spacing w:after="0"/>
              <w:rPr>
                <w:sz w:val="1"/>
                <w:szCs w:val="1"/>
                <w:color w:val="auto"/>
              </w:rPr>
            </w:pPr>
          </w:p>
        </w:tc>
      </w:tr>
      <w:tr>
        <w:trPr>
          <w:trHeight w:val="212"/>
        </w:trPr>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106,620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138,965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329,343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206,370</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94,588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-1317625</wp:posOffset>
            </wp:positionV>
            <wp:extent cx="7138670" cy="14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-1030605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-711835</wp:posOffset>
            </wp:positionV>
            <wp:extent cx="7138670" cy="254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-318770</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4340" w:space="160"/>
            <w:col w:w="6740"/>
          </w:cols>
          <w:pgMar w:left="320" w:top="119" w:right="3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2023</w:t>
            </w: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Emerging Business</w:t>
            </w:r>
          </w:p>
        </w:tc>
        <w:tc>
          <w:tcPr>
            <w:tcW w:w="18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8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254,393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53,859</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364,026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805,639</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227,879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504,689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176,691</w:t>
            </w: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Foreign exchange gain, net, interest expense and other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133"/>
        </w:trPr>
        <w:tc>
          <w:tcPr>
            <w:tcW w:w="4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net</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Revenues, net by service type, were as follows: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shd w:val="clear" w:color="auto" w:fill="CCEEFF"/>
          </w:tcPr>
          <w:p>
            <w:pPr>
              <w:spacing w:after="0"/>
              <w:rPr>
                <w:sz w:val="16"/>
                <w:szCs w:val="16"/>
                <w:color w:val="auto"/>
              </w:rPr>
            </w:pPr>
          </w:p>
        </w:tc>
        <w:tc>
          <w:tcPr>
            <w:tcW w:w="2440" w:type="dxa"/>
            <w:vAlign w:val="bottom"/>
            <w:gridSpan w:val="4"/>
            <w:shd w:val="clear" w:color="auto" w:fill="CCEEFF"/>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1"/>
        </w:trPr>
        <w:tc>
          <w:tcPr>
            <w:tcW w:w="42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428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Digital operations and solutions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254,580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441,613</w:t>
            </w:r>
          </w:p>
        </w:tc>
      </w:tr>
      <w:tr>
        <w:trPr>
          <w:trHeight w:val="21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Analytics services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193,786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384,512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364,026</w:t>
            </w:r>
          </w:p>
        </w:tc>
      </w:tr>
      <w:tr>
        <w:trPr>
          <w:trHeight w:val="23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448,366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805,639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right="160" w:firstLine="390"/>
        <w:spacing w:after="0" w:line="271" w:lineRule="auto"/>
        <w:tabs>
          <w:tab w:leader="none" w:pos="63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operations and solutions include revenues of the Company’s Insurance, Healthcare and Emerging Business reportable segments. Refer to the reportable segment disclosure above.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attributes the revenues to regions based upon the location of its customers.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50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4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net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United States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370,749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340,675</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733,055</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679,748</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Non-United States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United Kingdom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85,222</w:t>
            </w:r>
          </w:p>
        </w:tc>
      </w:tr>
      <w:tr>
        <w:trPr>
          <w:trHeight w:val="219"/>
        </w:trPr>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40,669</w:t>
            </w:r>
          </w:p>
        </w:tc>
      </w:tr>
      <w:tr>
        <w:trPr>
          <w:trHeight w:val="212"/>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Non-United States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151,818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125,891</w:t>
            </w: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448,366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404,996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884,873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805,639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Long-lived assets by geographic area, which consist of property and equipment, net and operating lease ROU assets were as follows:</w:t>
      </w:r>
    </w:p>
    <w:p>
      <w:pPr>
        <w:spacing w:after="0" w:line="13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5"/>
                <w:szCs w:val="15"/>
                <w:color w:val="auto"/>
              </w:rPr>
            </w:pPr>
          </w:p>
        </w:tc>
      </w:tr>
      <w:tr>
        <w:trPr>
          <w:trHeight w:val="22"/>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6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53,813</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United States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61,592</w:t>
            </w:r>
          </w:p>
        </w:tc>
      </w:tr>
      <w:tr>
        <w:trPr>
          <w:trHeight w:val="21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Philippines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21,952</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Africa</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20,890</w:t>
            </w:r>
          </w:p>
        </w:tc>
      </w:tr>
      <w:tr>
        <w:trPr>
          <w:trHeight w:val="21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6,982</w:t>
            </w: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165,229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20" w:top="11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 net and Accounts Receivable, net</w:t>
      </w:r>
    </w:p>
    <w:p>
      <w:pPr>
        <w:spacing w:after="0" w:line="234" w:lineRule="exact"/>
        <w:rPr>
          <w:sz w:val="20"/>
          <w:szCs w:val="20"/>
          <w:color w:val="auto"/>
        </w:rPr>
      </w:pPr>
    </w:p>
    <w:p>
      <w:pPr>
        <w:ind w:right="600" w:firstLine="387"/>
        <w:spacing w:after="0" w:line="271" w:lineRule="auto"/>
        <w:rPr>
          <w:sz w:val="20"/>
          <w:szCs w:val="20"/>
          <w:color w:val="auto"/>
        </w:rPr>
      </w:pPr>
      <w:r>
        <w:rPr>
          <w:rFonts w:ascii="Times New Roman" w:cs="Times New Roman" w:eastAsia="Times New Roman" w:hAnsi="Times New Roman"/>
          <w:sz w:val="17"/>
          <w:szCs w:val="17"/>
          <w:color w:val="auto"/>
        </w:rPr>
        <w:t>Refer to Note 3 - Segment and Geographical Information to the unaudited consolidated financial statements for revenues disaggregated by reportable segments and geography.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Contract balances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contract assets and contract liabilities from contracts with customers:</w:t>
      </w:r>
    </w:p>
    <w:p>
      <w:pPr>
        <w:spacing w:after="0" w:line="5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40" w:type="dxa"/>
            <w:vAlign w:val="bottom"/>
            <w:tcBorders>
              <w:bottom w:val="single" w:sz="8" w:color="auto"/>
            </w:tcBorders>
          </w:tcPr>
          <w:p>
            <w:pPr>
              <w:spacing w:after="0"/>
              <w:rPr>
                <w:sz w:val="17"/>
                <w:szCs w:val="17"/>
                <w:color w:val="auto"/>
              </w:rPr>
            </w:pPr>
          </w:p>
        </w:tc>
      </w:tr>
      <w:tr>
        <w:trPr>
          <w:trHeight w:val="201"/>
        </w:trPr>
        <w:tc>
          <w:tcPr>
            <w:tcW w:w="6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39"/>
        </w:trPr>
        <w:tc>
          <w:tcPr>
            <w:tcW w:w="6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308,108</w:t>
            </w: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9,665</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9"/>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9,764</w:t>
            </w:r>
          </w:p>
        </w:tc>
      </w:tr>
      <w:tr>
        <w:trPr>
          <w:trHeight w:val="219"/>
        </w:trPr>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12,411</w:t>
            </w:r>
          </w:p>
        </w:tc>
      </w:tr>
    </w:tbl>
    <w:p>
      <w:pPr>
        <w:spacing w:after="0" w:line="293" w:lineRule="exact"/>
        <w:rPr>
          <w:sz w:val="20"/>
          <w:szCs w:val="20"/>
          <w:color w:val="auto"/>
        </w:rPr>
      </w:pPr>
    </w:p>
    <w:p>
      <w:pPr>
        <w:jc w:val="both"/>
        <w:ind w:firstLine="309"/>
        <w:spacing w:after="0" w:line="246" w:lineRule="auto"/>
        <w:rPr>
          <w:sz w:val="20"/>
          <w:szCs w:val="20"/>
          <w:color w:val="auto"/>
        </w:rPr>
      </w:pPr>
      <w:r>
        <w:rPr>
          <w:rFonts w:ascii="Times New Roman" w:cs="Times New Roman" w:eastAsia="Times New Roman" w:hAnsi="Times New Roman"/>
          <w:sz w:val="17"/>
          <w:szCs w:val="17"/>
          <w:color w:val="auto"/>
        </w:rPr>
        <w:t>Accounts receivable includes $168,408 and $148,735 as of June 30, 2024 and December 31, 2023,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was no significant impairment of contract assets as of June 30, 2024 and December 31, 2023.</w:t>
      </w:r>
    </w:p>
    <w:p>
      <w:pPr>
        <w:spacing w:after="0" w:line="230" w:lineRule="exact"/>
        <w:rPr>
          <w:sz w:val="20"/>
          <w:szCs w:val="20"/>
          <w:color w:val="auto"/>
        </w:rPr>
      </w:pPr>
    </w:p>
    <w:p>
      <w:pPr>
        <w:jc w:val="both"/>
        <w:ind w:firstLine="309"/>
        <w:spacing w:after="0" w:line="271" w:lineRule="auto"/>
        <w:rPr>
          <w:sz w:val="20"/>
          <w:szCs w:val="20"/>
          <w:color w:val="auto"/>
        </w:rPr>
      </w:pPr>
      <w:r>
        <w:rPr>
          <w:rFonts w:ascii="Times New Roman" w:cs="Times New Roman" w:eastAsia="Times New Roman" w:hAnsi="Times New Roman"/>
          <w:sz w:val="17"/>
          <w:szCs w:val="17"/>
          <w:color w:val="auto"/>
        </w:rPr>
        <w:t>Revenue recognized during the three and six months ended June 30, 2024 and 2023, which was included in the contract liabilities balance at the beginning of the respective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25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55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c>
          <w:tcPr>
            <w:tcW w:w="88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Pr>
          <w:p>
            <w:pPr>
              <w:spacing w:after="0"/>
              <w:rPr>
                <w:sz w:val="19"/>
                <w:szCs w:val="19"/>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Contract acquisition and fulfillment costs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details of the Company’s contract acquisition and fulfillment costs:</w:t>
      </w:r>
    </w:p>
    <w:p>
      <w:pPr>
        <w:spacing w:after="0" w:line="329"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7"/>
                <w:szCs w:val="17"/>
                <w:b w:val="1"/>
                <w:bCs w:val="1"/>
                <w:color w:val="auto"/>
              </w:rPr>
              <w:t>Contract Acquisition Costs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52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8"/>
        </w:trPr>
        <w:tc>
          <w:tcPr>
            <w:tcW w:w="4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0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1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7"/>
                <w:szCs w:val="17"/>
                <w:b w:val="1"/>
                <w:bCs w:val="1"/>
                <w:color w:val="auto"/>
              </w:rPr>
              <w:t>Contract Fulfillment Costs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50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40" w:type="dxa"/>
            <w:vAlign w:val="bottom"/>
          </w:tcPr>
          <w:p>
            <w:pPr>
              <w:spacing w:after="0"/>
              <w:rPr>
                <w:sz w:val="17"/>
                <w:szCs w:val="17"/>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9"/>
        </w:trPr>
        <w:tc>
          <w:tcPr>
            <w:tcW w:w="4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80" w:type="dxa"/>
            <w:vAlign w:val="bottom"/>
          </w:tcPr>
          <w:p>
            <w:pPr>
              <w:spacing w:after="0"/>
              <w:rPr>
                <w:sz w:val="17"/>
                <w:szCs w:val="17"/>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13,871</w:t>
            </w:r>
          </w:p>
        </w:tc>
      </w:tr>
      <w:tr>
        <w:trPr>
          <w:trHeight w:val="21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13,605</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(2,803)</w:t>
            </w: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24,673</w:t>
            </w: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There was no significant impairment for contract acquisition and contract fulfillment costs as of June 30, 2024 and December 31,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net of allowance for expected credit losses:</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00" w:type="dxa"/>
            <w:vAlign w:val="bottom"/>
            <w:tcBorders>
              <w:bottom w:val="single" w:sz="8" w:color="auto"/>
            </w:tcBorders>
          </w:tcPr>
          <w:p>
            <w:pPr>
              <w:spacing w:after="0"/>
              <w:rPr>
                <w:sz w:val="17"/>
                <w:szCs w:val="17"/>
                <w:color w:val="auto"/>
              </w:rPr>
            </w:pPr>
          </w:p>
        </w:tc>
      </w:tr>
      <w:tr>
        <w:trPr>
          <w:trHeight w:val="201"/>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60" w:type="dxa"/>
            <w:vAlign w:val="bottom"/>
          </w:tcPr>
          <w:p>
            <w:pPr>
              <w:spacing w:after="0"/>
              <w:rPr>
                <w:sz w:val="17"/>
                <w:szCs w:val="17"/>
                <w:color w:val="auto"/>
              </w:rPr>
            </w:pPr>
          </w:p>
        </w:tc>
        <w:tc>
          <w:tcPr>
            <w:tcW w:w="1800" w:type="dxa"/>
            <w:vAlign w:val="bottom"/>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311,811</w:t>
            </w:r>
          </w:p>
        </w:tc>
      </w:tr>
      <w:tr>
        <w:trPr>
          <w:trHeight w:val="21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expected credit losses</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3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308,108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movement in “Allowance for expected credit losses” was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1"/>
        </w:trPr>
        <w:tc>
          <w:tcPr>
            <w:tcW w:w="5440" w:type="dxa"/>
            <w:vAlign w:val="bottom"/>
          </w:tcPr>
          <w:p>
            <w:pPr>
              <w:spacing w:after="0"/>
              <w:rPr>
                <w:sz w:val="17"/>
                <w:szCs w:val="17"/>
                <w:color w:val="auto"/>
              </w:rPr>
            </w:pPr>
          </w:p>
        </w:tc>
        <w:tc>
          <w:tcPr>
            <w:tcW w:w="11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80" w:type="dxa"/>
            <w:vAlign w:val="bottom"/>
          </w:tcPr>
          <w:p>
            <w:pPr>
              <w:spacing w:after="0"/>
              <w:rPr>
                <w:sz w:val="17"/>
                <w:szCs w:val="17"/>
                <w:color w:val="auto"/>
              </w:rPr>
            </w:pPr>
          </w:p>
        </w:tc>
        <w:tc>
          <w:tcPr>
            <w:tcW w:w="11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80" w:type="dxa"/>
            <w:vAlign w:val="bottom"/>
          </w:tcPr>
          <w:p>
            <w:pPr>
              <w:spacing w:after="0"/>
              <w:rPr>
                <w:sz w:val="17"/>
                <w:szCs w:val="17"/>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1,332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Additions/(reductions)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due to write-off of accounts receivable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and credit risk concentration</w:t>
      </w:r>
    </w:p>
    <w:p>
      <w:pPr>
        <w:spacing w:after="0" w:line="23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No single customer accounted for more than 10% of the Company's revenues, net during the three and six months ended June 30, 2024 and 2023. The Company’s management believes that the loss of any of its top ten clients could have a material adverse effect on its financial performance.</w:t>
      </w:r>
    </w:p>
    <w:p>
      <w:pPr>
        <w:spacing w:after="0" w:line="177"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To reduce credit risk, the Company conducts ongoing credit evaluations of its customers. No customer accounted for more than 10% of accounts receivable, net,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5"/>
                <w:szCs w:val="15"/>
                <w:color w:val="auto"/>
              </w:rPr>
            </w:pPr>
          </w:p>
        </w:tc>
        <w:tc>
          <w:tcPr>
            <w:tcW w:w="296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7"/>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45,825</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94,588</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100,399</w:t>
            </w:r>
          </w:p>
        </w:tc>
      </w:tr>
      <w:tr>
        <w:trPr>
          <w:trHeight w:val="219"/>
        </w:trPr>
        <w:tc>
          <w:tcPr>
            <w:tcW w:w="4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Denominators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162,794,138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166,776,770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163,938,263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166,986,130</w:t>
            </w:r>
          </w:p>
        </w:tc>
      </w:tr>
      <w:tr>
        <w:trPr>
          <w:trHeight w:val="219"/>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Dilutive effect of stock-based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1,167,616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1,665,475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1,406,041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2,061,645</w:t>
            </w:r>
          </w:p>
        </w:tc>
      </w:tr>
      <w:tr>
        <w:trPr>
          <w:trHeight w:val="212"/>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163,961,754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168,442,245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165,344,304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169,047,775</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3"/>
        </w:trPr>
        <w:tc>
          <w:tcPr>
            <w:tcW w:w="45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b w:val="1"/>
                <w:bCs w:val="1"/>
                <w:color w:val="auto"/>
              </w:rPr>
              <w:t>Earnings per share attributable to ExlService Holdings, Inc.</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32"/>
        </w:trPr>
        <w:tc>
          <w:tcPr>
            <w:tcW w:w="450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stockholders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9"/>
        </w:trPr>
        <w:tc>
          <w:tcPr>
            <w:tcW w:w="45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r>
      <w:tr>
        <w:trPr>
          <w:trHeight w:val="219"/>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168"/>
        </w:trPr>
        <w:tc>
          <w:tcPr>
            <w:tcW w:w="45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 average potentially dilutive shares considered anti-</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5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dilutive and not included in computing diluted earnings per</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3,314,536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1,249,155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3,247,920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897,750</w:t>
            </w:r>
          </w:p>
        </w:tc>
      </w:tr>
    </w:tbl>
    <w:p>
      <w:pPr>
        <w:spacing w:after="0" w:line="151" w:lineRule="exact"/>
        <w:rPr>
          <w:sz w:val="20"/>
          <w:szCs w:val="20"/>
          <w:color w:val="auto"/>
        </w:rPr>
      </w:pPr>
    </w:p>
    <w:p>
      <w:pPr>
        <w:ind w:firstLine="390"/>
        <w:spacing w:after="0" w:line="287"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35"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color w:val="auto"/>
        </w:rPr>
        <w:t>On March 15, 2024, the Company entered into a master confirmation (the “Master Accelerated Share Repurchase Confirmation”) and a supplemental confirmation (together with the Master Accelerated Share Repurchase Confirmation, the “2024 ASR Agreement”), with Citibank, N.A. (“Citibank”). Refer to Note 19 - Capital Structure to the unaudited consolidated financial statements for further details. During the three months ended March 31, 2024, the Company recorded the initial delivery of shares in treasury stock at cost, which resulted in an immediate reduction of its outstanding shares used to calculate the weighted average common shares outstanding for basic and diluted earnings per share. The forward contracts indexed to the Company's own common stock met the criteria for equity classification, and prepayment of $25,000 was initially recorded in additional paid-in capital, which reflects the pending settlement of the 2024 ASR Agreement.</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Had the 2024 ASR Agreement been settled as of June 30, 2024, determined based on the volume-weighted average price per share since its effective date, Citibank would have been required to deliver additional estimated shares to the Company. The effect of the potential share settlement under the 2024 ASR Agreement was excluded from the computation of diluted earnings per share as its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Other Income, net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income, net consists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5"/>
                <w:szCs w:val="15"/>
                <w:color w:val="auto"/>
              </w:rPr>
            </w:pPr>
          </w:p>
        </w:tc>
      </w:tr>
      <w:tr>
        <w:trPr>
          <w:trHeight w:val="22"/>
        </w:trPr>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5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r>
      <w:tr>
        <w:trPr>
          <w:trHeight w:val="21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90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r>
      <w:tr>
        <w:trPr>
          <w:trHeight w:val="219"/>
        </w:trPr>
        <w:tc>
          <w:tcPr>
            <w:tcW w:w="5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3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Refer to Note 16 - Fair Value Measurements to the unaudited consolidated financial statements for further details.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Cash, Cash Equivalents and Restricted Cash</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For the purposes of unaudited statements of cash flows, cash, cash equivalents and restricted cash consist of the following: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7"/>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Pr>
          <w:p>
            <w:pPr>
              <w:spacing w:after="0"/>
              <w:rPr>
                <w:sz w:val="15"/>
                <w:szCs w:val="15"/>
                <w:color w:val="auto"/>
              </w:rPr>
            </w:pPr>
          </w:p>
        </w:tc>
        <w:tc>
          <w:tcPr>
            <w:tcW w:w="15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93,960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136,953</w:t>
            </w:r>
          </w:p>
        </w:tc>
      </w:tr>
      <w:tr>
        <w:trPr>
          <w:trHeight w:val="21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 (current)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4,628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4,062</w:t>
            </w: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121,654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98,588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141,015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Restricted cash (current) primarily represents funds held on behalf of customers in dedicated bank accounts. The corresponding liability against the same is included under “Accrued Expenses and other current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Investments consist of the following:</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5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Mutual funds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88,834</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52,650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deposits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101,231</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153,881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Long-term investments</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4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deposits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19"/>
        </w:trPr>
        <w:tc>
          <w:tcPr>
            <w:tcW w:w="548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Restricted term deposits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4,386</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affiliate</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Total Long-term investments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19,239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13"/>
        <w:spacing w:after="0" w:line="270" w:lineRule="auto"/>
        <w:tabs>
          <w:tab w:leader="none" w:pos="5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term deposits represent deposit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Property and Equipment, net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5"/>
                <w:szCs w:val="15"/>
                <w:color w:val="auto"/>
              </w:rPr>
            </w:pPr>
          </w:p>
        </w:tc>
      </w:tr>
      <w:tr>
        <w:trPr>
          <w:trHeight w:val="22"/>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center"/>
              <w:ind w:left="721"/>
              <w:spacing w:after="0"/>
              <w:rPr>
                <w:sz w:val="20"/>
                <w:szCs w:val="20"/>
                <w:color w:val="auto"/>
              </w:rPr>
            </w:pPr>
            <w:r>
              <w:rPr>
                <w:rFonts w:ascii="Times New Roman" w:cs="Times New Roman" w:eastAsia="Times New Roman" w:hAnsi="Times New Roman"/>
                <w:sz w:val="17"/>
                <w:szCs w:val="17"/>
                <w:color w:val="auto"/>
              </w:rPr>
              <w:t>340,313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7"/>
                <w:szCs w:val="17"/>
                <w:color w:val="auto"/>
              </w:rPr>
              <w:t>324,038</w:t>
            </w:r>
          </w:p>
        </w:tc>
      </w:tr>
      <w:tr>
        <w:trPr>
          <w:trHeight w:val="21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7"/>
                <w:szCs w:val="17"/>
                <w:color w:val="auto"/>
                <w:w w:val="99"/>
              </w:rPr>
              <w:t>(236,835)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758"/>
              <w:spacing w:after="0"/>
              <w:rPr>
                <w:sz w:val="20"/>
                <w:szCs w:val="20"/>
                <w:color w:val="auto"/>
              </w:rPr>
            </w:pPr>
            <w:r>
              <w:rPr>
                <w:rFonts w:ascii="Times New Roman" w:cs="Times New Roman" w:eastAsia="Times New Roman" w:hAnsi="Times New Roman"/>
                <w:sz w:val="17"/>
                <w:szCs w:val="17"/>
                <w:color w:val="auto"/>
              </w:rPr>
              <w:t>(223,665)</w:t>
            </w: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center"/>
              <w:ind w:left="721"/>
              <w:spacing w:after="0"/>
              <w:rPr>
                <w:sz w:val="20"/>
                <w:szCs w:val="20"/>
                <w:color w:val="auto"/>
              </w:rPr>
            </w:pPr>
            <w:r>
              <w:rPr>
                <w:rFonts w:ascii="Times New Roman" w:cs="Times New Roman" w:eastAsia="Times New Roman" w:hAnsi="Times New Roman"/>
                <w:sz w:val="17"/>
                <w:szCs w:val="17"/>
                <w:color w:val="auto"/>
              </w:rPr>
              <w:t>103,478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7"/>
                <w:szCs w:val="17"/>
                <w:color w:val="auto"/>
              </w:rPr>
              <w:t>100,373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During the three and six months ended June 30, 2024, there were no changes in estimated useful lives of property and equipment during the ordinary course of operations.</w:t>
      </w:r>
    </w:p>
    <w:p>
      <w:pPr>
        <w:spacing w:after="0" w:line="177"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The depreciation and amortization expense, excluding amortization of acquisition-related intangibles, recognized in the unaudited consolidated statements of income was as follows:</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88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r>
      <w:tr>
        <w:trPr>
          <w:trHeight w:val="218"/>
        </w:trPr>
        <w:tc>
          <w:tcPr>
            <w:tcW w:w="8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6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9,833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19,099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18,256</w:t>
            </w:r>
          </w:p>
        </w:tc>
      </w:tr>
      <w:tr>
        <w:trPr>
          <w:trHeight w:val="516"/>
        </w:trPr>
        <w:tc>
          <w:tcPr>
            <w:tcW w:w="4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Internally developed software costs was as follows: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gridSpan w:val="4"/>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60" w:type="dxa"/>
            <w:vAlign w:val="bottom"/>
          </w:tcPr>
          <w:p>
            <w:pPr>
              <w:spacing w:after="0"/>
              <w:rPr>
                <w:sz w:val="15"/>
                <w:szCs w:val="15"/>
                <w:color w:val="auto"/>
              </w:rPr>
            </w:pPr>
          </w:p>
        </w:tc>
      </w:tr>
      <w:tr>
        <w:trPr>
          <w:trHeight w:val="218"/>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rPr>
              <w:t>46,625</w:t>
            </w:r>
          </w:p>
        </w:tc>
        <w:tc>
          <w:tcPr>
            <w:tcW w:w="16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 Accumulated amortization</w:t>
            </w:r>
          </w:p>
        </w:tc>
        <w:tc>
          <w:tcPr>
            <w:tcW w:w="8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(30,858)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8"/>
              <w:spacing w:after="0"/>
              <w:rPr>
                <w:sz w:val="20"/>
                <w:szCs w:val="20"/>
                <w:color w:val="auto"/>
              </w:rPr>
            </w:pPr>
            <w:r>
              <w:rPr>
                <w:rFonts w:ascii="Times New Roman" w:cs="Times New Roman" w:eastAsia="Times New Roman" w:hAnsi="Times New Roman"/>
                <w:sz w:val="17"/>
                <w:szCs w:val="17"/>
                <w:color w:val="auto"/>
                <w:w w:val="99"/>
              </w:rPr>
              <w:t>(25,413)</w:t>
            </w:r>
          </w:p>
        </w:tc>
        <w:tc>
          <w:tcPr>
            <w:tcW w:w="160" w:type="dxa"/>
            <w:vAlign w:val="bottom"/>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Internally developed software, net</w:t>
            </w: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rPr>
              <w:t>21,212</w:t>
            </w:r>
          </w:p>
        </w:tc>
        <w:tc>
          <w:tcPr>
            <w:tcW w:w="1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amortization expense on internally developed software recognized in the unaudited consolidated statements of income was as follows:</w:t>
      </w:r>
    </w:p>
    <w:p>
      <w:pPr>
        <w:spacing w:after="0" w:line="132"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42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5"/>
                <w:szCs w:val="15"/>
                <w:color w:val="auto"/>
              </w:rPr>
            </w:pPr>
          </w:p>
        </w:tc>
      </w:tr>
      <w:tr>
        <w:trPr>
          <w:trHeight w:val="22"/>
        </w:trPr>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46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w:t>
            </w: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There were no indicators of impairment related to long-lived assets as of June 30, 2024 and December 31, 2023.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Other Intangible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details of changes in goodwill by reportable segment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16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Healthcare</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Emerging</w:t>
            </w:r>
          </w:p>
        </w:tc>
        <w:tc>
          <w:tcPr>
            <w:tcW w:w="16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Analytics</w:t>
            </w:r>
          </w:p>
        </w:tc>
        <w:tc>
          <w:tcPr>
            <w:tcW w:w="240" w:type="dxa"/>
            <w:vAlign w:val="bottom"/>
          </w:tcPr>
          <w:p>
            <w:pPr>
              <w:spacing w:after="0"/>
              <w:rPr>
                <w:sz w:val="15"/>
                <w:szCs w:val="15"/>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405,639</w:t>
            </w:r>
          </w:p>
        </w:tc>
        <w:tc>
          <w:tcPr>
            <w:tcW w:w="0" w:type="dxa"/>
            <w:vAlign w:val="bottom"/>
          </w:tcPr>
          <w:p>
            <w:pPr>
              <w:spacing w:after="0"/>
              <w:rPr>
                <w:sz w:val="1"/>
                <w:szCs w:val="1"/>
                <w:color w:val="auto"/>
              </w:rPr>
            </w:pPr>
          </w:p>
        </w:tc>
      </w:tr>
      <w:tr>
        <w:trPr>
          <w:trHeight w:val="219"/>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37"/>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405,581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3"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As of June 30, 2024,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the six months ended June 30, 2024,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2023. The Company did not identify any triggers or indications of potential impairment for its reporting units as of June 30, 2024.</w:t>
      </w:r>
    </w:p>
    <w:p>
      <w:pPr>
        <w:spacing w:after="0" w:line="200"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Information regarding the Company’s intangible assets is set forth below:</w:t>
      </w:r>
    </w:p>
    <w:p>
      <w:pPr>
        <w:spacing w:after="0" w:line="22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June 30, 2024</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31, 2023</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39"/>
              <w:spacing w:after="0" w:line="12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39"/>
              <w:spacing w:after="0" w:line="12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Pr>
          <w:p>
            <w:pPr>
              <w:spacing w:after="0"/>
              <w:rPr>
                <w:sz w:val="16"/>
                <w:szCs w:val="16"/>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Finite-lived intangible assets:</w:t>
            </w: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99,050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 names and trademarks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 agreements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49,264</w:t>
            </w: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Indefinite-lived intangible assets: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 names and trademarks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37"/>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105,238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amortization expense recognized in the unaudited consolidated statements of income was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274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4"/>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5"/>
                <w:szCs w:val="15"/>
                <w:color w:val="auto"/>
              </w:rPr>
            </w:pPr>
          </w:p>
        </w:tc>
      </w:tr>
      <w:tr>
        <w:trPr>
          <w:trHeight w:val="22"/>
        </w:trPr>
        <w:tc>
          <w:tcPr>
            <w:tcW w:w="3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39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21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04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8,353</w:t>
            </w: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Estimated future amortization expense related to finite-lived intangible assets as of June 30, 2024 was as follows:</w:t>
      </w:r>
    </w:p>
    <w:p>
      <w:pPr>
        <w:spacing w:after="0" w:line="285" w:lineRule="exact"/>
        <w:rPr>
          <w:sz w:val="20"/>
          <w:szCs w:val="20"/>
          <w:color w:val="auto"/>
        </w:rPr>
      </w:pPr>
    </w:p>
    <w:tbl>
      <w:tblPr>
        <w:tblLayout w:type="fixed"/>
        <w:tblInd w:w="1000" w:type="dxa"/>
        <w:tblCellMar>
          <w:top w:w="0" w:type="dxa"/>
          <w:left w:w="0" w:type="dxa"/>
          <w:bottom w:w="0" w:type="dxa"/>
          <w:right w:w="0" w:type="dxa"/>
        </w:tblCellMar>
      </w:tblP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(July 1 - December 31)</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w:t>
            </w: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10,361</w:t>
            </w: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9,364</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43,103</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Other Current Assets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current assets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0" w:type="dxa"/>
            <w:vAlign w:val="bottom"/>
            <w:tcBorders>
              <w:right w:val="single" w:sz="8" w:color="CCEEFF"/>
            </w:tcBorders>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income tax, net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23,269</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from statutory authorities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18,500</w:t>
            </w:r>
          </w:p>
        </w:tc>
        <w:tc>
          <w:tcPr>
            <w:tcW w:w="3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3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3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1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right w:val="single" w:sz="8" w:color="CCEEFF"/>
            </w:tcBorders>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93,612</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76,669</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CCEEFF"/>
            </w:tcBorders>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12. Other Assets</w:t>
            </w: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42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6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 consist of the following:</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statutory authorities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deposits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7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13. Accrued Expenses and Other Current Liabilities</w:t>
            </w: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42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6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880" w:type="dxa"/>
            <w:vAlign w:val="bottom"/>
            <w:gridSpan w:val="3"/>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57,488</w:t>
            </w:r>
          </w:p>
        </w:tc>
        <w:tc>
          <w:tcPr>
            <w:tcW w:w="6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Payable to statutory authorities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Client liabilities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taxes payable, net</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5,012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8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97,613</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114,113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41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Other Non-Current Liabilities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Other non-current liabilities consist of the following:</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5"/>
                <w:szCs w:val="15"/>
                <w:color w:val="auto"/>
              </w:rPr>
            </w:pPr>
          </w:p>
        </w:tc>
      </w:tr>
      <w:tr>
        <w:trPr>
          <w:trHeight w:val="22"/>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14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Retirement benefits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w:t>
            </w:r>
          </w:p>
        </w:tc>
      </w:tr>
      <w:tr>
        <w:trPr>
          <w:trHeight w:val="219"/>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Deferred transition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10,195</w:t>
            </w:r>
          </w:p>
        </w:tc>
      </w:tr>
      <w:tr>
        <w:trPr>
          <w:trHeight w:val="21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19"/>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Unrecognized tax benefits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19"/>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w:t>
            </w:r>
          </w:p>
        </w:tc>
      </w:tr>
      <w:tr>
        <w:trPr>
          <w:trHeight w:val="237"/>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Income/(Loss)</w:t>
      </w:r>
    </w:p>
    <w:p>
      <w:pPr>
        <w:spacing w:after="0" w:line="234" w:lineRule="exact"/>
        <w:rPr>
          <w:sz w:val="20"/>
          <w:szCs w:val="20"/>
          <w:color w:val="auto"/>
        </w:rPr>
      </w:pPr>
    </w:p>
    <w:p>
      <w:pPr>
        <w:jc w:val="both"/>
        <w:ind w:firstLine="387"/>
        <w:spacing w:after="0" w:line="242" w:lineRule="auto"/>
        <w:rPr>
          <w:sz w:val="20"/>
          <w:szCs w:val="20"/>
          <w:color w:val="auto"/>
        </w:rPr>
      </w:pPr>
      <w:r>
        <w:rPr>
          <w:rFonts w:ascii="Times New Roman" w:cs="Times New Roman" w:eastAsia="Times New Roman" w:hAnsi="Times New Roman"/>
          <w:sz w:val="17"/>
          <w:szCs w:val="17"/>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six months ended June 30, 2024 and 2023:</w:t>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gridSpan w:val="9"/>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Income/(Loss)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20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restart"/>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340" w:type="dxa"/>
            <w:vAlign w:val="bottom"/>
            <w:gridSpan w:val="3"/>
            <w:vMerge w:val="restart"/>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gain/(loss) on cash</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restart"/>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20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flow hedges</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(127,040)</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Losses recognized during the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Income tax effects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income/(loss) as of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(136,108)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January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(144,143)</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Gains recognized during the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5"/>
                <w:szCs w:val="15"/>
                <w:color w:val="auto"/>
              </w:rPr>
              <w:t xml:space="preserve">Income tax effects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income/(loss) as of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(124,147)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firstLine="235"/>
        <w:spacing w:after="0" w:line="287" w:lineRule="auto"/>
        <w:tabs>
          <w:tab w:leader="none" w:pos="50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17 - Derivatives and Hedge Accounting and Note 20 - Employee Benefit Plans to the unaudited consolidated financial statements for reclassification to net income.</w:t>
      </w:r>
    </w:p>
    <w:p>
      <w:pPr>
        <w:spacing w:after="0" w:line="164" w:lineRule="exact"/>
        <w:rPr>
          <w:rFonts w:ascii="Times New Roman" w:cs="Times New Roman" w:eastAsia="Times New Roman" w:hAnsi="Times New Roman"/>
          <w:sz w:val="17"/>
          <w:szCs w:val="17"/>
          <w:color w:val="auto"/>
        </w:rPr>
      </w:pPr>
    </w:p>
    <w:p>
      <w:pPr>
        <w:ind w:firstLine="235"/>
        <w:spacing w:after="0" w:line="271" w:lineRule="auto"/>
        <w:tabs>
          <w:tab w:leader="none" w:pos="4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are income tax effects recognized on cash flow hedges, retirement benefits and currency translation adjustments. Refer to Note 22 -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w:t>
      </w:r>
    </w:p>
    <w:p>
      <w:pPr>
        <w:spacing w:after="0" w:line="2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recognized at fair value:</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54,298</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54,298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88,834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88,834</w:t>
            </w: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10,398</w:t>
            </w:r>
          </w:p>
        </w:tc>
        <w:tc>
          <w:tcPr>
            <w:tcW w:w="0" w:type="dxa"/>
            <w:vAlign w:val="bottom"/>
          </w:tcPr>
          <w:p>
            <w:pPr>
              <w:spacing w:after="0"/>
              <w:rPr>
                <w:sz w:val="1"/>
                <w:szCs w:val="1"/>
                <w:color w:val="auto"/>
              </w:rPr>
            </w:pPr>
          </w:p>
        </w:tc>
      </w:tr>
      <w:tr>
        <w:trPr>
          <w:trHeight w:val="237"/>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143,132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153,530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7,640</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7,640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0" w:type="dxa"/>
            <w:vAlign w:val="bottom"/>
          </w:tcPr>
          <w:p>
            <w:pPr>
              <w:spacing w:after="0"/>
              <w:rPr>
                <w:sz w:val="12"/>
                <w:szCs w:val="12"/>
                <w:color w:val="auto"/>
              </w:rPr>
            </w:pPr>
          </w:p>
        </w:tc>
        <w:tc>
          <w:tcPr>
            <w:tcW w:w="154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80" w:type="dxa"/>
            <w:vAlign w:val="bottom"/>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49,806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49,806</w:t>
            </w: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52,650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52,650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102,456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7,607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110,063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480" w:hanging="245"/>
        <w:spacing w:after="0"/>
        <w:tabs>
          <w:tab w:leader="none" w:pos="4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money market funds which are carried at the fair value option under ASC Topic 825 “Financial Instruments”.</w:t>
      </w:r>
    </w:p>
    <w:p>
      <w:pPr>
        <w:spacing w:after="0" w:line="229"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those short-term investments which are carried at the fair value option under ASC Topic 825 “Financial Instruments”.</w:t>
      </w:r>
    </w:p>
    <w:p>
      <w:pPr>
        <w:spacing w:after="0" w:line="242" w:lineRule="exact"/>
        <w:rPr>
          <w:rFonts w:ascii="Times New Roman" w:cs="Times New Roman" w:eastAsia="Times New Roman" w:hAnsi="Times New Roman"/>
          <w:sz w:val="17"/>
          <w:szCs w:val="17"/>
          <w:color w:val="auto"/>
        </w:rPr>
      </w:pPr>
    </w:p>
    <w:p>
      <w:pPr>
        <w:ind w:firstLine="235"/>
        <w:spacing w:after="0" w:line="287" w:lineRule="auto"/>
        <w:tabs>
          <w:tab w:leader="none" w:pos="48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is presented under “Accrued Expenses and Other Current Liabilities” and “Other Non-Current Liabilities,” as applicable, in the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Derivative Financial Instruments:</w:t>
      </w:r>
    </w:p>
    <w:p>
      <w:pPr>
        <w:spacing w:after="0" w:line="234"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Contingent Consideration:</w:t>
      </w:r>
    </w:p>
    <w:p>
      <w:pPr>
        <w:spacing w:after="0" w:line="24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the changes in the fair value of contingent consideration:</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1"/>
        </w:trPr>
        <w:tc>
          <w:tcPr>
            <w:tcW w:w="29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18,689</w:t>
            </w: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changes</w:t>
            </w:r>
          </w:p>
        </w:tc>
        <w:tc>
          <w:tcPr>
            <w:tcW w:w="1280" w:type="dxa"/>
            <w:vAlign w:val="bottom"/>
          </w:tcPr>
          <w:p>
            <w:pPr>
              <w:spacing w:after="0"/>
              <w:rPr>
                <w:sz w:val="19"/>
                <w:szCs w:val="19"/>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128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13,689</w:t>
            </w:r>
          </w:p>
        </w:tc>
      </w:tr>
      <w:tr>
        <w:trPr>
          <w:trHeight w:val="20"/>
        </w:trPr>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the three and six months ended June 30, 2024 and 2023, there were no transfers among Level 1, Level 2 and Level 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Carried at Fair Value</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Derivatives and Hedge Accounting</w:t>
      </w:r>
    </w:p>
    <w:p>
      <w:pPr>
        <w:spacing w:after="0" w:line="23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and are with counterparties that are highly rated financial institutions.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the aggregate notional amount of derivatives in cash flow hedging relationship:</w:t>
      </w:r>
    </w:p>
    <w:p>
      <w:pPr>
        <w:spacing w:after="0" w:line="37"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60" w:type="dxa"/>
            <w:vAlign w:val="bottom"/>
            <w:tcBorders>
              <w:bottom w:val="single" w:sz="8" w:color="auto"/>
            </w:tcBorders>
          </w:tcPr>
          <w:p>
            <w:pPr>
              <w:spacing w:after="0"/>
              <w:rPr>
                <w:sz w:val="17"/>
                <w:szCs w:val="17"/>
                <w:color w:val="auto"/>
              </w:rPr>
            </w:pPr>
          </w:p>
        </w:tc>
      </w:tr>
      <w:tr>
        <w:trPr>
          <w:trHeight w:val="201"/>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6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60" w:type="dxa"/>
            <w:vAlign w:val="bottom"/>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forward contracts denominated in:</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16"/>
        </w:trPr>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Sell U. S. dollar (USD)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722,800</w:t>
            </w:r>
          </w:p>
        </w:tc>
      </w:tr>
      <w:tr>
        <w:trPr>
          <w:trHeight w:val="223"/>
        </w:trPr>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Sell U.K. pound sterling (GBP)</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51"/>
        </w:trPr>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1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rate swaps (Floating to fixed) denominated in:</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USD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bl>
    <w:p>
      <w:pPr>
        <w:spacing w:after="0" w:line="57"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Company estimates that approximately $953 of derivative gains, net, excluding tax effects, included in AOCI, representing changes in the value of cash flow hedges based on exchange rates prevailing as of June 30, 2024, could be reclassified into earnings within the next twelve months. As of June 30, 2024, the maximum outstanding term of the cash flow hedges was approximately 45 months.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45"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Changes in the fair value of these financial instruments are recognized in the unaudited consolidated statements of income and are included in the foreign exchange gain/(loss) line item. The Company’s primary exchange rate exposure is with the Indian rupee (INR), the Philippine peso (PHP), the U.K. pound sterling (GBP) and South African rand (ZAR). The Company also has exposure to the Colombian peso (COP), the Euro (EUR), the Australian dollar (AUD), the Canadian dollar (CAD) and other local currencies in which it operates.</w:t>
      </w:r>
    </w:p>
    <w:p>
      <w:pPr>
        <w:spacing w:after="0" w:line="18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following table sets forth the aggregate notional principal amounts of outstanding foreign currency forward contracts for derivatives not designated as hedging instruments:</w:t>
      </w:r>
    </w:p>
    <w:tbl>
      <w:tblPr>
        <w:tblLayout w:type="fixed"/>
        <w:tblInd w:w="380" w:type="dxa"/>
        <w:tblCellMar>
          <w:top w:w="0" w:type="dxa"/>
          <w:left w:w="0" w:type="dxa"/>
          <w:bottom w:w="0" w:type="dxa"/>
          <w:right w:w="0" w:type="dxa"/>
        </w:tblCellMar>
      </w:tblPr>
      <w:tr>
        <w:trPr>
          <w:trHeight w:val="182"/>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2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Foreign currency forward contracts denominated in:</w:t>
            </w:r>
          </w:p>
        </w:tc>
        <w:tc>
          <w:tcPr>
            <w:tcW w:w="2520" w:type="dxa"/>
            <w:vAlign w:val="bottom"/>
            <w:tcBorders>
              <w:bottom w:val="single" w:sz="8" w:color="auto"/>
            </w:tcBorders>
            <w:gridSpan w:val="3"/>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240" w:type="dxa"/>
            <w:vAlign w:val="bottom"/>
            <w:gridSpan w:val="2"/>
            <w:vMerge w:val="continue"/>
          </w:tcPr>
          <w:p>
            <w:pPr>
              <w:spacing w:after="0"/>
              <w:rPr>
                <w:sz w:val="15"/>
                <w:szCs w:val="15"/>
                <w:color w:val="auto"/>
              </w:rPr>
            </w:pPr>
          </w:p>
        </w:tc>
        <w:tc>
          <w:tcPr>
            <w:tcW w:w="25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5"/>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USD</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181,450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170,543</w:t>
            </w:r>
          </w:p>
        </w:tc>
        <w:tc>
          <w:tcPr>
            <w:tcW w:w="0" w:type="dxa"/>
            <w:vAlign w:val="bottom"/>
          </w:tcPr>
          <w:p>
            <w:pPr>
              <w:spacing w:after="0"/>
              <w:rPr>
                <w:sz w:val="1"/>
                <w:szCs w:val="1"/>
                <w:color w:val="auto"/>
              </w:rPr>
            </w:pPr>
          </w:p>
        </w:tc>
      </w:tr>
      <w:tr>
        <w:trPr>
          <w:trHeight w:val="21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 GBP</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0" w:type="dxa"/>
            <w:vAlign w:val="bottom"/>
          </w:tcPr>
          <w:p>
            <w:pPr>
              <w:spacing w:after="0"/>
              <w:rPr>
                <w:sz w:val="1"/>
                <w:szCs w:val="1"/>
                <w:color w:val="auto"/>
              </w:rPr>
            </w:pPr>
          </w:p>
        </w:tc>
      </w:tr>
      <w:tr>
        <w:trPr>
          <w:trHeight w:val="21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EUR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0" w:type="dxa"/>
            <w:vAlign w:val="bottom"/>
          </w:tcPr>
          <w:p>
            <w:pPr>
              <w:spacing w:after="0"/>
              <w:rPr>
                <w:sz w:val="1"/>
                <w:szCs w:val="1"/>
                <w:color w:val="auto"/>
              </w:rPr>
            </w:pPr>
          </w:p>
        </w:tc>
      </w:tr>
      <w:tr>
        <w:trPr>
          <w:trHeight w:val="21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 AUD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0" w:type="dxa"/>
            <w:vAlign w:val="bottom"/>
          </w:tcPr>
          <w:p>
            <w:pPr>
              <w:spacing w:after="0"/>
              <w:rPr>
                <w:sz w:val="1"/>
                <w:szCs w:val="1"/>
                <w:color w:val="auto"/>
              </w:rPr>
            </w:pPr>
          </w:p>
        </w:tc>
      </w:tr>
      <w:tr>
        <w:trPr>
          <w:trHeight w:val="21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USD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8,161</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200" w:firstLine="387"/>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fair value of the foreign currency forward contracts and interest rate swaps and their location on the consolidated balance sheets:</w:t>
      </w: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4"/>
          </w:tcPr>
          <w:p>
            <w:pPr>
              <w:jc w:val="center"/>
              <w:ind w:left="517"/>
              <w:spacing w:after="0" w:line="159" w:lineRule="exact"/>
              <w:rPr>
                <w:sz w:val="20"/>
                <w:szCs w:val="20"/>
                <w:color w:val="auto"/>
              </w:rPr>
            </w:pPr>
            <w:r>
              <w:rPr>
                <w:rFonts w:ascii="Times New Roman" w:cs="Times New Roman" w:eastAsia="Times New Roman" w:hAnsi="Times New Roman"/>
                <w:sz w:val="15"/>
                <w:szCs w:val="15"/>
                <w:b w:val="1"/>
                <w:bCs w:val="1"/>
                <w:color w:val="auto"/>
              </w:rPr>
              <w:t>Derivatives in cash flow hedging</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40" w:type="dxa"/>
            <w:vAlign w:val="bottom"/>
            <w:gridSpan w:val="4"/>
          </w:tcPr>
          <w:p>
            <w:pPr>
              <w:jc w:val="center"/>
              <w:ind w:right="236"/>
              <w:spacing w:after="0" w:line="159" w:lineRule="exact"/>
              <w:rPr>
                <w:sz w:val="20"/>
                <w:szCs w:val="20"/>
                <w:color w:val="auto"/>
              </w:rPr>
            </w:pPr>
            <w:r>
              <w:rPr>
                <w:rFonts w:ascii="Times New Roman" w:cs="Times New Roman" w:eastAsia="Times New Roman" w:hAnsi="Times New Roman"/>
                <w:sz w:val="15"/>
                <w:szCs w:val="15"/>
                <w:b w:val="1"/>
                <w:bCs w:val="1"/>
                <w:color w:val="auto"/>
              </w:rPr>
              <w:t>Derivatives not designated as hedging</w:t>
            </w:r>
          </w:p>
        </w:tc>
      </w:tr>
      <w:tr>
        <w:trPr>
          <w:trHeight w:val="205"/>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636"/>
              <w:spacing w:after="0"/>
              <w:rPr>
                <w:sz w:val="20"/>
                <w:szCs w:val="20"/>
                <w:color w:val="auto"/>
              </w:rPr>
            </w:pPr>
            <w:r>
              <w:rPr>
                <w:rFonts w:ascii="Times New Roman" w:cs="Times New Roman" w:eastAsia="Times New Roman" w:hAnsi="Times New Roman"/>
                <w:sz w:val="15"/>
                <w:szCs w:val="15"/>
                <w:b w:val="1"/>
                <w:bCs w:val="1"/>
                <w:color w:val="auto"/>
              </w:rPr>
              <w:t>relationships</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5"/>
                <w:szCs w:val="15"/>
                <w:b w:val="1"/>
                <w:bCs w:val="1"/>
                <w:color w:val="auto"/>
              </w:rPr>
              <w:t>instruments</w:t>
            </w:r>
          </w:p>
        </w:tc>
      </w:tr>
      <w:tr>
        <w:trPr>
          <w:trHeight w:val="199"/>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65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1238"/>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r>
      <w:tr>
        <w:trPr>
          <w:trHeight w:val="199"/>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00" w:type="dxa"/>
            <w:vAlign w:val="bottom"/>
          </w:tcPr>
          <w:p>
            <w:pPr>
              <w:spacing w:after="0"/>
              <w:rPr>
                <w:sz w:val="17"/>
                <w:szCs w:val="17"/>
                <w:color w:val="auto"/>
              </w:rPr>
            </w:pP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1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360" w:type="dxa"/>
            <w:vAlign w:val="bottom"/>
          </w:tcPr>
          <w:p>
            <w:pPr>
              <w:jc w:val="right"/>
              <w:ind w:right="11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5,925</w:t>
            </w:r>
          </w:p>
        </w:tc>
        <w:tc>
          <w:tcPr>
            <w:tcW w:w="12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360" w:type="dxa"/>
            <w:vAlign w:val="bottom"/>
            <w:shd w:val="clear" w:color="auto" w:fill="CCEEFF"/>
          </w:tcPr>
          <w:p>
            <w:pPr>
              <w:jc w:val="right"/>
              <w:ind w:right="11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4,166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68"/>
        </w:trPr>
        <w:tc>
          <w:tcPr>
            <w:tcW w:w="36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Accrued expenses and other</w:t>
            </w:r>
          </w:p>
        </w:tc>
        <w:tc>
          <w:tcPr>
            <w:tcW w:w="1360" w:type="dxa"/>
            <w:vAlign w:val="bottom"/>
            <w:shd w:val="clear" w:color="auto" w:fill="CCEEFF"/>
          </w:tcPr>
          <w:p>
            <w:pPr>
              <w:jc w:val="right"/>
              <w:ind w:right="1177"/>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w w:val="99"/>
              </w:rPr>
              <w:t>4,972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56"/>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1,859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150</w:t>
            </w:r>
          </w:p>
        </w:tc>
      </w:tr>
      <w:tr>
        <w:trPr>
          <w:trHeight w:val="23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360" w:type="dxa"/>
            <w:vAlign w:val="bottom"/>
          </w:tcPr>
          <w:p>
            <w:pPr>
              <w:jc w:val="right"/>
              <w:ind w:right="11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2,487</w:t>
            </w:r>
          </w:p>
        </w:tc>
        <w:tc>
          <w:tcPr>
            <w:tcW w:w="12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76" w:lineRule="exact"/>
        <w:rPr>
          <w:sz w:val="20"/>
          <w:szCs w:val="20"/>
          <w:color w:val="auto"/>
        </w:rPr>
      </w:pPr>
    </w:p>
    <w:p>
      <w:pPr>
        <w:ind w:firstLine="387"/>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effect of foreign currency forward contracts and interest rate swaps on AOCI and the unaudited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60" w:type="dxa"/>
            <w:vAlign w:val="bottom"/>
          </w:tcPr>
          <w:p>
            <w:pPr>
              <w:spacing w:after="0"/>
              <w:rPr>
                <w:sz w:val="17"/>
                <w:szCs w:val="17"/>
                <w:color w:val="auto"/>
              </w:rPr>
            </w:pPr>
          </w:p>
        </w:tc>
        <w:tc>
          <w:tcPr>
            <w:tcW w:w="2780" w:type="dxa"/>
            <w:vAlign w:val="bottom"/>
            <w:gridSpan w:val="4"/>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 financial instruments: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Unrealized gain/(loss) recognized in OCI</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51"/>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Derivatives in cash flow hedging relationships</w:t>
            </w:r>
          </w:p>
        </w:tc>
        <w:tc>
          <w:tcPr>
            <w:tcW w:w="340" w:type="dxa"/>
            <w:vAlign w:val="bottom"/>
            <w:tcBorders>
              <w:bottom w:val="single" w:sz="8" w:color="CCEEFF"/>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8,851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16,145</w:t>
            </w:r>
          </w:p>
        </w:tc>
      </w:tr>
      <w:tr>
        <w:trPr>
          <w:trHeight w:val="155"/>
        </w:trPr>
        <w:tc>
          <w:tcPr>
            <w:tcW w:w="45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Gain/(loss) recognized in unaudited consolidated statements of</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387"/>
        <w:spacing w:after="0" w:line="271"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5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5"/>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1400" w:type="dxa"/>
            <w:vAlign w:val="bottom"/>
            <w:gridSpan w:val="3"/>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0" w:type="dxa"/>
            <w:vAlign w:val="bottom"/>
          </w:tcPr>
          <w:p>
            <w:pPr>
              <w:spacing w:after="0"/>
              <w:rPr>
                <w:sz w:val="1"/>
                <w:szCs w:val="1"/>
                <w:color w:val="auto"/>
              </w:rPr>
            </w:pPr>
          </w:p>
        </w:tc>
      </w:tr>
      <w:tr>
        <w:trPr>
          <w:trHeight w:val="77"/>
        </w:trPr>
        <w:tc>
          <w:tcPr>
            <w:tcW w:w="5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5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20" w:type="dxa"/>
            <w:vAlign w:val="bottom"/>
            <w:gridSpan w:val="3"/>
            <w:vMerge w:val="restart"/>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financial</w:t>
            </w: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320" w:type="dxa"/>
            <w:vAlign w:val="bottom"/>
            <w:gridSpan w:val="2"/>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financial</w:t>
            </w:r>
          </w:p>
        </w:tc>
        <w:tc>
          <w:tcPr>
            <w:tcW w:w="0" w:type="dxa"/>
            <w:vAlign w:val="bottom"/>
          </w:tcPr>
          <w:p>
            <w:pPr>
              <w:spacing w:after="0"/>
              <w:rPr>
                <w:sz w:val="1"/>
                <w:szCs w:val="1"/>
                <w:color w:val="auto"/>
              </w:rPr>
            </w:pPr>
          </w:p>
        </w:tc>
      </w:tr>
      <w:tr>
        <w:trPr>
          <w:trHeight w:val="77"/>
        </w:trPr>
        <w:tc>
          <w:tcPr>
            <w:tcW w:w="5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420" w:type="dxa"/>
            <w:vAlign w:val="bottom"/>
            <w:gridSpan w:val="3"/>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3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5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restart"/>
            <w:shd w:val="clear" w:color="auto" w:fill="CCEEFF"/>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in cash flow hedging relationships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reclassified from AOCI</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of tax</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20" w:top="11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23" w:lineRule="exact"/>
        <w:rPr>
          <w:sz w:val="20"/>
          <w:szCs w:val="20"/>
          <w:color w:val="auto"/>
        </w:rPr>
      </w:pPr>
    </w:p>
    <w:p>
      <w:pPr>
        <w:ind w:right="24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5"/>
            <w:shd w:val="clear" w:color="auto" w:fill="CCEEFF"/>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1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gridSpan w:val="4"/>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4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13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As per unaudited</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Gain/(loss) on</w:t>
            </w: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4"/>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40" w:type="dxa"/>
            <w:vAlign w:val="bottom"/>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restart"/>
            <w:shd w:val="clear" w:color="auto" w:fill="CCEEFF"/>
          </w:tcPr>
          <w:p>
            <w:pPr>
              <w:jc w:val="center"/>
              <w:ind w:right="77"/>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4"/>
            <w:vMerge w:val="continue"/>
            <w:shd w:val="clear" w:color="auto" w:fill="CCEEFF"/>
          </w:tcPr>
          <w:p>
            <w:pPr>
              <w:spacing w:after="0"/>
              <w:rPr>
                <w:sz w:val="6"/>
                <w:szCs w:val="6"/>
                <w:color w:val="auto"/>
              </w:rPr>
            </w:pPr>
          </w:p>
        </w:tc>
        <w:tc>
          <w:tcPr>
            <w:tcW w:w="1400" w:type="dxa"/>
            <w:vAlign w:val="bottom"/>
            <w:gridSpan w:val="4"/>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financial</w:t>
            </w: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restart"/>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rPr>
              <w:t>derivative financ</w:t>
            </w: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4"/>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400" w:type="dxa"/>
            <w:vAlign w:val="bottom"/>
            <w:gridSpan w:val="4"/>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restart"/>
            <w:shd w:val="clear" w:color="auto" w:fill="CCEEFF"/>
          </w:tcPr>
          <w:p>
            <w:pPr>
              <w:jc w:val="center"/>
              <w:ind w:right="77"/>
              <w:spacing w:after="0" w:line="155" w:lineRule="exact"/>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4"/>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3"/>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shd w:val="clear" w:color="auto" w:fill="CCEEFF"/>
          </w:tcPr>
          <w:p>
            <w:pPr>
              <w:spacing w:after="0"/>
              <w:rPr>
                <w:sz w:val="10"/>
                <w:szCs w:val="10"/>
                <w:color w:val="auto"/>
              </w:rPr>
            </w:pPr>
          </w:p>
        </w:tc>
        <w:tc>
          <w:tcPr>
            <w:tcW w:w="1260" w:type="dxa"/>
            <w:vAlign w:val="bottom"/>
            <w:gridSpan w:val="3"/>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gridSpan w:val="4"/>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in cash flow hedging relationships</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 gain/(loss)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 reclassified from AOCI</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of tax</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7"/>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 gain/(loss)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 recognized</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18. Borrowings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5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320" w:type="dxa"/>
            <w:vAlign w:val="bottom"/>
          </w:tcPr>
          <w:p>
            <w:pPr>
              <w:spacing w:after="0"/>
              <w:rPr>
                <w:sz w:val="24"/>
                <w:szCs w:val="24"/>
                <w:color w:val="auto"/>
              </w:rPr>
            </w:pPr>
          </w:p>
        </w:tc>
        <w:tc>
          <w:tcPr>
            <w:tcW w:w="5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The following tables summarizes the Company’s debt position: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9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8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Revolving credit facility</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long-term borrowings</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426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borrowings</w:t>
            </w: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borrowings</w:t>
            </w:r>
          </w:p>
        </w:tc>
        <w:tc>
          <w:tcPr>
            <w:tcW w:w="10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335,000</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100" w:firstLine="425"/>
        <w:spacing w:after="0" w:line="271" w:lineRule="auto"/>
        <w:rPr>
          <w:sz w:val="20"/>
          <w:szCs w:val="20"/>
          <w:color w:val="auto"/>
        </w:rPr>
      </w:pPr>
      <w:r>
        <w:rPr>
          <w:rFonts w:ascii="Times New Roman" w:cs="Times New Roman" w:eastAsia="Times New Roman" w:hAnsi="Times New Roman"/>
          <w:sz w:val="17"/>
          <w:szCs w:val="17"/>
          <w:color w:val="auto"/>
        </w:rPr>
        <w:t>Unamortized debt issuance costs for the Company’s revolving credit facility of $766 and $903 as of June 30, 2024 and December 31, 2023, respectively, are presented under “Other current assets” and “Other assets,” as applicable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21" w:lineRule="exact"/>
        <w:rPr>
          <w:sz w:val="20"/>
          <w:szCs w:val="20"/>
          <w:color w:val="auto"/>
        </w:rPr>
      </w:pPr>
    </w:p>
    <w:p>
      <w:pPr>
        <w:jc w:val="both"/>
        <w:ind w:right="100" w:firstLine="387"/>
        <w:spacing w:after="0" w:line="254" w:lineRule="auto"/>
        <w:rPr>
          <w:sz w:val="20"/>
          <w:szCs w:val="20"/>
          <w:color w:val="auto"/>
        </w:rPr>
      </w:pPr>
      <w:r>
        <w:rPr>
          <w:rFonts w:ascii="Times New Roman" w:cs="Times New Roman" w:eastAsia="Times New Roman" w:hAnsi="Times New Roman"/>
          <w:sz w:val="17"/>
          <w:szCs w:val="17"/>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3"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spacing w:after="0" w:line="200"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198"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revolving credit facility carried an effective interest rate as shown below:</w:t>
      </w: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1"/>
        </w:trPr>
        <w:tc>
          <w:tcPr>
            <w:tcW w:w="49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1360" w:type="dxa"/>
            <w:vAlign w:val="bottom"/>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6.2 %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bl>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June 30, 2024 and December 31, 2023, the Company was in compliance with all financial covenants under the 2022 Credit Agreement.</w:t>
      </w: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Expected payments for all of the Company’s borrowings outstanding as of June 30, 2024 were as follows: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6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Revolving credit facility</w:t>
            </w:r>
          </w:p>
        </w:tc>
      </w:tr>
      <w:tr>
        <w:trPr>
          <w:trHeight w:val="20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(July 1 - December 31)</w:t>
            </w:r>
          </w:p>
        </w:tc>
        <w:tc>
          <w:tcPr>
            <w:tcW w:w="64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260,000</w:t>
            </w:r>
          </w:p>
        </w:tc>
      </w:tr>
      <w:tr>
        <w:trPr>
          <w:trHeight w:val="22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335,000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Letters of Credit</w:t>
      </w:r>
    </w:p>
    <w:p>
      <w:pPr>
        <w:spacing w:after="0" w:line="23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In the ordinary course of business, the Company provides standby letters of credit to third parties primarily for facility leases. As of each of June 30, 2024 and December 31, 2023, the Company had outstanding letters of credit of $461, that were not recognized in the consolidated balance sheets.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Capital Structure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one class of common stock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 Stock Split</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June 20, 2023, the Company’s stockholders approved an amendment to the Company’s Amended and Restated Certificate of Incorporation, which upon filing with the State of Delaware on August 1, 2023, and effectiveness thereof, effected a 5-for-1 forward stock split of the Company’s common stock (the “2023 Stock Split”) and an increase in the number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 authorized shares of the Company’s common stock from 100,000,000 shares to 400,000,000 shares. The par value of each share of common stock, $0.001, remained unchanged.</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the 2023 Stock Split, each stockholder of record on July 25, 2023 holding shares of the Company’s common stock received four additional shares of the Company’s common stock for every one share held. The additional shares were distributed after the close of business on August 1, 2023. The common shares began trading on the Nasdaq Global Select Market on a post-split basis on August 2, 2023.</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All share count and per share amounts in the unaudited consolidated financial statements have been retrospectively adjusted from January 1, 2023 to reflect the 2023 Stock Split as if it occurred at the beginning of the earliest period presented. An amount equal to the par value of the increased shares resulting from the 2023 Stock Split was reclassified from “Additional paid-in capital” to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Repurchases</w:t>
      </w:r>
    </w:p>
    <w:p>
      <w:pPr>
        <w:spacing w:after="0" w:line="236" w:lineRule="exact"/>
        <w:rPr>
          <w:sz w:val="20"/>
          <w:szCs w:val="20"/>
          <w:color w:val="auto"/>
        </w:rPr>
      </w:pPr>
    </w:p>
    <w:p>
      <w:pPr>
        <w:jc w:val="both"/>
        <w:ind w:firstLine="425"/>
        <w:spacing w:after="0" w:line="271" w:lineRule="auto"/>
        <w:rPr>
          <w:sz w:val="20"/>
          <w:szCs w:val="20"/>
          <w:color w:val="auto"/>
        </w:rPr>
      </w:pPr>
      <w:r>
        <w:rPr>
          <w:rFonts w:ascii="Times New Roman" w:cs="Times New Roman" w:eastAsia="Times New Roman" w:hAnsi="Times New Roman"/>
          <w:sz w:val="17"/>
          <w:szCs w:val="17"/>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080" w:type="dxa"/>
            <w:vAlign w:val="bottom"/>
          </w:tcPr>
          <w:p>
            <w:pPr>
              <w:spacing w:after="0"/>
              <w:rPr>
                <w:sz w:val="15"/>
                <w:szCs w:val="15"/>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Shares repurchased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Total consideration</w:t>
            </w:r>
          </w:p>
        </w:tc>
        <w:tc>
          <w:tcPr>
            <w:tcW w:w="120" w:type="dxa"/>
            <w:vAlign w:val="bottom"/>
          </w:tcPr>
          <w:p>
            <w:pPr>
              <w:spacing w:after="0"/>
              <w:rPr>
                <w:sz w:val="15"/>
                <w:szCs w:val="15"/>
                <w:color w:val="auto"/>
              </w:rPr>
            </w:pPr>
          </w:p>
        </w:tc>
        <w:tc>
          <w:tcPr>
            <w:tcW w:w="2360" w:type="dxa"/>
            <w:vAlign w:val="bottom"/>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Weighted average purchase price</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right"/>
              <w:ind w:right="777"/>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per 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2023</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200,402</w:t>
            </w:r>
          </w:p>
        </w:tc>
        <w:tc>
          <w:tcPr>
            <w:tcW w:w="8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firstLine="390"/>
        <w:spacing w:after="0" w:line="255"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191" w:lineRule="exact"/>
        <w:rPr>
          <w:sz w:val="20"/>
          <w:szCs w:val="20"/>
          <w:color w:val="auto"/>
        </w:rPr>
      </w:pPr>
    </w:p>
    <w:p>
      <w:pPr>
        <w:ind w:firstLine="387"/>
        <w:spacing w:after="0" w:line="271" w:lineRule="auto"/>
        <w:rPr>
          <w:sz w:val="20"/>
          <w:szCs w:val="20"/>
          <w:color w:val="auto"/>
        </w:rPr>
      </w:pPr>
      <w:r>
        <w:rPr>
          <w:rFonts w:ascii="Times New Roman" w:cs="Times New Roman" w:eastAsia="Times New Roman" w:hAnsi="Times New Roman"/>
          <w:sz w:val="17"/>
          <w:szCs w:val="17"/>
          <w:color w:val="auto"/>
        </w:rPr>
        <w:t>On October 5, 2021, the Company’s board of directors authorized a $300,000 (excluding excise tax) common stock repurchase program beginning January 1, 2022 (the “2022 Repurchase Program”).</w:t>
      </w:r>
    </w:p>
    <w:p>
      <w:pPr>
        <w:spacing w:after="0" w:line="177"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On February 26, 2024, the Company’s board of directors authorized a $500,000 (excluding excise tax) common stock repurchase program beginning March 1, 2024 (the “2024 Repurchase Program”), and terminated the 2022 Repurchase Program on February 29, 2024.</w:t>
      </w:r>
    </w:p>
    <w:p>
      <w:pPr>
        <w:spacing w:after="0" w:line="177" w:lineRule="exact"/>
        <w:rPr>
          <w:sz w:val="20"/>
          <w:szCs w:val="20"/>
          <w:color w:val="auto"/>
        </w:rPr>
      </w:pPr>
    </w:p>
    <w:p>
      <w:pPr>
        <w:jc w:val="both"/>
        <w:ind w:firstLine="387"/>
        <w:spacing w:after="0" w:line="239" w:lineRule="auto"/>
        <w:rPr>
          <w:sz w:val="20"/>
          <w:szCs w:val="20"/>
          <w:color w:val="auto"/>
        </w:rPr>
      </w:pPr>
      <w:r>
        <w:rPr>
          <w:rFonts w:ascii="Times New Roman" w:cs="Times New Roman" w:eastAsia="Times New Roman" w:hAnsi="Times New Roman"/>
          <w:sz w:val="17"/>
          <w:szCs w:val="17"/>
          <w:color w:val="auto"/>
        </w:rPr>
        <w:t>On March 15, 2024, the Company entered into a 2024 ASR Agreement with Citibank to repurchase shares of its common stock for an aggregate purchase price of $125,000, as part of the Company’s 2024 Repurchase Program. Upon payment of the aggregate purchase price of $125,000, the Company received an initial delivery of 3,350,084 shares of its common stock at an initial price of $29.85 per share, representing 80% of the aggregate purchase price. The Company funded the repurchase with available cash on hand and borrowing from its revolving credit facility. The 2024 ASR Agreement is accounted for as a treasury stock transaction and forward stock purchase agreement indexed to the Company’s common stock. The forward stock purchase agreement is classified as an equity instrument under ASC 815-40, Contracts in Entity's Own Equity ("ASC 815- 40") and deemed to have a fair value of zero at the effective date. Under the terms of the 2024 ASR Agreement, the ultimate number of shares of Common Stock that the Company will repurchase, will be based on the average of the daily volume-weighted average prices of the Common Stock during the term of the 2024 ASR Agreement, less a discount and subject to adjustments pursuant to the terms and conditions of the 2024 ASR Agreement. At final settlement, Citibank may be required to deliver additional shares of Common Stock to the Company, or, under certain circumstances, the Company may be required to make a cash payment or deliver shares of Common Stock, at its election, to Citibank.</w:t>
      </w:r>
    </w:p>
    <w:p>
      <w:pPr>
        <w:spacing w:after="0" w:line="206"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On July 19, 2024, upon final settlement of the 2024 ASR Agreement, the Company received 820,433 additional shares of its common stock based on a daily volume-weighted average price of $29.97 per share during the term of the 2024 ASR Agreement. The additional shares received were subsequently recorded as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26"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Under the Company’s two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78"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Company purchased shares of its common stock, for a total consideration including commissions and excluding excise tax, under its two repurchase programs, as below:</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080" w:type="dxa"/>
            <w:vAlign w:val="bottom"/>
          </w:tcPr>
          <w:p>
            <w:pPr>
              <w:spacing w:after="0"/>
              <w:rPr>
                <w:sz w:val="15"/>
                <w:szCs w:val="15"/>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Shares repurchased</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Total consideration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Weighted average purchase price</w:t>
            </w:r>
          </w:p>
        </w:tc>
        <w:tc>
          <w:tcPr>
            <w:tcW w:w="0" w:type="dxa"/>
            <w:vAlign w:val="bottom"/>
          </w:tcPr>
          <w:p>
            <w:pPr>
              <w:spacing w:after="0"/>
              <w:rPr>
                <w:sz w:val="1"/>
                <w:szCs w:val="1"/>
                <w:color w:val="auto"/>
              </w:rPr>
            </w:pPr>
          </w:p>
        </w:tc>
      </w:tr>
      <w:tr>
        <w:trPr>
          <w:trHeight w:val="123"/>
        </w:trPr>
        <w:tc>
          <w:tcPr>
            <w:tcW w:w="50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vMerge w:val="restart"/>
          </w:tcPr>
          <w:p>
            <w:pPr>
              <w:jc w:val="right"/>
              <w:ind w:right="756"/>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0" w:type="dxa"/>
            <w:vAlign w:val="bottom"/>
          </w:tcPr>
          <w:p>
            <w:pPr>
              <w:spacing w:after="0"/>
              <w:rPr>
                <w:sz w:val="1"/>
                <w:szCs w:val="1"/>
                <w:color w:val="auto"/>
              </w:rPr>
            </w:pPr>
          </w:p>
        </w:tc>
      </w:tr>
      <w:tr>
        <w:trPr>
          <w:trHeight w:val="82"/>
        </w:trPr>
        <w:tc>
          <w:tcPr>
            <w:tcW w:w="5080" w:type="dxa"/>
            <w:vAlign w:val="bottom"/>
            <w:tcBorders>
              <w:bottom w:val="single" w:sz="8" w:color="CCEEFF"/>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920,720</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29,013</w:t>
            </w:r>
          </w:p>
        </w:tc>
        <w:tc>
          <w:tcPr>
            <w:tcW w:w="8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June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4,274,171</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128,253</w:t>
            </w:r>
          </w:p>
        </w:tc>
        <w:tc>
          <w:tcPr>
            <w:tcW w:w="8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Repurchased shares have been recorded as treasury shares and will be held until the Company’s board of directors designates that these shares be retired or used for other purposes.</w:t>
      </w:r>
    </w:p>
    <w:p>
      <w:pPr>
        <w:spacing w:after="0" w:line="19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Pursuant to the Inflation Reduction Act, effective January 1, 2023, the Company is required to pay a 1% excise tax on the fair market value of each share of common stock repurchased, net of stock issuances. The Company recognized excise tax of $74 and $618, respectively, on repurchase of common stock as a part of cost of such repurchases for the three and six months ended June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Employee Benefit Plans</w:t>
      </w:r>
    </w:p>
    <w:p>
      <w:pPr>
        <w:spacing w:after="0" w:line="234"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expects to earn a return of approximately 7.0% per annum on the India Plan for the year ending on December 31, 2024.</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assets as of January 1, 2024</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17,134</w:t>
            </w:r>
          </w:p>
        </w:tc>
      </w:tr>
      <w:tr>
        <w:trPr>
          <w:trHeight w:val="219"/>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Actual return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19"/>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Employer contribution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w:t>
            </w:r>
          </w:p>
        </w:tc>
      </w:tr>
      <w:tr>
        <w:trPr>
          <w:trHeight w:val="219"/>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Benefits paid</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19"/>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 assets as of June 30, 2024</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18,552</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26" w:lineRule="exact"/>
        <w:rPr>
          <w:sz w:val="20"/>
          <w:szCs w:val="20"/>
          <w:color w:val="auto"/>
        </w:rPr>
      </w:pPr>
    </w:p>
    <w:p>
      <w:pPr>
        <w:ind w:right="240" w:firstLine="387"/>
        <w:spacing w:after="0" w:line="287" w:lineRule="auto"/>
        <w:rPr>
          <w:sz w:val="20"/>
          <w:szCs w:val="20"/>
          <w:color w:val="auto"/>
        </w:rPr>
      </w:pPr>
      <w:r>
        <w:rPr>
          <w:rFonts w:ascii="Times New Roman" w:cs="Times New Roman" w:eastAsia="Times New Roman" w:hAnsi="Times New Roman"/>
          <w:sz w:val="17"/>
          <w:szCs w:val="17"/>
          <w:color w:val="auto"/>
        </w:rPr>
        <w:t>Components of net periodic benefit costs recognized in unaudited consolidated statements of income and actuarial (gain)/loss reclassified from AOCI, were as follows:</w:t>
      </w:r>
    </w:p>
    <w:p>
      <w:pPr>
        <w:spacing w:after="0" w:line="66"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5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19"/>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r>
      <w:tr>
        <w:trPr>
          <w:trHeight w:val="21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1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7"/>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gratuity cost</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5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actuarial (gain)/loss, net of tax</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bl>
    <w:p>
      <w:pPr>
        <w:spacing w:after="0" w:line="48" w:lineRule="exact"/>
        <w:rPr>
          <w:sz w:val="20"/>
          <w:szCs w:val="20"/>
          <w:color w:val="auto"/>
        </w:rPr>
      </w:pPr>
    </w:p>
    <w:p>
      <w:pPr>
        <w:jc w:val="both"/>
        <w:ind w:right="100" w:firstLine="464"/>
        <w:spacing w:after="0" w:line="254" w:lineRule="auto"/>
        <w:rPr>
          <w:sz w:val="20"/>
          <w:szCs w:val="20"/>
          <w:color w:val="auto"/>
        </w:rPr>
      </w:pPr>
      <w:r>
        <w:rPr>
          <w:rFonts w:ascii="Times New Roman" w:cs="Times New Roman" w:eastAsia="Times New Roman" w:hAnsi="Times New Roman"/>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Company’s contributions to various defined contribution plans was as follows: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1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5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to the 401(k) Plans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r>
      <w:tr>
        <w:trPr>
          <w:trHeight w:val="177"/>
        </w:trPr>
        <w:tc>
          <w:tcPr>
            <w:tcW w:w="55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Contributions to the defined contribution plans on behalf of employees in</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subsidiaries of the Company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6,891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13,640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10,996</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Leases</w:t>
      </w:r>
    </w:p>
    <w:p>
      <w:pPr>
        <w:spacing w:after="0" w:line="247" w:lineRule="exact"/>
        <w:rPr>
          <w:sz w:val="20"/>
          <w:szCs w:val="20"/>
          <w:color w:val="auto"/>
        </w:rPr>
      </w:pPr>
    </w:p>
    <w:p>
      <w:pPr>
        <w:jc w:val="both"/>
        <w:ind w:right="100" w:firstLine="387"/>
        <w:spacing w:after="0" w:line="262" w:lineRule="auto"/>
        <w:rPr>
          <w:sz w:val="20"/>
          <w:szCs w:val="20"/>
          <w:color w:val="auto"/>
        </w:rPr>
      </w:pPr>
      <w:r>
        <w:rPr>
          <w:rFonts w:ascii="Times New Roman" w:cs="Times New Roman" w:eastAsia="Times New Roman" w:hAnsi="Times New Roman"/>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68" w:lineRule="exact"/>
        <w:rPr>
          <w:sz w:val="20"/>
          <w:szCs w:val="20"/>
          <w:color w:val="auto"/>
        </w:rPr>
      </w:pPr>
    </w:p>
    <w:p>
      <w:pPr>
        <w:jc w:val="both"/>
        <w:ind w:right="100" w:firstLine="387"/>
        <w:spacing w:after="0" w:line="276" w:lineRule="auto"/>
        <w:rPr>
          <w:sz w:val="20"/>
          <w:szCs w:val="20"/>
          <w:color w:val="auto"/>
        </w:rPr>
      </w:pPr>
      <w:r>
        <w:rPr>
          <w:rFonts w:ascii="Times New Roman" w:cs="Times New Roman" w:eastAsia="Times New Roman" w:hAnsi="Times New Roman"/>
          <w:sz w:val="17"/>
          <w:szCs w:val="17"/>
          <w:color w:val="auto"/>
        </w:rPr>
        <w:t xml:space="preserve">The Company had performed an evaluation of its contracts with suppliers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and had determined that, except for leases for office facilities, motor vehicles and other equipment as described above, none of the Company’s contracts contain a lease.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lease cost, which are included in the Company’s unaudited consolidated statements of income,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33655</wp:posOffset>
            </wp:positionV>
            <wp:extent cx="3973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73195" cy="825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p>
      <w:pPr>
        <w:spacing w:after="0" w:line="54"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27940</wp:posOffset>
            </wp:positionV>
            <wp:extent cx="6904355"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4355" cy="130810"/>
                    </a:xfrm>
                    <a:prstGeom prst="rect">
                      <a:avLst/>
                    </a:prstGeom>
                    <a:noFill/>
                  </pic:spPr>
                </pic:pic>
              </a:graphicData>
            </a:graphic>
          </wp:anchor>
        </w:drawing>
      </w:r>
    </w:p>
    <w:p>
      <w:pPr>
        <w:spacing w:after="0" w:line="25" w:lineRule="exact"/>
        <w:rPr>
          <w:sz w:val="20"/>
          <w:szCs w:val="20"/>
          <w:color w:val="auto"/>
        </w:rPr>
      </w:pPr>
    </w:p>
    <w:p>
      <w:pPr>
        <w:ind w:left="5700"/>
        <w:spacing w:after="0"/>
        <w:tabs>
          <w:tab w:leader="none" w:pos="732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4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35" w:lineRule="exact"/>
        <w:rPr>
          <w:sz w:val="20"/>
          <w:szCs w:val="20"/>
          <w:color w:val="auto"/>
        </w:rPr>
      </w:pPr>
    </w:p>
    <w:p>
      <w:pPr>
        <w:sectPr>
          <w:pgSz w:w="11900" w:h="16838" w:orient="portrait"/>
          <w:cols w:equalWidth="0" w:num="2">
            <w:col w:w="8220" w:space="720"/>
            <w:col w:w="2400"/>
          </w:cols>
          <w:pgMar w:left="320" w:top="11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Finance lease:</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0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Depreciation on underlying ROU assets</w:t>
            </w: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2"/>
        </w:trPr>
        <w:tc>
          <w:tcPr>
            <w:tcW w:w="4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6"/>
        </w:trPr>
        <w:tc>
          <w:tcPr>
            <w:tcW w:w="46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b w:val="1"/>
                <w:bCs w:val="1"/>
                <w:color w:val="auto"/>
              </w:rPr>
              <w:t xml:space="preserve">Operating lease </w:t>
            </w:r>
            <w:r>
              <w:rPr>
                <w:rFonts w:ascii="Times New Roman" w:cs="Times New Roman" w:eastAsia="Times New Roman" w:hAnsi="Times New Roman"/>
                <w:sz w:val="20"/>
                <w:szCs w:val="20"/>
                <w:b w:val="1"/>
                <w:bCs w:val="1"/>
                <w:color w:val="auto"/>
                <w:vertAlign w:val="superscript"/>
              </w:rPr>
              <w:t>(1)</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w:t>
            </w:r>
          </w:p>
        </w:tc>
      </w:tr>
      <w:tr>
        <w:trPr>
          <w:trHeight w:val="20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Variable lease costs</w:t>
            </w: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2,089</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r>
      <w:tr>
        <w:trPr>
          <w:trHeight w:val="200"/>
        </w:trPr>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 cost</w:t>
            </w:r>
          </w:p>
        </w:tc>
        <w:tc>
          <w:tcPr>
            <w:tcW w:w="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13,413</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12,61</w:t>
            </w: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and other information related to leases are as follows:</w:t>
      </w:r>
    </w:p>
    <w:p>
      <w:pPr>
        <w:spacing w:after="0" w:line="138"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7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9"/>
        </w:trPr>
        <w:tc>
          <w:tcPr>
            <w:tcW w:w="7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payments for amounts included in the measurement of lease liabilities :</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Operating cash outflows for operating leases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9,645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10,829</w:t>
            </w: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Operating cash outflows for finance leases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38</w:t>
            </w: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Financing cash outflows for finance leases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132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80</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new operating lease liabilities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16,445</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10,929</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new finance lease liabilities</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581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91</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remaining lease term (in years)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Finance lease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3.2 years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years</w:t>
            </w: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Operating lease</w:t>
            </w:r>
          </w:p>
        </w:tc>
        <w:tc>
          <w:tcPr>
            <w:tcW w:w="380" w:type="dxa"/>
            <w:vAlign w:val="bottom"/>
          </w:tcPr>
          <w:p>
            <w:pPr>
              <w:spacing w:after="0"/>
              <w:rPr>
                <w:sz w:val="17"/>
                <w:szCs w:val="17"/>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5.1 years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years</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Finance lease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14.0 %</w:t>
            </w:r>
          </w:p>
        </w:tc>
      </w:tr>
      <w:tr>
        <w:trPr>
          <w:trHeight w:val="20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Operating lease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7.3 %</w:t>
            </w:r>
          </w:p>
        </w:tc>
      </w:tr>
    </w:tbl>
    <w:p>
      <w:pPr>
        <w:spacing w:after="0" w:line="138" w:lineRule="exact"/>
        <w:rPr>
          <w:sz w:val="20"/>
          <w:szCs w:val="20"/>
          <w:color w:val="auto"/>
        </w:rPr>
      </w:pPr>
    </w:p>
    <w:p>
      <w:pPr>
        <w:jc w:val="both"/>
        <w:ind w:firstLine="387"/>
        <w:spacing w:after="0" w:line="249" w:lineRule="auto"/>
        <w:rPr>
          <w:sz w:val="20"/>
          <w:szCs w:val="20"/>
          <w:color w:val="auto"/>
        </w:rPr>
      </w:pPr>
      <w:r>
        <w:rPr>
          <w:rFonts w:ascii="Times New Roman" w:cs="Times New Roman" w:eastAsia="Times New Roman" w:hAnsi="Times New Roman"/>
          <w:sz w:val="17"/>
          <w:szCs w:val="17"/>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$3,377 and a decrease of its lease liabilities by $2,466, during the six months ended June 30, 2024 and 2023, respectively, with a corresponding adjustment to ROU assets.</w:t>
      </w:r>
    </w:p>
    <w:p>
      <w:pPr>
        <w:spacing w:after="0" w:line="397"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As of June 30, 2024 and December 31, 2023, the Company did not have any significant leases that have not yet commenced but that create significant rights and obligations for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Maturities of lease liabilities as of June 30, 2024 were as follows:</w:t>
      </w:r>
    </w:p>
    <w:p>
      <w:pPr>
        <w:spacing w:after="0" w:line="14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220" w:type="dxa"/>
            <w:vAlign w:val="bottom"/>
          </w:tcPr>
          <w:p>
            <w:pPr>
              <w:spacing w:after="0"/>
              <w:rPr>
                <w:sz w:val="17"/>
                <w:szCs w:val="17"/>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Finance Leases</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(July 1 - December 31)</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20,037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20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2029 and thereafter</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15,233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lease payments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98,573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1,658</w:t>
            </w:r>
          </w:p>
        </w:tc>
      </w:tr>
      <w:tr>
        <w:trPr>
          <w:trHeight w:val="20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18,757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w:t>
            </w: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Present value of lease liabilities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79,816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Income Taxes</w:t>
      </w:r>
    </w:p>
    <w:p>
      <w:pPr>
        <w:spacing w:after="0" w:line="234"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77"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effective tax rate decreased from 24.1% during the three months ended June 30, 2023 to 23.2% during the three months ended June 30, 2024. The Company recorded income tax expense of $13,873 and $15,554 for the three months ended June 30, 2024 and 2023, respectively. The decrease in income tax expense was primarily as a result of lower profit during the three months ended June 30, 2024, compared to the three months ended June 30, 2023, partially offset by higher credits during the three months ended June 30, 2024, compared to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3" w:lineRule="exact"/>
        <w:rPr>
          <w:sz w:val="20"/>
          <w:szCs w:val="20"/>
          <w:color w:val="auto"/>
        </w:rPr>
      </w:pPr>
    </w:p>
    <w:p>
      <w:pPr>
        <w:jc w:val="both"/>
        <w:ind w:right="100" w:firstLine="425"/>
        <w:spacing w:after="0" w:line="245" w:lineRule="auto"/>
        <w:rPr>
          <w:sz w:val="20"/>
          <w:szCs w:val="20"/>
          <w:color w:val="auto"/>
        </w:rPr>
      </w:pPr>
      <w:r>
        <w:rPr>
          <w:rFonts w:ascii="Times New Roman" w:cs="Times New Roman" w:eastAsia="Times New Roman" w:hAnsi="Times New Roman"/>
          <w:sz w:val="17"/>
          <w:szCs w:val="17"/>
          <w:color w:val="auto"/>
        </w:rPr>
        <w:t>The effective tax rate increased from 19.1% during the six months ended June 30, 2023 to 22.6% during the six months ended June 30, 2024. The Company recorded income tax expense of $27,626 and $23,612 for the six months ended June 30, 2024 and 2023, respectively. The increase in income tax expense was primarily as a result of lower excess tax benefits related to stock-based compensation during the six months ended June 30, 2024, compared to the six months ended June 30, 2023, and an increase in non-deductible expenses, partially offset by lower profit during the six months ended June 30, 2024, compared to the six months ended June 30, 2023.</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During the six months ended June 30, 2024, the Company’s subsidiaries in India repatriated $18,255 (net of $996 withholding taxes) to the United States.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Deferred income taxes recognized in OCI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shd w:val="clear" w:color="auto" w:fill="CCEEFF"/>
          </w:tcPr>
          <w:p>
            <w:pPr>
              <w:spacing w:after="0"/>
              <w:rPr>
                <w:sz w:val="17"/>
                <w:szCs w:val="17"/>
                <w:color w:val="auto"/>
              </w:rPr>
            </w:pPr>
          </w:p>
        </w:tc>
        <w:tc>
          <w:tcPr>
            <w:tcW w:w="2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980" w:type="dxa"/>
            <w:vAlign w:val="bottom"/>
            <w:tcBorders>
              <w:bottom w:val="single" w:sz="8" w:color="auto"/>
            </w:tcBorders>
            <w:gridSpan w:val="4"/>
            <w:shd w:val="clear" w:color="auto" w:fill="CCEEFF"/>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8"/>
        </w:trPr>
        <w:tc>
          <w:tcPr>
            <w:tcW w:w="4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taxes benefit / (expense) recognized on:</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gain/(loss) on cash flow hedges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tcPr>
          <w:p>
            <w:pPr>
              <w:spacing w:after="0"/>
              <w:rPr>
                <w:sz w:val="19"/>
                <w:szCs w:val="19"/>
                <w:color w:val="auto"/>
              </w:rPr>
            </w:pP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cash flow hedges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retirement benefits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(5,507)</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Stock-Based Compensation</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Stock-based compensation expense by nature of function, as below, are included in the unaudited consolidated statements of income:</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40" w:type="dxa"/>
            <w:vAlign w:val="bottom"/>
          </w:tcPr>
          <w:p>
            <w:pPr>
              <w:spacing w:after="0"/>
              <w:rPr>
                <w:sz w:val="15"/>
                <w:szCs w:val="15"/>
                <w:color w:val="auto"/>
              </w:rPr>
            </w:pPr>
          </w:p>
        </w:tc>
        <w:tc>
          <w:tcPr>
            <w:tcW w:w="28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32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9,976</w:t>
            </w:r>
          </w:p>
        </w:tc>
        <w:tc>
          <w:tcPr>
            <w:tcW w:w="0" w:type="dxa"/>
            <w:vAlign w:val="bottom"/>
          </w:tcPr>
          <w:p>
            <w:pPr>
              <w:spacing w:after="0"/>
              <w:rPr>
                <w:sz w:val="1"/>
                <w:szCs w:val="1"/>
                <w:color w:val="auto"/>
              </w:rPr>
            </w:pP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18,095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25,918</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Income tax benefit related to share-based compensation </w:t>
            </w:r>
            <w:r>
              <w:rPr>
                <w:rFonts w:ascii="Times New Roman" w:cs="Times New Roman" w:eastAsia="Times New Roman" w:hAnsi="Times New Roman"/>
                <w:sz w:val="22"/>
                <w:szCs w:val="22"/>
                <w:color w:val="auto"/>
                <w:vertAlign w:val="superscript"/>
              </w:rPr>
              <w:t>(1)</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440" w:type="dxa"/>
            <w:vAlign w:val="bottom"/>
            <w:vMerge w:val="continue"/>
          </w:tcPr>
          <w:p>
            <w:pPr>
              <w:spacing w:after="0"/>
              <w:rPr>
                <w:sz w:val="24"/>
                <w:szCs w:val="24"/>
                <w:color w:val="auto"/>
              </w:rPr>
            </w:pP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(4,619)</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8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(9,977)</w:t>
            </w:r>
          </w:p>
        </w:tc>
        <w:tc>
          <w:tcPr>
            <w:tcW w:w="100" w:type="dxa"/>
            <w:vAlign w:val="bottom"/>
          </w:tcPr>
          <w:p>
            <w:pPr>
              <w:spacing w:after="0"/>
              <w:rPr>
                <w:sz w:val="24"/>
                <w:szCs w:val="24"/>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12,619</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right="100" w:firstLine="390"/>
        <w:spacing w:after="0" w:line="270"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$18 and $190 during the three months ended June 30, 2024 and 2023, respectively, and $7,541 and $12,710 during the six months ended June 30, 2024 and 2023, respectively, related to discrete benefits recognized in income tax expense in accordance with ASU No. 2016-09, Compensation - Stock Compensation.</w:t>
      </w:r>
    </w:p>
    <w:p>
      <w:pPr>
        <w:spacing w:after="0" w:line="178" w:lineRule="exact"/>
        <w:rPr>
          <w:sz w:val="20"/>
          <w:szCs w:val="20"/>
          <w:color w:val="auto"/>
        </w:rPr>
      </w:pPr>
    </w:p>
    <w:p>
      <w:pPr>
        <w:jc w:val="both"/>
        <w:ind w:right="100" w:firstLine="425"/>
        <w:spacing w:after="0" w:line="271" w:lineRule="auto"/>
        <w:rPr>
          <w:sz w:val="20"/>
          <w:szCs w:val="20"/>
          <w:color w:val="auto"/>
        </w:rPr>
      </w:pPr>
      <w:r>
        <w:rPr>
          <w:rFonts w:ascii="Times New Roman" w:cs="Times New Roman" w:eastAsia="Times New Roman" w:hAnsi="Times New Roman"/>
          <w:sz w:val="17"/>
          <w:szCs w:val="17"/>
          <w:color w:val="auto"/>
        </w:rPr>
        <w:t>As of June 30, 2024 and December 31, 2023, the Company had 1,684,495 and 4,096,102 shares, respectively, available for grant under the 2018 Omnibus Incentive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47" w:lineRule="exact"/>
        <w:rPr>
          <w:sz w:val="20"/>
          <w:szCs w:val="20"/>
          <w:color w:val="auto"/>
        </w:rPr>
      </w:pPr>
    </w:p>
    <w:p>
      <w:pPr>
        <w:jc w:val="both"/>
        <w:ind w:right="100" w:firstLine="387"/>
        <w:spacing w:after="0" w:line="270" w:lineRule="auto"/>
        <w:rPr>
          <w:sz w:val="20"/>
          <w:szCs w:val="20"/>
          <w:color w:val="auto"/>
        </w:rPr>
      </w:pPr>
      <w:r>
        <w:rPr>
          <w:rFonts w:ascii="Times New Roman" w:cs="Times New Roman" w:eastAsia="Times New Roman" w:hAnsi="Times New Roman"/>
          <w:sz w:val="17"/>
          <w:szCs w:val="17"/>
          <w:color w:val="auto"/>
        </w:rPr>
        <w:t>During the three and six months ended June 30, 2024, there was no stock option activity under the Company’s stock-based compensation plans. The number of stock options that were unvested as of June 30, 2024 and December 31, 2023 were 1,376,540 and 1,790,695 units, respectively. The number of stock options that were vested and exercisable as of June 30, 2024 and December 31, 2023 were 414,155 and nil units, respectively.</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June 30, 2024, unrecognized compensation cost of $16,040 is expected to be expensed over a weighted average period of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Matching Program</w:t>
      </w:r>
    </w:p>
    <w:p>
      <w:pPr>
        <w:spacing w:after="0" w:line="131" w:lineRule="exact"/>
        <w:rPr>
          <w:sz w:val="20"/>
          <w:szCs w:val="20"/>
          <w:color w:val="auto"/>
        </w:rPr>
      </w:pPr>
    </w:p>
    <w:p>
      <w:pPr>
        <w:jc w:val="both"/>
        <w:ind w:firstLine="425"/>
        <w:spacing w:after="0" w:line="254" w:lineRule="auto"/>
        <w:rPr>
          <w:sz w:val="20"/>
          <w:szCs w:val="20"/>
          <w:color w:val="auto"/>
        </w:rPr>
      </w:pPr>
      <w:r>
        <w:rPr>
          <w:rFonts w:ascii="Times New Roman" w:cs="Times New Roman" w:eastAsia="Times New Roman" w:hAnsi="Times New Roman"/>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Restricted stock unit activity under the SMP is shown below:</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364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Restricted Stock Units (SMP)</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920" w:type="dxa"/>
            <w:vAlign w:val="bottom"/>
          </w:tcPr>
          <w:p>
            <w:pPr>
              <w:spacing w:after="0"/>
              <w:rPr>
                <w:sz w:val="10"/>
                <w:szCs w:val="10"/>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1540" w:type="dxa"/>
            <w:vAlign w:val="bottom"/>
          </w:tcPr>
          <w:p>
            <w:pPr>
              <w:jc w:val="right"/>
              <w:ind w:right="279"/>
              <w:spacing w:after="0" w:line="12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5"/>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59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2024*</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firstLine="429"/>
        <w:spacing w:after="0" w:line="271" w:lineRule="auto"/>
        <w:tabs>
          <w:tab w:leader="none" w:pos="56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2024 and December 31, 2023 restricted stock units vested for which the underlying common stock is yet to be issued are 72,385 and nil, respectively.</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June 30, 2024, unrecognized compensation cost of $1,355 is expected to be expensed over a weighted average period of 0.8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Restricted stock unit activity under the Company’s stock-based compensation plans is shown below:</w:t>
      </w:r>
    </w:p>
    <w:p>
      <w:pPr>
        <w:spacing w:after="0" w:line="11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364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920" w:type="dxa"/>
            <w:vAlign w:val="bottom"/>
          </w:tcPr>
          <w:p>
            <w:pPr>
              <w:spacing w:after="0"/>
              <w:rPr>
                <w:sz w:val="10"/>
                <w:szCs w:val="10"/>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1540" w:type="dxa"/>
            <w:vAlign w:val="bottom"/>
          </w:tcPr>
          <w:p>
            <w:pPr>
              <w:jc w:val="right"/>
              <w:ind w:right="279"/>
              <w:spacing w:after="0" w:line="12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5"/>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59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3,731,512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0" w:type="dxa"/>
            <w:vAlign w:val="bottom"/>
          </w:tcPr>
          <w:p>
            <w:pPr>
              <w:spacing w:after="0"/>
              <w:rPr>
                <w:sz w:val="1"/>
                <w:szCs w:val="1"/>
                <w:color w:val="auto"/>
              </w:rPr>
            </w:pPr>
          </w:p>
        </w:tc>
      </w:tr>
      <w:tr>
        <w:trPr>
          <w:trHeight w:val="219"/>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1,526,836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30.34</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(1,350,826)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3,717,560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firstLine="390"/>
        <w:spacing w:after="0" w:line="271" w:lineRule="auto"/>
        <w:tabs>
          <w:tab w:leader="none" w:pos="528"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June 30, 2024 and December 31, 2023 restricted stock units vested for which the underlying common stock is yet to be issued are 373,521 and 324,125, respectively.</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June 30, 2024, unrecognized compensation cost of $80,859 is expected to be expensed over a weighted average period of 2.9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Based Stock Awards</w:t>
      </w:r>
    </w:p>
    <w:p>
      <w:pPr>
        <w:spacing w:after="0" w:line="23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Under the 2018 Plan, the Company grants performance-based restricted stock units (“PRSUs”) to executive officers and other specified employees. During the six months ended June 30, 2024, the Company granted 40% of each award recipient’s equity grants in the form of PRSUs that cliff vest at the end of a three-year period based on an aggregated revenue target for a three-year period.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PRSU activity under the Company’s stock plans is shown below:</w:t>
      </w:r>
    </w:p>
    <w:p>
      <w:pPr>
        <w:spacing w:after="0" w:line="132"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Revenue Based PRSUs</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 Condition Based PRSUs</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99"/>
              <w:spacing w:after="0" w:line="122" w:lineRule="exact"/>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0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179"/>
              <w:spacing w:after="0" w:line="122"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6"/>
        </w:trPr>
        <w:tc>
          <w:tcPr>
            <w:tcW w:w="39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656,450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0" w:type="dxa"/>
            <w:vAlign w:val="bottom"/>
          </w:tcPr>
          <w:p>
            <w:pPr>
              <w:spacing w:after="0"/>
              <w:rPr>
                <w:sz w:val="1"/>
                <w:szCs w:val="1"/>
                <w:color w:val="auto"/>
              </w:rPr>
            </w:pPr>
          </w:p>
        </w:tc>
      </w:tr>
      <w:tr>
        <w:trPr>
          <w:trHeight w:val="219"/>
        </w:trPr>
        <w:tc>
          <w:tcPr>
            <w:tcW w:w="3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37.64</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June 30,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757,649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1,135,881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340" w:firstLine="425"/>
        <w:spacing w:after="0" w:line="413" w:lineRule="auto"/>
        <w:rPr>
          <w:sz w:val="20"/>
          <w:szCs w:val="20"/>
          <w:color w:val="auto"/>
        </w:rPr>
      </w:pPr>
      <w:r>
        <w:rPr>
          <w:rFonts w:ascii="Times New Roman" w:cs="Times New Roman" w:eastAsia="Times New Roman" w:hAnsi="Times New Roman"/>
          <w:sz w:val="17"/>
          <w:szCs w:val="17"/>
          <w:color w:val="auto"/>
        </w:rPr>
        <w:t xml:space="preserve">As of June 30, 2024, unrecognized compensation cost of $47,030 is expected to be expensed over a weighted average period of 2.2 years. </w:t>
      </w:r>
      <w:r>
        <w:rPr>
          <w:rFonts w:ascii="Times New Roman" w:cs="Times New Roman" w:eastAsia="Times New Roman" w:hAnsi="Times New Roman"/>
          <w:sz w:val="17"/>
          <w:szCs w:val="17"/>
          <w:b w:val="1"/>
          <w:bCs w:val="1"/>
          <w:color w:val="auto"/>
        </w:rPr>
        <w:t>Employee Stock Purchase Plan</w:t>
      </w:r>
    </w:p>
    <w:p>
      <w:pPr>
        <w:spacing w:after="0" w:line="62"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On June 21, 2022, at the annual meeting of stockholders of the Company, the Company’s stockholders approved the ExlService Holdings, Inc. 2022 Employee Stock Purchase Plan (the “2022 ESPP”).</w:t>
      </w:r>
    </w:p>
    <w:p>
      <w:pPr>
        <w:spacing w:after="0" w:line="177"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fourth offering period under the 2022 ESPP commenced on January 1, 2024 with a term of six months.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Activity under the Company’s 2022 ESPP is shown below:</w:t>
      </w:r>
    </w:p>
    <w:p>
      <w:pPr>
        <w:spacing w:after="0" w:line="265"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5920" w:type="dxa"/>
            <w:vAlign w:val="bottom"/>
          </w:tcPr>
          <w:p>
            <w:pPr>
              <w:spacing w:after="0"/>
              <w:rPr>
                <w:sz w:val="14"/>
                <w:szCs w:val="14"/>
                <w:color w:val="auto"/>
              </w:rPr>
            </w:pPr>
          </w:p>
        </w:tc>
        <w:tc>
          <w:tcPr>
            <w:tcW w:w="1480" w:type="dxa"/>
            <w:vAlign w:val="bottom"/>
            <w:tcBorders>
              <w:top w:val="single" w:sz="8" w:color="auto"/>
            </w:tcBorders>
            <w:vMerge w:val="restart"/>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98"/>
              <w:spacing w:after="0" w:line="168" w:lineRule="exact"/>
              <w:rPr>
                <w:sz w:val="20"/>
                <w:szCs w:val="20"/>
                <w:color w:val="auto"/>
              </w:rPr>
            </w:pPr>
            <w:r>
              <w:rPr>
                <w:rFonts w:ascii="Times New Roman" w:cs="Times New Roman" w:eastAsia="Times New Roman" w:hAnsi="Times New Roman"/>
                <w:sz w:val="15"/>
                <w:szCs w:val="15"/>
                <w:b w:val="1"/>
                <w:bCs w:val="1"/>
                <w:color w:val="auto"/>
              </w:rPr>
              <w:t>Total Proceeds</w:t>
            </w:r>
          </w:p>
        </w:tc>
        <w:tc>
          <w:tcPr>
            <w:tcW w:w="0" w:type="dxa"/>
            <w:vAlign w:val="bottom"/>
          </w:tcPr>
          <w:p>
            <w:pPr>
              <w:spacing w:after="0"/>
              <w:rPr>
                <w:sz w:val="1"/>
                <w:szCs w:val="1"/>
                <w:color w:val="auto"/>
              </w:rPr>
            </w:pPr>
          </w:p>
        </w:tc>
      </w:tr>
      <w:tr>
        <w:trPr>
          <w:trHeight w:val="205"/>
        </w:trPr>
        <w:tc>
          <w:tcPr>
            <w:tcW w:w="59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Received</w:t>
            </w: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related to the: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Third offering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as of June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3,759,680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Issuance of common stock related to the fourth offering</w:t>
            </w: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period made subsequent to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86,936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Related Party Disclosures</w:t>
      </w:r>
    </w:p>
    <w:p>
      <w:pPr>
        <w:spacing w:after="0" w:line="247" w:lineRule="exact"/>
        <w:rPr>
          <w:sz w:val="20"/>
          <w:szCs w:val="20"/>
          <w:color w:val="auto"/>
        </w:rPr>
      </w:pPr>
    </w:p>
    <w:p>
      <w:pPr>
        <w:jc w:val="both"/>
        <w:ind w:firstLine="425"/>
        <w:spacing w:after="0" w:line="249" w:lineRule="auto"/>
        <w:rPr>
          <w:sz w:val="20"/>
          <w:szCs w:val="20"/>
          <w:color w:val="auto"/>
        </w:rPr>
      </w:pPr>
      <w:r>
        <w:rPr>
          <w:rFonts w:ascii="Times New Roman" w:cs="Times New Roman" w:eastAsia="Times New Roman" w:hAnsi="Times New Roman"/>
          <w:sz w:val="17"/>
          <w:szCs w:val="17"/>
          <w:color w:val="auto"/>
        </w:rPr>
        <w:t>In April 2022, the Company entered into a service contract for providing analytics services to The Vanguard Group Inc., which reported that it beneficially owns more than 10% of the Company’s common stock as of March 31, 2024. During the three months ended June 30, 2024 and 2023, the Company recognized revenues, net of $210 and $379, respectively, related to this service contract. During the six months ended June 30, 2024 and 2023, the Company recognized revenues, net of $376 and $1,330, respectively, related to this service contract. The Company had outstanding accounts receivable, net of $170 and $209, related to this service contract as of June 30, 2024 and December 31, 2023, respectively.</w:t>
      </w:r>
    </w:p>
    <w:p>
      <w:pPr>
        <w:spacing w:after="0" w:line="211" w:lineRule="exact"/>
        <w:rPr>
          <w:sz w:val="20"/>
          <w:szCs w:val="20"/>
          <w:color w:val="auto"/>
        </w:rPr>
      </w:pPr>
    </w:p>
    <w:p>
      <w:pPr>
        <w:jc w:val="both"/>
        <w:ind w:firstLine="425"/>
        <w:spacing w:after="0" w:line="254" w:lineRule="auto"/>
        <w:rPr>
          <w:sz w:val="20"/>
          <w:szCs w:val="20"/>
          <w:color w:val="auto"/>
        </w:rPr>
      </w:pPr>
      <w:r>
        <w:rPr>
          <w:rFonts w:ascii="Times New Roman" w:cs="Times New Roman" w:eastAsia="Times New Roman" w:hAnsi="Times New Roman"/>
          <w:sz w:val="17"/>
          <w:szCs w:val="17"/>
          <w:color w:val="auto"/>
        </w:rPr>
        <w:t>In February 2024, the Company entered into a service contract for providing analytics services to Corridor Platforms, Inc., which is an equity affiliate of the Company. During the three and six months ended June 30, 2024, the Company recognized revenues, net of $151 and $302, respectively, related to this service contract. The Company had outstanding accounts receivable, net of $151 related to this service contract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Commitments</w:t>
      </w:r>
    </w:p>
    <w:p>
      <w:pPr>
        <w:spacing w:after="0" w:line="236" w:lineRule="exact"/>
        <w:rPr>
          <w:sz w:val="20"/>
          <w:szCs w:val="20"/>
          <w:color w:val="auto"/>
        </w:rPr>
      </w:pPr>
    </w:p>
    <w:p>
      <w:pPr>
        <w:jc w:val="both"/>
        <w:ind w:firstLine="425"/>
        <w:spacing w:after="0" w:line="271" w:lineRule="auto"/>
        <w:rPr>
          <w:sz w:val="20"/>
          <w:szCs w:val="20"/>
          <w:color w:val="auto"/>
        </w:rPr>
      </w:pPr>
      <w:r>
        <w:rPr>
          <w:rFonts w:ascii="Times New Roman" w:cs="Times New Roman" w:eastAsia="Times New Roman" w:hAnsi="Times New Roman"/>
          <w:sz w:val="17"/>
          <w:szCs w:val="17"/>
          <w:color w:val="auto"/>
        </w:rPr>
        <w:t>As of June 30, 2024, the Company had committed to spend approximately $5,100 under agreements to purchase property and equipment. This amount is net of capital advances paid which are recognized in unaudited consolidated balance sheets as “Capital work in progress” under “Property and equipment.”</w:t>
      </w:r>
    </w:p>
    <w:p>
      <w:pPr>
        <w:spacing w:after="0" w:line="177" w:lineRule="exact"/>
        <w:rPr>
          <w:sz w:val="20"/>
          <w:szCs w:val="20"/>
          <w:color w:val="auto"/>
        </w:rPr>
      </w:pPr>
    </w:p>
    <w:p>
      <w:pPr>
        <w:jc w:val="both"/>
        <w:ind w:firstLine="425"/>
        <w:spacing w:after="0" w:line="248" w:lineRule="auto"/>
        <w:rPr>
          <w:sz w:val="20"/>
          <w:szCs w:val="20"/>
          <w:color w:val="auto"/>
        </w:rPr>
      </w:pPr>
      <w:r>
        <w:rPr>
          <w:rFonts w:ascii="Times New Roman" w:cs="Times New Roman" w:eastAsia="Times New Roman" w:hAnsi="Times New Roman"/>
          <w:sz w:val="17"/>
          <w:szCs w:val="17"/>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Subsequent to June 30, 2024, the Company further invested $600 in the Partnership and is committed under the Partnership to make further investments up to an amount of $2,800.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236"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5"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49"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78"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Company is currently involved in transfer pricing and related income tax disputes with Indian tax authorities. The aggregate amount demanded by Indian tax authorities (net of advance payments) as of June 30, 2024 and December 31, 2023 is $36,116 and $36,694, respectively. The Company has made payments and/or provided bank guarantees against these demands in the amounts of $7,520 and $7,227, as of June 30, 2024 and December 31, 2023,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14"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color w:val="auto"/>
        </w:rPr>
        <w:t>India’s VAT regime ended in June 2017 and was replaced by the current Goods and Service Tax (“GST”) regime. Pursuant to reviewing the Company’s annual VAT filings, the Indian tax authorities raised aggregate VAT demands for tax years 2015 and 2017, in the amounts of $5,482 and $5,493, as of June 30, 2024 and December 31, 2023, respectively. The Company has provided bank guarantees against these demands in the amounts of $5,482 and $4,570, as of June 30, 2024 and December 31, 2023, respectively. The GST authorities rejected the Company’s refunds claims in the amounts of $5,285 and $4,748 as of June 30, 2024 and December 31, 2023, respectively. The Company has filed appeals against these matters and believes that it is more likely than not that upon final examination its position will be sustained based on its technical merits. Accordingly, no provision was recognized as of June 30, 2024 and December 31, 2023, respectively.</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Some of the Company’s subsidiaries in India have undergone assessments with the statutory authority with respect to defined contribution plan. Except for some components of the assessments for which the Company has recognized a provision in the financial statements, the Company believes that the amount demanded by such authority is not a meaningful indicator of the potential liabilities of the Company, and that these matters are without merit. The Company is defending against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184"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201"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Restructuring Costs</w:t>
      </w:r>
    </w:p>
    <w:p>
      <w:pPr>
        <w:spacing w:after="0" w:line="234"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In second quarter of 2024, the Company initiated a strategic restructuring plan to align its workforce with market opportunities, business strategies and evolving customer needs. A substantial part of this plan was executed in the second quarter of 2024, which affected less than 1% of the Company’s global workforce.</w:t>
      </w:r>
    </w:p>
    <w:p>
      <w:pPr>
        <w:spacing w:after="0" w:line="19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restructuring costs include costs in relation to employee severance and other associated costs including legal fees and outplacement support costs. These costs have been recognized under cost of revenues (across all reporting segments), general &amp; administrative and selling &amp; marketing expenses in the unaudited consolidated statements of income.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restructuring costs incurred and paid during the three months ended June 30, 2024: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Employee-Related Costs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Other Associated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jc w:val="right"/>
              <w:ind w:right="85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April 1, 2024</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6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 during the period</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made during the period</w:t>
            </w: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r>
      <w:tr>
        <w:trPr>
          <w:trHeight w:val="212"/>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June 30, 2024</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tcPr>
          <w:p>
            <w:pPr>
              <w:spacing w:after="0"/>
              <w:rPr>
                <w:sz w:val="18"/>
                <w:szCs w:val="18"/>
                <w:color w:val="auto"/>
              </w:rPr>
            </w:pPr>
          </w:p>
        </w:tc>
        <w:tc>
          <w:tcPr>
            <w:tcW w:w="1900" w:type="dxa"/>
            <w:vAlign w:val="bottom"/>
            <w:tcBorders>
              <w:bottom w:val="single" w:sz="8" w:color="auto"/>
            </w:tcBorders>
          </w:tcPr>
          <w:p>
            <w:pPr>
              <w:jc w:val="right"/>
              <w:ind w:right="16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355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w:t>
            </w: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 Subsequent Event</w:t>
      </w:r>
    </w:p>
    <w:p>
      <w:pPr>
        <w:spacing w:after="0" w:line="234"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On July 31, 2024, the Company, through its wholly owned subsidiary Clairvoyant AI, Inc., entered into an equity securities purchase agreement to acquire 100% of the equity securities of Incandescent Technologies, Inc., a Delaware Corporation (“ITI”) for cash consideration of $26,000, subject to certain post-closing adjustments and contingent consideration of $13,000, based on the achievement of certain performance goals by ITI during the two years ending July 31, 2026. ITI is a data management solutions firm servicing primarily Global 1000 companies in the banking, financial services and healthcare industries.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3" w:lineRule="exact"/>
        <w:rPr>
          <w:sz w:val="20"/>
          <w:szCs w:val="20"/>
          <w:color w:val="auto"/>
        </w:rPr>
      </w:pPr>
    </w:p>
    <w:p>
      <w:pPr>
        <w:jc w:val="both"/>
        <w:ind w:firstLine="387"/>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2023. Some of the statements in the following discussion are forward looking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52" w:lineRule="exact"/>
        <w:rPr>
          <w:sz w:val="20"/>
          <w:szCs w:val="20"/>
          <w:color w:val="auto"/>
        </w:rPr>
      </w:pPr>
    </w:p>
    <w:p>
      <w:pPr>
        <w:ind w:left="620" w:hanging="307"/>
        <w:spacing w:after="0" w:line="28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on client demand by the selling cycle and terms of our client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earnings;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enough sufficiently trained employees to support our operations or any changes in the senior management team;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estimate and/or manage costs;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adjust our pricing terms or effectively manage our asset utilization levels to meet the changing demands of our clients and potential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 security incidents, data breaches, or other unauthorized disclosure of sensitive or confidential client and employee data;</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deliver services and infrastructure for client critical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wage increases;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limited number of clients in a limited number of industries and our ability to withstand the loss of a significant client;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our business or effectively manage growth and international operations;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consummate or integrate strategic acquisitions including the impact from the impairment of goodwill and other intangible assets, if any;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liability arising out of customer and third party contracts;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our industry;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telecommunications or technology disruptions or breaches, natural or other disasters, medical epidemics or pandemics, such as COVID-19, or acts of violence or war;</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information security failures arising as a result of remote work solutions adopted due to COVID-19;</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 of our disputes with the tax authorities in the geographies where we operate;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or unfavorable tax legislation, including legal restrictions on repatriation of funds held abroad;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currency exchange rate fluctuations in the various currencies in which we do business including the potential effects of Russian-Ukraine and Israel-Hamas conflicts, rising inflation, high interest rates and economic recessionary trends on currency exchange rates;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immigration;</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and judicial developments, including our ability to adhere to regulations or accreditation or licensing standards that govern our business;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debt or obtain additional financing on favorable terms. Inception of interest rate swaps to hedge interest rate risk;</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 reaction in the U.S. or elsewhere to offshore outsourcing;</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political and economic conditions globally, particularly in the geographies where we operate;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accurate estimates and assumptions in connection with the preparation of our consolidated financial statements;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fluctuations in the market values of our investment and derivatives portfolios;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sustainability-related goals and targets.</w:t>
      </w:r>
    </w:p>
    <w:p>
      <w:pPr>
        <w:spacing w:after="0" w:line="294"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These and other factors are more fully discussed in our Annual Report on Form 10-K for the fiscal year ended December 31, 2023. These and other risks could cause actual results to differ materially from those implied by forward-looking statements in this Quarterly Report on Form 10-Q.</w:t>
      </w:r>
    </w:p>
    <w:p>
      <w:pPr>
        <w:spacing w:after="0" w:line="17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34"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are a leading data analytics and digital operations and solutions company. We partner with clients using a data and AI-led approach to reinvent business models, drive better business outcomes and unlock growth with speed. We harness the power of data, analytics, AI, and deep industry knowledge to transform operations for the world’s leading corporations in industries including insurance, healthcare, banking and financial services, media and retail, among others.</w:t>
      </w:r>
    </w:p>
    <w:p>
      <w:pPr>
        <w:spacing w:after="0" w:line="204"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We deliver data analytics and digital operations and solutions to our clients, driving enterprise-scale business transformation initiatives that leverage our deep expertise in advanced analytics, AI, generative AI and cloud technology. We manage and report financial information through our four strategic business units: Insurance, Healthcare, Analytics and Emerging Business, which reflects how management reviews financial information and makes operating decisions.</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reportable segments are as follows:</w:t>
      </w:r>
    </w:p>
    <w:p>
      <w:pPr>
        <w:spacing w:after="0" w:line="243" w:lineRule="exact"/>
        <w:rPr>
          <w:sz w:val="20"/>
          <w:szCs w:val="20"/>
          <w:color w:val="auto"/>
        </w:rPr>
      </w:pPr>
    </w:p>
    <w:p>
      <w:pPr>
        <w:ind w:left="620" w:hanging="15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242"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w:t>
      </w:r>
    </w:p>
    <w:p>
      <w:pPr>
        <w:spacing w:after="0" w:line="242"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Analytics, and</w:t>
      </w:r>
    </w:p>
    <w:p>
      <w:pPr>
        <w:spacing w:after="0" w:line="242"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Business</w:t>
      </w:r>
    </w:p>
    <w:p>
      <w:pPr>
        <w:spacing w:after="0" w:line="243"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For the three months ended June 30, 2024, we generated revenues of $448.4 million compared to revenues of $405.0 million for the three months ended June 30, 2023, an increase of $43.4 million, or 10.7%. For the six months ended June 30, 2024, we generated revenues of $884.9 million compared to revenues of $805.6 million for the six months ended June 30, 2023, an increase of $79.3 million, or 9.8%.</w:t>
      </w:r>
    </w:p>
    <w:p>
      <w:pPr>
        <w:spacing w:after="0" w:line="185"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serve clients mainly in the United States and the United Kingdom, with these two regions generating 82.7% and 11.8%, respectively, of our total revenues for the three months ended June 30, 2024, and 84.1% and 10.8%, respectively, of our total revenues for the three months ended June 30, 2023. For the six months ended June 30, 2024, these two regions generated 82.8% and 11.7%, respectively, of our total revenues and 84.4% and 10.6%, respectively, of our total revenues for the six months ended June 30, 2023.</w:t>
      </w:r>
    </w:p>
    <w:p>
      <w:pPr>
        <w:spacing w:after="0" w:line="191"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For the three months ended June 30, 2024 and 2023, our total revenues from our top ten clients accounted for 33.0% and 33.8% of our total revenues, respectively. For the six months ended June 30, 2024 and 2023, our total revenues from our top ten clients accounted for 32.9% and 34.3%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4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87"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Digital Operations and Solutions: </w:t>
      </w:r>
      <w:r>
        <w:rPr>
          <w:rFonts w:ascii="Times New Roman" w:cs="Times New Roman" w:eastAsia="Times New Roman" w:hAnsi="Times New Roman"/>
          <w:sz w:val="17"/>
          <w:szCs w:val="17"/>
          <w:color w:val="auto"/>
        </w:rPr>
        <w:t>We provide our clients with a range of data and AI-led digital operations and solutions from our Insurance, Healthcare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Emerging Business strategic business units, which are focused on solving complex industry challenges, which include: a) multi-modal data ingestion using AI, and converting unstructured content into curated and usable data, b) real-time and comprehensive data insights including end-to-end data management and building a 360-degree view of our clients’ customers, c) omni-channel and frictionless customer experience including self-service, conversational AI and smart agent assist,</w:t>
      </w:r>
    </w:p>
    <w:p>
      <w:pPr>
        <w:spacing w:after="0" w:line="2" w:lineRule="exact"/>
        <w:rPr>
          <w:sz w:val="20"/>
          <w:szCs w:val="20"/>
          <w:color w:val="auto"/>
        </w:rPr>
      </w:pPr>
    </w:p>
    <w:p>
      <w:pPr>
        <w:jc w:val="both"/>
        <w:ind w:firstLine="3"/>
        <w:spacing w:after="0" w:line="254" w:lineRule="auto"/>
        <w:tabs>
          <w:tab w:leader="none" w:pos="1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intelligent and AI-powered redesign and automation of transaction processing and e) automated quality, compliance and audit. Some of our clients’ operations that we have transformed using the above solutions include underwriting operations, claims processing, accounts payables processing, utilization management, member and provider contact center services and collections and accounts receivable. We either manage and digitally transform these operations for our clients by deploying our solutions through a software-as-a-service model via our partners’ cloud network or a client’s on-cloud deployment model, to digitally transform their retained operations.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210"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5"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6" w:lineRule="exact"/>
        <w:rPr>
          <w:sz w:val="20"/>
          <w:szCs w:val="20"/>
          <w:color w:val="auto"/>
        </w:rPr>
      </w:pPr>
    </w:p>
    <w:p>
      <w:pPr>
        <w:jc w:val="both"/>
        <w:ind w:firstLine="387"/>
        <w:spacing w:after="0" w:line="239" w:lineRule="auto"/>
        <w:rPr>
          <w:sz w:val="20"/>
          <w:szCs w:val="20"/>
          <w:color w:val="auto"/>
        </w:rPr>
      </w:pPr>
      <w:r>
        <w:rPr>
          <w:rFonts w:ascii="Times New Roman" w:cs="Times New Roman" w:eastAsia="Times New Roman" w:hAnsi="Times New Roman"/>
          <w:sz w:val="17"/>
          <w:szCs w:val="17"/>
          <w:i w:val="1"/>
          <w:iCs w:val="1"/>
          <w:color w:val="auto"/>
        </w:rPr>
        <w:t xml:space="preserve">Analytics: </w:t>
      </w:r>
      <w:r>
        <w:rPr>
          <w:rFonts w:ascii="Times New Roman" w:cs="Times New Roman" w:eastAsia="Times New Roman" w:hAnsi="Times New Roman"/>
          <w:sz w:val="17"/>
          <w:szCs w:val="17"/>
          <w:color w:val="auto"/>
        </w:rPr>
        <w:t>Our analytics services aim to drive better business outcomes for our clients by unlocking deep insights from data and creating data and AI-led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19"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We anticipate that revenues from our analytics services will grow as we expand our service offerings and client base, both organically and through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34"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34"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during the three and six months ended June 30, 2024,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ended June 30, 2024 and 2023:</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306"/>
        </w:trPr>
        <w:tc>
          <w:tcPr>
            <w:tcW w:w="336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10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ended June 30,</w:t>
            </w: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100" w:type="dxa"/>
            <w:vAlign w:val="bottom"/>
            <w:vMerge w:val="restart"/>
          </w:tcPr>
          <w:p>
            <w:pPr>
              <w:spacing w:after="0"/>
              <w:rPr>
                <w:sz w:val="3"/>
                <w:szCs w:val="3"/>
                <w:color w:val="auto"/>
              </w:rPr>
            </w:pPr>
          </w:p>
        </w:tc>
        <w:tc>
          <w:tcPr>
            <w:tcW w:w="10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0" w:type="dxa"/>
            <w:vAlign w:val="bottom"/>
            <w:vMerge w:val="restart"/>
          </w:tcPr>
          <w:p>
            <w:pPr>
              <w:spacing w:after="0"/>
              <w:rPr>
                <w:sz w:val="3"/>
                <w:szCs w:val="3"/>
                <w:color w:val="auto"/>
              </w:rPr>
            </w:pPr>
          </w:p>
        </w:tc>
        <w:tc>
          <w:tcPr>
            <w:tcW w:w="10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3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net</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Cost of revenues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37.1 %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151.8</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37.5 %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9.5 %</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61.5</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64.9</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exchange gain, net</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(88.7) %</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Income before income tax expense and earnings</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59.7</w:t>
            </w:r>
          </w:p>
        </w:tc>
        <w:tc>
          <w:tcPr>
            <w:tcW w:w="1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64.6</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15.9 %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(7.5)%</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from equity affiliates</w:t>
            </w: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earnings from equity affiliates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from equity-method investment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Net income attributable to ExlService Holdings,</w:t>
            </w:r>
          </w:p>
        </w:tc>
        <w:tc>
          <w:tcPr>
            <w:tcW w:w="22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45.8</w:t>
            </w:r>
          </w:p>
        </w:tc>
        <w:tc>
          <w:tcPr>
            <w:tcW w:w="1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10.2 %</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12.1 %</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 stockholders</w:t>
            </w: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(1) Exclusive of depreciation and amortization expense.</w:t>
      </w:r>
    </w:p>
    <w:p>
      <w:pPr>
        <w:spacing w:after="0" w:line="240" w:lineRule="exact"/>
        <w:rPr>
          <w:sz w:val="20"/>
          <w:szCs w:val="20"/>
          <w:color w:val="auto"/>
        </w:rPr>
      </w:pPr>
    </w:p>
    <w:p>
      <w:pPr>
        <w:ind w:left="380"/>
        <w:spacing w:after="0" w:line="294" w:lineRule="auto"/>
        <w:rPr>
          <w:sz w:val="20"/>
          <w:szCs w:val="20"/>
          <w:color w:val="auto"/>
        </w:rPr>
      </w:pPr>
      <w:r>
        <w:rPr>
          <w:rFonts w:ascii="Times New Roman" w:cs="Times New Roman" w:eastAsia="Times New Roman" w:hAnsi="Times New Roman"/>
          <w:sz w:val="15"/>
          <w:szCs w:val="15"/>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2024 Compared to Three Months Ended June 30, 2023</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 Total Revenues for the three</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2180" w:type="dxa"/>
            <w:vAlign w:val="bottom"/>
            <w:tcBorders>
              <w:bottom w:val="single" w:sz="8" w:color="auto"/>
            </w:tcBorders>
            <w:gridSpan w:val="4"/>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940" w:type="dxa"/>
            <w:vAlign w:val="bottom"/>
            <w:tcBorders>
              <w:bottom w:val="single" w:sz="8" w:color="auto"/>
            </w:tcBorders>
            <w:gridSpan w:val="3"/>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w w:val="98"/>
              </w:rPr>
              <w:t>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149.3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0" w:type="dxa"/>
            <w:vAlign w:val="bottom"/>
          </w:tcPr>
          <w:p>
            <w:pPr>
              <w:spacing w:after="0"/>
              <w:rPr>
                <w:sz w:val="1"/>
                <w:szCs w:val="1"/>
                <w:color w:val="auto"/>
              </w:rPr>
            </w:pPr>
          </w:p>
        </w:tc>
      </w:tr>
      <w:tr>
        <w:trPr>
          <w:trHeight w:val="219"/>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0" w:type="dxa"/>
            <w:vAlign w:val="bottom"/>
          </w:tcPr>
          <w:p>
            <w:pPr>
              <w:spacing w:after="0"/>
              <w:rPr>
                <w:sz w:val="1"/>
                <w:szCs w:val="1"/>
                <w:color w:val="auto"/>
              </w:rPr>
            </w:pPr>
          </w:p>
        </w:tc>
      </w:tr>
      <w:tr>
        <w:trPr>
          <w:trHeight w:val="219"/>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193.8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182.2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43.2 %</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448.4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Revenues for the three months ended June 30, 2024 were up by $43.4 million, or 10.7%, compared to the three months ended June 30, 2023, driven primarily by revenue growth from our new and existing clients in the Insurance, Emerging Business and Analytics reportable segments.</w:t>
      </w:r>
    </w:p>
    <w:p>
      <w:pPr>
        <w:spacing w:after="0" w:line="177" w:lineRule="exact"/>
        <w:rPr>
          <w:sz w:val="20"/>
          <w:szCs w:val="20"/>
          <w:color w:val="auto"/>
        </w:rPr>
      </w:pPr>
    </w:p>
    <w:p>
      <w:pPr>
        <w:jc w:val="both"/>
        <w:ind w:right="100" w:firstLine="387"/>
        <w:spacing w:after="0" w:line="271" w:lineRule="auto"/>
        <w:rPr>
          <w:sz w:val="20"/>
          <w:szCs w:val="20"/>
          <w:color w:val="auto"/>
        </w:rPr>
      </w:pPr>
      <w:r>
        <w:rPr>
          <w:rFonts w:ascii="Times New Roman" w:cs="Times New Roman" w:eastAsia="Times New Roman" w:hAnsi="Times New Roman"/>
          <w:sz w:val="17"/>
          <w:szCs w:val="17"/>
          <w:color w:val="auto"/>
        </w:rPr>
        <w:t>Revenue growth in Insurance of $20.8 million was primarily driven by expansion of business from our new and existing clients of $20.8 million during the three months ended June 30, 2024, compared to the three months ended June 30, 2023.</w:t>
      </w:r>
    </w:p>
    <w:p>
      <w:pPr>
        <w:spacing w:after="0" w:line="177" w:lineRule="exact"/>
        <w:rPr>
          <w:sz w:val="20"/>
          <w:szCs w:val="20"/>
          <w:color w:val="auto"/>
        </w:rPr>
      </w:pPr>
    </w:p>
    <w:p>
      <w:pPr>
        <w:jc w:val="both"/>
        <w:ind w:right="100" w:firstLine="387"/>
        <w:spacing w:after="0" w:line="262" w:lineRule="auto"/>
        <w:rPr>
          <w:sz w:val="20"/>
          <w:szCs w:val="20"/>
          <w:color w:val="auto"/>
        </w:rPr>
      </w:pPr>
      <w:r>
        <w:rPr>
          <w:rFonts w:ascii="Times New Roman" w:cs="Times New Roman" w:eastAsia="Times New Roman" w:hAnsi="Times New Roman"/>
          <w:sz w:val="17"/>
          <w:szCs w:val="17"/>
          <w:color w:val="auto"/>
        </w:rPr>
        <w:t>Revenue growth in Healthcare of $0.9 million was primarily driven by expansion of business from our existing clients of $1.6 million, partially offset by lower revenues associated with the ramp-down of certain existing clients of $0.7 million during the three months ended June 30, 2024, compared to the three months ended June 30, 2023.</w:t>
      </w:r>
    </w:p>
    <w:p>
      <w:pPr>
        <w:spacing w:after="0" w:line="185"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Revenue growth in Emerging Business of $10.1 million was primarily driven by expansion of business from our new and existing clients of $10.1 million during the three months ended June 30, 2024, compared to the three months ended June 30, 2023.</w:t>
      </w:r>
    </w:p>
    <w:p>
      <w:pPr>
        <w:spacing w:after="0" w:line="164" w:lineRule="exact"/>
        <w:rPr>
          <w:sz w:val="20"/>
          <w:szCs w:val="20"/>
          <w:color w:val="auto"/>
        </w:rPr>
      </w:pPr>
    </w:p>
    <w:p>
      <w:pPr>
        <w:jc w:val="both"/>
        <w:ind w:right="100" w:firstLine="387"/>
        <w:spacing w:after="0" w:line="287" w:lineRule="auto"/>
        <w:rPr>
          <w:sz w:val="20"/>
          <w:szCs w:val="20"/>
          <w:color w:val="auto"/>
        </w:rPr>
      </w:pPr>
      <w:r>
        <w:rPr>
          <w:rFonts w:ascii="Times New Roman" w:cs="Times New Roman" w:eastAsia="Times New Roman" w:hAnsi="Times New Roman"/>
          <w:sz w:val="17"/>
          <w:szCs w:val="17"/>
          <w:color w:val="auto"/>
        </w:rPr>
        <w:t>Revenue growth in Analytics of $11.6 million was primarily driven by higher volumes in our annuity and project-based engagements from our new and existing clients of $11.6 million during the three months ended June 30, 2024, compared to the three months ended June 30, 2023.</w:t>
      </w: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20" w:type="dxa"/>
            <w:vAlign w:val="bottom"/>
          </w:tcPr>
          <w:p>
            <w:pPr>
              <w:spacing w:after="0"/>
              <w:rPr>
                <w:sz w:val="15"/>
                <w:szCs w:val="15"/>
                <w:color w:val="auto"/>
              </w:rPr>
            </w:pPr>
          </w:p>
        </w:tc>
      </w:tr>
      <w:tr>
        <w:trPr>
          <w:trHeight w:val="22"/>
        </w:trPr>
        <w:tc>
          <w:tcPr>
            <w:tcW w:w="1920" w:type="dxa"/>
            <w:vAlign w:val="bottom"/>
          </w:tcPr>
          <w:p>
            <w:pPr>
              <w:spacing w:after="0" w:line="20" w:lineRule="exact"/>
              <w:rPr>
                <w:sz w:val="1"/>
                <w:szCs w:val="1"/>
                <w:color w:val="auto"/>
              </w:rPr>
            </w:pPr>
          </w:p>
        </w:tc>
        <w:tc>
          <w:tcPr>
            <w:tcW w:w="2720" w:type="dxa"/>
            <w:vAlign w:val="bottom"/>
            <w:tcBorders>
              <w:bottom w:val="single" w:sz="8" w:color="auto"/>
            </w:tcBorders>
            <w:gridSpan w:val="7"/>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1920" w:type="dxa"/>
            <w:vAlign w:val="bottom"/>
          </w:tcPr>
          <w:p>
            <w:pPr>
              <w:spacing w:after="0"/>
              <w:rPr>
                <w:sz w:val="15"/>
                <w:szCs w:val="15"/>
                <w:color w:val="auto"/>
              </w:rPr>
            </w:pPr>
          </w:p>
        </w:tc>
        <w:tc>
          <w:tcPr>
            <w:tcW w:w="27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30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7"/>
        </w:trPr>
        <w:tc>
          <w:tcPr>
            <w:tcW w:w="19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4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6"/>
        </w:trPr>
        <w:tc>
          <w:tcPr>
            <w:tcW w:w="19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2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8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46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19"/>
        </w:trPr>
        <w:tc>
          <w:tcPr>
            <w:tcW w:w="1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387"/>
        <w:spacing w:after="0" w:line="248" w:lineRule="auto"/>
        <w:rPr>
          <w:sz w:val="20"/>
          <w:szCs w:val="20"/>
          <w:color w:val="auto"/>
        </w:rPr>
      </w:pPr>
      <w:r>
        <w:rPr>
          <w:rFonts w:ascii="Times New Roman" w:cs="Times New Roman" w:eastAsia="Times New Roman" w:hAnsi="Times New Roman"/>
          <w:sz w:val="17"/>
          <w:szCs w:val="17"/>
          <w:color w:val="auto"/>
        </w:rPr>
        <w:t>Cost of revenues for the three months ended June 30, 2024 increased by $28.9 million, or 11.4% compared to the three months ended June 30, 2023. The increase in cost of revenues was primarily due to increases in employee-related costs including restructuring costs and technology costs, partially offset by foreign exchange gain, net of hedging. Our gross margin for the three months ended June 30, 2024 was 37.1%, compared to 37.5% for the three months ended June 30, 2023, a decrease</w:t>
      </w: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of 40 basis points (“bps”) primarily driven by the impact of restructuring costs of 70 bps, partially offset by higher revenues during the three months ended June 30, 2024, compared to the three months ended June 30, 2023.</w:t>
      </w:r>
    </w:p>
    <w:p>
      <w:pPr>
        <w:spacing w:after="0" w:line="177"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increase in cost of revenues in Insurance of $11.2 million for the three months ended June 30, 2024 was primarily due to increases in employee-related costs of $10.7 million on account of higher headcount, restructuring costs and wage inflation, higher technology costs of $1.2 million on account of increased subscription to cloud-based software licenses and use of the hybrid working model and higher other operating costs of $1.1 million, partially offset by foreign exchange gain, net of hedging of $1.8 million. Gross margin in Insurance increased by 160 bps during the three months ended June 30, 2024, compared to the three months ended June 30, 2023, primarily due to higher revenues and operational efficiencies during the three months ended June 30, 2024, compared to the three months ended June 30, 2023.</w:t>
      </w:r>
    </w:p>
    <w:p>
      <w:pPr>
        <w:spacing w:after="0" w:line="202"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increase in cost of revenues in Healthcare of $1.2 million for the three months ended June 30, 2024 was primarily due to increases in employee-related costs of $1.8 million on account of higher headcount and wage inflation, partially offset by foreign exchange gain, net of hedging of $0.6 million. Gross margin in Healthcare decreased by 230 bps during the three months ended June 30, 2024, compared to the three months ended June 30, 2023, primarily due to lower revenues associated with the ramp-down of certain existing clients and higher operating expenses during the three months ended June 30, 2024, compared to the three months ended June 30, 2023.</w:t>
      </w:r>
    </w:p>
    <w:p>
      <w:pPr>
        <w:spacing w:after="0" w:line="201"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The increase in cost of revenues in Emerging Business of $7.3 million for the three months ended June 30, 2024 was primarily due to increases in employee-related costs of $7.6 million on account of higher headcount, restructuring costs and wage inflation and higher technology costs of $0.8 million on account of increased subscription to cloud-based software licenses and use of the hybrid working model, partially offset by foreign exchange gain, net of hedging of $1.1 million. Gross margin in Emerging Business decreased by 210 bps during the three months ended June 30, 2024, compared to the three months ended June 30, 2023, primarily due to investment in ramp-ups in certain new and existing clients during the three months ended June 30, 2024, compared to the three months ended June 30, 2023.</w:t>
      </w:r>
    </w:p>
    <w:p>
      <w:pPr>
        <w:spacing w:after="0" w:line="200"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The increase in cost of revenues in Analytics of $9.2 million for the three months ended June 30, 2024 was primarily due to increases in employee-related costs of $7.6 million on account of higher headcount, restructuring costs and wage inflation and higher technology costs of $2.0 million on account of increased subscription to cloud-based software licenses and use of the hybrid working model, partially offset by lower other operating costs of $0.4 million. Gross margin in Analytics decreased by 100 bps during the three months ended June 30, 2024, compared to the three months ended June 30, 2023, primarily due to the impact of restructuring costs of 120 bps, partially offset by higher revenues during the three months ended June 30, 2024, compared to the three months ended June 30, 2023.</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138"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23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5"/>
        </w:trPr>
        <w:tc>
          <w:tcPr>
            <w:tcW w:w="49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8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25.5 %</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The increase in SG&amp;A expenses of $18.1 million was primarily due to increases in employee-related costs of $8.5 million on account of higher headcount and wage inflation, higher investments in digital and generative AI capabilities of $4.4 million, higher sales and marketing spend of $1.4 million, restructuring costs, litigation settlement costs and associated legal fees of $3.1 million and higher other operating costs of $1.2 million. This was partially offset by foreign exchange gain, net of hedging of $0.5 million, during the three months ended June 30, 2024, compared to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3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0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w w:val="93"/>
              </w:rPr>
              <w:t>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98"/>
              <w:spacing w:after="0"/>
              <w:rPr>
                <w:sz w:val="20"/>
                <w:szCs w:val="20"/>
                <w:color w:val="auto"/>
              </w:rPr>
            </w:pPr>
            <w:r>
              <w:rPr>
                <w:rFonts w:ascii="Times New Roman" w:cs="Times New Roman" w:eastAsia="Times New Roman" w:hAnsi="Times New Roman"/>
                <w:sz w:val="17"/>
                <w:szCs w:val="17"/>
                <w:color w:val="auto"/>
                <w:w w:val="98"/>
              </w:rPr>
              <w:t>(1.1)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center"/>
              <w:ind w:left="598"/>
              <w:spacing w:after="0"/>
              <w:rPr>
                <w:sz w:val="20"/>
                <w:szCs w:val="20"/>
                <w:color w:val="auto"/>
              </w:rPr>
            </w:pPr>
            <w:r>
              <w:rPr>
                <w:rFonts w:ascii="Times New Roman" w:cs="Times New Roman" w:eastAsia="Times New Roman" w:hAnsi="Times New Roman"/>
                <w:sz w:val="17"/>
                <w:szCs w:val="17"/>
                <w:color w:val="auto"/>
                <w:w w:val="98"/>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color w:val="auto"/>
        </w:rPr>
        <w:t>The increase in depreciation expense of $0.9 million was primarily due to investments in digital capabilities, computers and networking equipment during the three months ended June 30, 2024, compared to the three months ended June 30, 2023. The decrease in intangibles amortization expense of $1.1 million during the three months ended June 30, 2024, compared to the three months ended June 30, 2023 was primarily due to end of useful lives for certain intangible assets.</w:t>
      </w:r>
    </w:p>
    <w:p>
      <w:pPr>
        <w:spacing w:after="0" w:line="295"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decreased by $3.4 million, or 5.2%, from $64.9 million for the three months ended June 30, 2023 to $61.5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June 30, 2024, primarily due to higher SG&amp;A expenses, partially offset by higher revenues during the three months ended June 30, 2024.</w:t>
      </w:r>
    </w:p>
    <w:p>
      <w:pPr>
        <w:spacing w:after="0" w:line="195"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Philippine peso, the U.K. pound sterling and the South African rand during the three months ended June 30, 2024, compared to the three months ended June 30, 2023. The average exchange rate of the U.S. dollar against the Indian rupee increased from 82.20 during the three months ended June 30, 2023 to 83.42 during the three months ended June 30, 2024. The average exchange rate of the U.S. dollar against the Philippine peso increased from 55.58 during the three months ended June 30, 2023 to 58.29 during the three months ended June 30, 2024. The average exchange rate of the U.K. pound sterling against the U.S. dollar increased from 1.25 during the three months ended June 30, 2023 to 1.26 during the three months ended June 30, 2024. The average exchange rate of the U.S. dollar against the South African rand decreased from 19.02 during the three months ended June 30, 2023 to 18.53 during the three months ended June 30, 2024.</w:t>
      </w:r>
    </w:p>
    <w:p>
      <w:pPr>
        <w:spacing w:after="0" w:line="200"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We recorded a foreign exchange gain, net of $0.3 million for the three months ended June 30, 2023 compared to a foreign exchange gain, net of $nil for the three months ended June 30, 2024.</w:t>
      </w:r>
    </w:p>
    <w:p>
      <w:pPr>
        <w:spacing w:after="0" w:line="158"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Interest expens</w:t>
      </w:r>
      <w:r>
        <w:rPr>
          <w:rFonts w:ascii="Times New Roman" w:cs="Times New Roman" w:eastAsia="Times New Roman" w:hAnsi="Times New Roman"/>
          <w:sz w:val="17"/>
          <w:szCs w:val="17"/>
          <w:color w:val="auto"/>
        </w:rPr>
        <w:t>e. Interest expense increased from $3.2 million for the three months ended June 30, 2023 to $5.3 million for the three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primarily due to a higher average outstanding balance under our revolving credit facility and a higher effective interest rate of 6.5% during the three months ended June 30, 2024, compared to 6.2% during the three months ended June 30, 2023.</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9"/>
        </w:trPr>
        <w:tc>
          <w:tcPr>
            <w:tcW w:w="5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and mark-to-market on investments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center"/>
              <w:ind w:left="581"/>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center"/>
              <w:ind w:left="378"/>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19"/>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300" w:type="dxa"/>
            <w:vAlign w:val="bottom"/>
          </w:tcPr>
          <w:p>
            <w:pPr>
              <w:spacing w:after="0"/>
              <w:rPr>
                <w:sz w:val="19"/>
                <w:szCs w:val="19"/>
                <w:color w:val="auto"/>
              </w:rPr>
            </w:pPr>
          </w:p>
        </w:tc>
        <w:tc>
          <w:tcPr>
            <w:tcW w:w="1040" w:type="dxa"/>
            <w:vAlign w:val="bottom"/>
          </w:tcPr>
          <w:p>
            <w:pPr>
              <w:jc w:val="center"/>
              <w:ind w:left="581"/>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43.7 %</w:t>
            </w:r>
          </w:p>
        </w:tc>
      </w:tr>
      <w:tr>
        <w:trPr>
          <w:trHeight w:val="21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7"/>
                <w:szCs w:val="17"/>
                <w:color w:val="auto"/>
                <w:w w:val="98"/>
              </w:rPr>
              <w:t>(0.1)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8"/>
              <w:spacing w:after="0"/>
              <w:rPr>
                <w:sz w:val="20"/>
                <w:szCs w:val="20"/>
                <w:color w:val="auto"/>
              </w:rPr>
            </w:pPr>
            <w:r>
              <w:rPr>
                <w:rFonts w:ascii="Times New Roman" w:cs="Times New Roman" w:eastAsia="Times New Roman" w:hAnsi="Times New Roman"/>
                <w:sz w:val="17"/>
                <w:szCs w:val="17"/>
                <w:color w:val="auto"/>
                <w:w w:val="98"/>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r>
      <w:tr>
        <w:trPr>
          <w:trHeight w:val="21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7"/>
                <w:szCs w:val="17"/>
                <w:color w:val="auto"/>
                <w:w w:val="93"/>
              </w:rPr>
              <w:t>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Other income, net increased by $0.9 million, from $2.6 million for the three months ended June 30, 2023 to $3.5 million for the three months ended June 30, 2024. The increase is primarily due to higher yield on our investments of $0.8 million during the three months ended June 30, 2024, compared to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8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decreased from 24.1% during the three months ended June 30, 2023 to 23.2% during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2024. We recorded income tax expense of $13.9 million and $15.6 million for the three months ended June 30, 2024 and 2023, respectively. The decrease in income tax expense was primarily as a result of lower profit during the three months ended June 30, 2024, compared to the three months ended June 30, 2023, partially offset by higher credits during the three months ended June 30, 2024, compared to the three months ended June 30, 2023.</w:t>
      </w:r>
    </w:p>
    <w:p>
      <w:pPr>
        <w:spacing w:after="0" w:line="188"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decreased from $49.1 million for the three months ended June 30, 2023 to $45.8 million for the three months ended June 30,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a decrease in income from operations of $3.4 million, higher interest expense of $2.1 million and lower foreign exchange gain, net of $0.3 million, partially offset by a lower income tax expense of $1.6 million and higher other income, net of $0.9 million.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six months ended June 30, 2024 and 2023:</w:t>
      </w: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380" w:type="dxa"/>
            <w:vAlign w:val="bottom"/>
          </w:tcPr>
          <w:p>
            <w:pPr>
              <w:spacing w:after="0"/>
              <w:rPr>
                <w:sz w:val="12"/>
                <w:szCs w:val="12"/>
                <w:color w:val="auto"/>
              </w:rPr>
            </w:pPr>
          </w:p>
        </w:tc>
        <w:tc>
          <w:tcPr>
            <w:tcW w:w="102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ended June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80" w:type="dxa"/>
            <w:vAlign w:val="bottom"/>
            <w:vMerge w:val="restart"/>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0" w:type="dxa"/>
            <w:vAlign w:val="bottom"/>
            <w:vMerge w:val="restart"/>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(C=A-B)</w:t>
            </w: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8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Cost of revenues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329.4</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300.9</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37.4 %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9.4 %</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123.0</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15.4 %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exchange gain, net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7"/>
        </w:trPr>
        <w:tc>
          <w:tcPr>
            <w:tcW w:w="33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Income before income tax expense and earnings</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122.2</w:t>
            </w:r>
          </w:p>
        </w:tc>
        <w:tc>
          <w:tcPr>
            <w:tcW w:w="8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123.9</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15.4 %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from equity affiliates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earnings from equity affiliates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94.6</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from equity-method investment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(128.0) %</w:t>
            </w:r>
          </w:p>
        </w:tc>
        <w:tc>
          <w:tcPr>
            <w:tcW w:w="0" w:type="dxa"/>
            <w:vAlign w:val="bottom"/>
          </w:tcPr>
          <w:p>
            <w:pPr>
              <w:spacing w:after="0"/>
              <w:rPr>
                <w:sz w:val="1"/>
                <w:szCs w:val="1"/>
                <w:color w:val="auto"/>
              </w:rPr>
            </w:pPr>
          </w:p>
        </w:tc>
      </w:tr>
      <w:tr>
        <w:trPr>
          <w:trHeight w:val="137"/>
        </w:trPr>
        <w:tc>
          <w:tcPr>
            <w:tcW w:w="33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Net income attributable to ExlService Holdings,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94.6</w:t>
            </w:r>
          </w:p>
        </w:tc>
        <w:tc>
          <w:tcPr>
            <w:tcW w:w="8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10.7 %</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100.4</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12.5 %</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 stockholders</w:t>
            </w: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(1) Exclusive of depreciation and amortization expense.</w:t>
      </w:r>
    </w:p>
    <w:p>
      <w:pPr>
        <w:spacing w:after="0" w:line="240" w:lineRule="exact"/>
        <w:rPr>
          <w:sz w:val="20"/>
          <w:szCs w:val="20"/>
          <w:color w:val="auto"/>
        </w:rPr>
      </w:pPr>
    </w:p>
    <w:p>
      <w:pPr>
        <w:ind w:left="380"/>
        <w:spacing w:after="0" w:line="294" w:lineRule="auto"/>
        <w:rPr>
          <w:sz w:val="20"/>
          <w:szCs w:val="20"/>
          <w:color w:val="auto"/>
        </w:rPr>
      </w:pPr>
      <w:r>
        <w:rPr>
          <w:rFonts w:ascii="Times New Roman" w:cs="Times New Roman" w:eastAsia="Times New Roman" w:hAnsi="Times New Roman"/>
          <w:sz w:val="15"/>
          <w:szCs w:val="15"/>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2024 Compared to Six Months Ended June 30, 2023</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 Total Revenues for the six months</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820" w:type="dxa"/>
            <w:vAlign w:val="bottom"/>
            <w:tcBorders>
              <w:bottom w:val="single" w:sz="8" w:color="auto"/>
            </w:tcBorders>
            <w:gridSpan w:val="3"/>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20" w:type="dxa"/>
            <w:vAlign w:val="bottom"/>
            <w:gridSpan w:val="2"/>
            <w:vMerge w:val="continue"/>
          </w:tcPr>
          <w:p>
            <w:pPr>
              <w:spacing w:after="0"/>
              <w:rPr>
                <w:sz w:val="4"/>
                <w:szCs w:val="4"/>
                <w:color w:val="auto"/>
              </w:rPr>
            </w:pPr>
          </w:p>
        </w:tc>
        <w:tc>
          <w:tcPr>
            <w:tcW w:w="13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31.6 %</w:t>
            </w:r>
          </w:p>
        </w:tc>
        <w:tc>
          <w:tcPr>
            <w:tcW w:w="0" w:type="dxa"/>
            <w:vAlign w:val="bottom"/>
          </w:tcPr>
          <w:p>
            <w:pPr>
              <w:spacing w:after="0"/>
              <w:rPr>
                <w:sz w:val="1"/>
                <w:szCs w:val="1"/>
                <w:color w:val="auto"/>
              </w:rPr>
            </w:pPr>
          </w:p>
        </w:tc>
      </w:tr>
      <w:tr>
        <w:trPr>
          <w:trHeight w:val="219"/>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Healthcare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Emerging Business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Analytics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384.5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 net</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884.9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Revenues for the six months ended June 30, 2024 were up by $79.3 million, or 9.8%, compared to the six months ended June 30, 2023, driven primarily by revenue growth from our new and existing clients in the Insurance, Emerging Business and Analytics reportable segments.</w:t>
      </w:r>
    </w:p>
    <w:p>
      <w:pPr>
        <w:spacing w:after="0" w:line="177"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Revenue growth in Insurance of $40.0 million was primarily driven by expansion of business from our new and existing clients of $40.5 million. This was partially offset by a loss of $0.5 million, mainly attributable to the depreciation of the Indian rupee and the Australian dollar against the U.S. dollar during the six months ended June 30, 2024, compared to the six months ended June 30, 2023.</w:t>
      </w:r>
    </w:p>
    <w:p>
      <w:pPr>
        <w:spacing w:after="0" w:line="204"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Revenue growth in Healthcare of $0.5 million was primarily driven by expansion of business from our existing clients of $2.5 million, partially offset by lower revenues associated with the ramp-down of certain existing clients of $2.0 million during the six months ended June 30, 2024, compared to the six months ended June 30, 2023.</w:t>
      </w:r>
    </w:p>
    <w:p>
      <w:pPr>
        <w:spacing w:after="0" w:line="178" w:lineRule="exact"/>
        <w:rPr>
          <w:sz w:val="20"/>
          <w:szCs w:val="20"/>
          <w:color w:val="auto"/>
        </w:rPr>
      </w:pPr>
    </w:p>
    <w:p>
      <w:pPr>
        <w:jc w:val="both"/>
        <w:ind w:firstLine="387"/>
        <w:spacing w:after="0" w:line="239" w:lineRule="auto"/>
        <w:rPr>
          <w:sz w:val="20"/>
          <w:szCs w:val="20"/>
          <w:color w:val="auto"/>
        </w:rPr>
      </w:pPr>
      <w:r>
        <w:rPr>
          <w:rFonts w:ascii="Times New Roman" w:cs="Times New Roman" w:eastAsia="Times New Roman" w:hAnsi="Times New Roman"/>
          <w:sz w:val="17"/>
          <w:szCs w:val="17"/>
          <w:color w:val="auto"/>
        </w:rPr>
        <w:t>Revenue growth in Emerging Business of $18.3 million was primarily driven by expansion of business from our new and existing clients of $18.0 million and an increase in revenues of $0.3 million that was mainly attributable to the appreciation of the U.K. pound sterling against the U.S. dollar during the six months ended June 30, 2024, compared to the six months ended June 30, 2023.</w:t>
      </w:r>
    </w:p>
    <w:p>
      <w:pPr>
        <w:spacing w:after="0" w:line="202" w:lineRule="exact"/>
        <w:rPr>
          <w:sz w:val="20"/>
          <w:szCs w:val="20"/>
          <w:color w:val="auto"/>
        </w:rPr>
      </w:pPr>
    </w:p>
    <w:p>
      <w:pPr>
        <w:jc w:val="both"/>
        <w:ind w:firstLine="387"/>
        <w:spacing w:after="0" w:line="301" w:lineRule="auto"/>
        <w:rPr>
          <w:sz w:val="20"/>
          <w:szCs w:val="20"/>
          <w:color w:val="auto"/>
        </w:rPr>
      </w:pPr>
      <w:r>
        <w:rPr>
          <w:rFonts w:ascii="Times New Roman" w:cs="Times New Roman" w:eastAsia="Times New Roman" w:hAnsi="Times New Roman"/>
          <w:sz w:val="17"/>
          <w:szCs w:val="17"/>
          <w:color w:val="auto"/>
        </w:rPr>
        <w:t>Revenue growth in Analytics of $20.5 million was primarily driven by higher volumes in our annuity and project-based engagements from our new and existing clients of $20.1 million and an increase in revenues of $0.4 million that was mainly attributable to the appreciation of the U.K. pound sterling against the U.S. dollar during the six months ended June 30, 2024, compared to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bottom w:val="single" w:sz="8" w:color="auto"/>
            </w:tcBorders>
            <w:gridSpan w:val="4"/>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
        </w:trPr>
        <w:tc>
          <w:tcPr>
            <w:tcW w:w="2520" w:type="dxa"/>
            <w:vAlign w:val="bottom"/>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2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13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5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2060" w:type="dxa"/>
            <w:vAlign w:val="bottom"/>
            <w:tcBorders>
              <w:top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187.8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245.5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504.7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7"/>
          <w:szCs w:val="17"/>
          <w:color w:val="auto"/>
        </w:rPr>
        <w:t>Cost of revenues for the six months ended June 30, 2024 increased by $50.8 million, or 10.1%, compared to the six months ended June 30, 2023. The increase in cost of revenues was primarily due to increases in employee-related costs including restructuring costs and technology costs, partially offset by foreign exchange gain, net of hedging. Our gross margin for the six months ended June 30, 2024 was 37.2% compared to 37.4% for the six months ended June 30, 2023, a decrease of 20 bps primarily driven by the impact of restructuring costs of 30 bps, partially offset by higher revenues and operational efficiencies during the six months ended June 30, 2024, compared to the six months ended June 30, 2023.</w:t>
      </w:r>
    </w:p>
    <w:p>
      <w:pPr>
        <w:spacing w:after="0" w:line="188"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The increase in cost of revenues in Insurance of $21.2 million for the six months ended June 30, 2024 was primarily due to increases in employee-related costs of $19.5 million on account of higher headcount, restructuring costs and wage inflation, higher technology costs of $2.5 million on account of increased subscription to cloud-based software licenses and use of the hybrid working model and higher other operating costs of $2.6 million, partially offset by foreign exchange gain, net of hedging of $3.4 million. Gross margin in Insurance increased by 170 bps during the six months ended June 30, 2024, compared to the six months ended June 30, 2023, primarily due to higher revenues and operational efficiencies during the six months ended June 30, 2024, compared to the six months ended June 30, 2023.</w:t>
      </w:r>
    </w:p>
    <w:p>
      <w:pPr>
        <w:spacing w:after="0" w:line="399" w:lineRule="exact"/>
        <w:rPr>
          <w:sz w:val="20"/>
          <w:szCs w:val="20"/>
          <w:color w:val="auto"/>
        </w:rPr>
      </w:pPr>
    </w:p>
    <w:p>
      <w:pPr>
        <w:jc w:val="both"/>
        <w:ind w:firstLine="387"/>
        <w:spacing w:after="0" w:line="245" w:lineRule="auto"/>
        <w:rPr>
          <w:sz w:val="20"/>
          <w:szCs w:val="20"/>
          <w:color w:val="auto"/>
        </w:rPr>
      </w:pPr>
      <w:r>
        <w:rPr>
          <w:rFonts w:ascii="Times New Roman" w:cs="Times New Roman" w:eastAsia="Times New Roman" w:hAnsi="Times New Roman"/>
          <w:sz w:val="17"/>
          <w:szCs w:val="17"/>
          <w:color w:val="auto"/>
        </w:rPr>
        <w:t>The decrease in cost of revenues in Healthcare of $0.3 million for the six months ended June 30, 2024 was primarily due to foreign exchange gain, net of hedging of $0.8 million, lower facilities costs of $0.6 million resulting from optimization of office space and lower other operating costs of $0.3 million, partially offset by increases in employee-related costs of $1.4 million on account of higher headcount and wage inflation. Gross margin in Healthcare increased by 100 bps during the six months ended June 30, 2024, compared to the six months ended June 30, 2023, primarily due to higher revenues and operational efficiencies during the six months ended June 30, 2024, compared to the six months ended June 30, 2023.</w:t>
      </w:r>
    </w:p>
    <w:p>
      <w:pPr>
        <w:spacing w:after="0" w:line="188"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The increase in cost of revenues in Emerging Business of $12.3 million for the six months ended June 30, 2024 was primarily due to increases in employee-related costs of $12.7 million on account of higher headcount, restructuring costs and wage inflation, higher technology costs of $1.1 million on account of increased subscription to cloud-based software licenses and use of the hybrid working model and higher other operating costs of $0.5 million, partially offset by foreign exchange gain, net of hedging of $2.0 million. Gross margin in Emerging Business decreased by 140 bps during the six months ended June 30, 2024, compared to the six months ended June 30, 2023, primarily due to investment in ramp-ups in certain new and existing clients during the six months ended June 30, 2024, compared to the six months ended June 30, 2023.</w:t>
      </w:r>
    </w:p>
    <w:p>
      <w:pPr>
        <w:spacing w:after="0" w:line="200"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The increase in cost of revenues in Analytics of $17.6 million for the six months ended June 30, 2024 was primarily due to increases in employee-related costs of $16.2 million on account of higher headcount, restructuring costs and wage inflation and higher technology costs of $3.7 million on account of increased subscription to cloud-based software licenses and use of the hybrid working model, partially offset by lower other operating costs of $1.6 million and foreign exchange gain, net of hedging of $0.7 million. Gross margin in Analytics decreased by 130 bps during the six months ended June 30, 2024, compared to the six months ended June 30, 2023, primarily due to the impact of restructuring costs of 60 bps and increases in employee-related costs, partially offset by higher revenues and operational efficiencies during the six months ended June 30, 2024, compared to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23.7 %</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color w:val="auto"/>
        </w:rPr>
        <w:t>The increase in SG&amp;A expenses of $31.1 million was primarily due to higher employee-related costs of $16.6 million on account of higher headcount and wage inflation, higher investments in digital and generative AI capabilities of $8.3 million, higher sales and marketing spend of $1.9 million, restructuring costs, litigation settlement costs and associated legal fees of $3.1 million and higher other operating costs of $2.1 million. This was partially offset by foreign exchange gain, net of hedging of $0.9 million, during the six months ended June 30, 2024, compared to the six months ended June 30, 2023.</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3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56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2360" w:type="dxa"/>
            <w:vAlign w:val="bottom"/>
            <w:tcBorders>
              <w:top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w w:val="93"/>
              </w:rPr>
              <w:t>0.8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8"/>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center"/>
              <w:ind w:left="618"/>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The increase in depreciation expense of $0.8 million was primarily due to investments in digital capabilities, computers and networking equipment during the six months ended June 30, 2024, compared to the six months ended June 30, 2023. The decrease in intangibles amortization expense of $2.1 million during the six months ended June 30, 2024, compared to the six months ended June 30, 2023 was primarily due to end of useful lives for certain intangible assets.</w:t>
      </w:r>
    </w:p>
    <w:p>
      <w:pPr>
        <w:spacing w:after="0" w:line="198"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decreased by $1.3 million, or 1.0%, from $124.3 million for the six months ended June 30, 2023 to $123.0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six months ended June 30, 2024, primarily due to higher SG&amp;A expenses, partially offset by higher revenues during the six months ended June 30, 2024.</w:t>
      </w:r>
    </w:p>
    <w:p>
      <w:pPr>
        <w:spacing w:after="0" w:line="184"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Philippine peso, the U.K. pound sterling and the South African rand during the six months ended June 30, 2024, compared to the six months ended June 30, 2023. The average exchange rate of the U.S. dollar against the Indian rupee increased from 82.22 during the six months ended June 30, 2023 to 83.27 during the six months ended June 30, 2024. The average exchange rate of the U.S. dollar against the Philippine peso increased from 55.18 during the six months ended June 30, 2023 to 57.27 during the six months ended June 30, 2024. The average exchange rate of the U.K. pound sterling against the U.S. dollar increased from 1.24 during the six months ended June 30, 2023 to 1.26 during the six months ended June 30, 2024. The average exchange rate of the U.S. dollar against the South African rand increased from 18.46 during the six months ended June 30, 2023 to 18.74 during the six months ended June 30, 2024.</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recorded a foreign exchange gain, net of $0.4 million, each, for the six months ended June 30, 2023 and 2024.</w:t>
      </w:r>
    </w:p>
    <w:p>
      <w:pPr>
        <w:spacing w:after="0" w:line="237" w:lineRule="exact"/>
        <w:rPr>
          <w:sz w:val="20"/>
          <w:szCs w:val="20"/>
          <w:color w:val="auto"/>
        </w:rPr>
      </w:pPr>
    </w:p>
    <w:p>
      <w:pPr>
        <w:jc w:val="both"/>
        <w:ind w:firstLine="395"/>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increased from $6.6 million for the six months ended June 30, 2023 to $8.6 million for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primarily due to a higher average outstanding balance under our revolving credit facility and a higher effective interest rate of 6.6% during the six months ended June 30, 2024, compared to 6.1%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3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15"/>
                <w:szCs w:val="15"/>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mark-to-market on investments</w:t>
            </w:r>
          </w:p>
        </w:tc>
        <w:tc>
          <w:tcPr>
            <w:tcW w:w="960" w:type="dxa"/>
            <w:vAlign w:val="bottom"/>
            <w:tcBorders>
              <w:top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center"/>
              <w:ind w:left="397"/>
              <w:spacing w:after="0"/>
              <w:rPr>
                <w:sz w:val="20"/>
                <w:szCs w:val="20"/>
                <w:color w:val="auto"/>
              </w:rPr>
            </w:pPr>
            <w:r>
              <w:rPr>
                <w:rFonts w:ascii="Times New Roman" w:cs="Times New Roman" w:eastAsia="Times New Roman" w:hAnsi="Times New Roman"/>
                <w:sz w:val="17"/>
                <w:szCs w:val="17"/>
                <w:color w:val="auto"/>
                <w:w w:val="98"/>
              </w:rPr>
              <w:t>(0.5)</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960" w:type="dxa"/>
            <w:vAlign w:val="bottom"/>
          </w:tcPr>
          <w:p>
            <w:pPr>
              <w:spacing w:after="0"/>
              <w:rPr>
                <w:sz w:val="19"/>
                <w:szCs w:val="19"/>
                <w:color w:val="auto"/>
              </w:rPr>
            </w:pPr>
          </w:p>
        </w:tc>
        <w:tc>
          <w:tcPr>
            <w:tcW w:w="46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38.1 %</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changes of contingent consideration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17"/>
          <w:szCs w:val="17"/>
          <w:color w:val="auto"/>
        </w:rPr>
        <w:t>Other income, net increased by $1.6 million, from $5.8 million for the six months ended June 30, 2023 to $7.4 million for the six months ended June 30, 2024. The increase is primarily due to higher yield on our investments of $0.8 million, a decrease of $0.6 million in contingent consideration liability related to our June 2022 acquisition of Inbound Media Group, LLC as a result of fair value adjustment and lower other expenses of $0.2 million during the six months ended June 30, 2024, compared to the six months ended June 30, 2023.</w:t>
      </w:r>
    </w:p>
    <w:p>
      <w:pPr>
        <w:spacing w:after="0" w:line="192"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increased from 19.1% during the six months ended June 30, 2023 to 22.6% during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We recorded income tax expense of $27.6 million and $23.6 million for the six months ended June 30, 2024 and 2023, respectively. The increase in income tax expense was primarily as a result of lower excess tax benefits related to stock-based compensation during the six months ended June 30, 2024, compared to the six months ended June 30, 2023, and an increase in non-deductible expenses, partially offset by lower profit during the six months ended June 30, 2024, compared to the six months ended June 30, 2023.</w:t>
      </w:r>
    </w:p>
    <w:p>
      <w:pPr>
        <w:spacing w:after="0" w:line="18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decreased from $100.4 million for the six months ended June 30, 2023 to $94.6 million for the six months ended June 30,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higher income tax expense of $4.0 million, higher interest expense of $2.0 million and a decrease in income from operations of $1.3 million, partially offset by higher other income, net of $1.6 million.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680" w:type="dxa"/>
            <w:vAlign w:val="bottom"/>
            <w:gridSpan w:val="5"/>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cash, cash equivalents and restricted cash</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for)/provided by investing activities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cash, cash equivalents and restricted cash</w:t>
            </w:r>
          </w:p>
        </w:tc>
        <w:tc>
          <w:tcPr>
            <w:tcW w:w="8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17"/>
          <w:szCs w:val="17"/>
          <w:color w:val="auto"/>
        </w:rPr>
        <w:t>As of June 30, 2024 and 2023, we had $276.1 million and $250.0 million, respectively, in cash, cash equivalents and short-term investments, of which $241.3 million and $224.0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the six months ended June 30, 2024, one of our subsidiaries in India repatriated $18.3 million (net of $1.0 million withholding taxes) to the United States.</w:t>
      </w:r>
    </w:p>
    <w:p>
      <w:pPr>
        <w:spacing w:after="0" w:line="198" w:lineRule="exact"/>
        <w:rPr>
          <w:sz w:val="20"/>
          <w:szCs w:val="20"/>
          <w:color w:val="auto"/>
        </w:rPr>
      </w:pPr>
    </w:p>
    <w:p>
      <w:pPr>
        <w:jc w:val="both"/>
        <w:ind w:firstLine="387"/>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provided by operating activities were $53.0 million during the six months ended June 30, 2024, compared to $63.6 million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June 30, 2023, reflecting lower cash earnings and higher working capital needs. The major drivers contributing to the decrease of $10.6 million year-over-year included the following:</w:t>
      </w:r>
    </w:p>
    <w:p>
      <w:pPr>
        <w:spacing w:after="0" w:line="1" w:lineRule="exact"/>
        <w:rPr>
          <w:sz w:val="20"/>
          <w:szCs w:val="20"/>
          <w:color w:val="auto"/>
        </w:rPr>
      </w:pPr>
    </w:p>
    <w:p>
      <w:pPr>
        <w:jc w:val="both"/>
        <w:ind w:left="620" w:hanging="307"/>
        <w:spacing w:after="0" w:line="241"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cash earnings including adjustments for non-cash and other items contributed lower cash flow of $9.3 million during the six months ended June 30, 2024 compared to the six months ended June 30, 2023. These adjustments include fair value mark-to-market of investments, unrealized foreign currency exchange (gain)/loss, net, stock-based compensation expense, depreciation and amortization of long-lived assets and intangibles acquired in business combination, among others.</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46"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accounts receivable, including advance billings, contributed higher cash flow of $6.1 million in the six months ended June 30, 2024, compared to the six months ended June 30, 2023. Collections in accounts receivable, including advance billings, was driven by revenue growth during the six months ended June 30, 2024. Our days sales outstanding remained flat at 63 days as of June 30, 2024 and 2023.</w:t>
      </w:r>
    </w:p>
    <w:p>
      <w:pPr>
        <w:spacing w:after="0" w:line="198"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contingent consideration related to our December 2021 acquisition of Clairvoyant AI, Inc. (“Clairvoyant”) contributed to a higher cash payout of $11.0 million for the six months ended June 30, 2024, compared to the six months ended June 30, 2023.</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income tax payments, net of refunds, contributed lower cash payouts of $3.7 million.</w:t>
      </w:r>
    </w:p>
    <w:p>
      <w:pPr>
        <w:spacing w:after="0" w:line="226" w:lineRule="exact"/>
        <w:rPr>
          <w:sz w:val="20"/>
          <w:szCs w:val="20"/>
          <w:color w:val="auto"/>
        </w:rPr>
      </w:pPr>
    </w:p>
    <w:p>
      <w:pPr>
        <w:jc w:val="both"/>
        <w:ind w:firstLine="387"/>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used for investing activities were $43.2 million for the six months ended June 30, 2024, compared to cash provided by investing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of $11.8 million for the six months ended June 30, 2023. The decrease of $55.0 million was primarily due to net purchase of investments $20.0 million during six months ended June 30, 2024, compared to net redemption of investments $37.4 million during the six months ended June 30, 2023. This was partially offset by lower cash paid for purchase of long-lived assets, including investments in infrastructure, technology assets, software and product developments of $2.8 million during the six months ended June 30, 2024, compared to the six months ended June 30, 2023.</w:t>
      </w:r>
    </w:p>
    <w:p>
      <w:pPr>
        <w:spacing w:after="0" w:line="193"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used for financing activities were $27.3 million during the six months ended June 30, 2024, compared to $101.8 million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June 30, 2023. The decrease of $74.5 million was primarily due to net proceeds from borrowings under our revolving credit facility of $135.0 million during the six months ended June 30, 2024, compared to net repayment of our borrowings of $30.0 million during the six months ended June 30, 2023. This was partially offset by higher purchases of treasury stock of $90.0 million under our share repurchase programs for the six months ended June 30, 2024, compared to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building new digital capabilities, including generative AI and purchase telecommunications equipment and computer hardware and software in connection with managing client operations.</w:t>
      </w:r>
    </w:p>
    <w:p>
      <w:pPr>
        <w:spacing w:after="0" w:line="185"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We incurred $23.3 million of capital expenditures during the six months ended June 30, 2024. We expect to incur total capital expenditures of between $50.0 million to $55.0 million in fiscal 2024, primarily to meet our growth requirements, including additions to our facilities as well as investments in technology applications, product development, digital technology, advanced automation, robotics and infrastructure.</w:t>
      </w:r>
    </w:p>
    <w:p>
      <w:pPr>
        <w:spacing w:after="0" w:line="185"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7"/>
          <w:szCs w:val="17"/>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72" w:lineRule="exact"/>
        <w:rPr>
          <w:sz w:val="20"/>
          <w:szCs w:val="20"/>
          <w:color w:val="auto"/>
        </w:rPr>
      </w:pPr>
    </w:p>
    <w:p>
      <w:pPr>
        <w:jc w:val="both"/>
        <w:ind w:firstLine="387"/>
        <w:spacing w:after="0" w:line="244" w:lineRule="auto"/>
        <w:rPr>
          <w:sz w:val="20"/>
          <w:szCs w:val="20"/>
          <w:color w:val="auto"/>
        </w:rPr>
      </w:pPr>
      <w:r>
        <w:rPr>
          <w:rFonts w:ascii="Times New Roman" w:cs="Times New Roman" w:eastAsia="Times New Roman" w:hAnsi="Times New Roman"/>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or significant stock repurchases, including any shares purchased under an accelerated stock repurchase program, we may need to obtain additional financing.</w:t>
      </w:r>
    </w:p>
    <w:p>
      <w:pPr>
        <w:spacing w:after="0" w:line="200" w:lineRule="exact"/>
        <w:rPr>
          <w:sz w:val="20"/>
          <w:szCs w:val="20"/>
          <w:color w:val="auto"/>
        </w:rPr>
      </w:pPr>
    </w:p>
    <w:p>
      <w:pPr>
        <w:jc w:val="both"/>
        <w:ind w:firstLine="387"/>
        <w:spacing w:after="0" w:line="253" w:lineRule="auto"/>
        <w:rPr>
          <w:sz w:val="20"/>
          <w:szCs w:val="20"/>
          <w:color w:val="auto"/>
        </w:rPr>
      </w:pPr>
      <w:r>
        <w:rPr>
          <w:rFonts w:ascii="Times New Roman" w:cs="Times New Roman" w:eastAsia="Times New Roman" w:hAnsi="Times New Roman"/>
          <w:sz w:val="17"/>
          <w:szCs w:val="17"/>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21 - Leases and Note 25 - Commitments and Contingencies to our unaudited consolidated financial statements under Part I, Item 1, “Financial Statements” for further information on material cash requirements from known contractual and other obligations.</w:t>
      </w:r>
    </w:p>
    <w:p>
      <w:pPr>
        <w:spacing w:after="0" w:line="194"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In the ordinary course of business, we provide standby letters of credit to third parties primarily for facility leases. As of June 30, 2024 and December 31, 2023,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Arrangements (Debt Facility)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debt position:</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30,2024</w:t>
            </w:r>
          </w:p>
        </w:tc>
        <w:tc>
          <w:tcPr>
            <w:tcW w:w="180" w:type="dxa"/>
            <w:vAlign w:val="bottom"/>
          </w:tcPr>
          <w:p>
            <w:pPr>
              <w:spacing w:after="0"/>
              <w:rPr>
                <w:sz w:val="15"/>
                <w:szCs w:val="15"/>
                <w:color w:val="auto"/>
              </w:rPr>
            </w:pPr>
          </w:p>
        </w:tc>
        <w:tc>
          <w:tcPr>
            <w:tcW w:w="180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4"/>
          </w:tcPr>
          <w:p>
            <w:pPr>
              <w:spacing w:after="0" w:line="20" w:lineRule="exact"/>
              <w:rPr>
                <w:sz w:val="1"/>
                <w:szCs w:val="1"/>
                <w:color w:val="auto"/>
              </w:rPr>
            </w:pPr>
          </w:p>
        </w:tc>
      </w:tr>
      <w:tr>
        <w:trPr>
          <w:trHeight w:val="181"/>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4"/>
          </w:tcPr>
          <w:p>
            <w:pPr>
              <w:jc w:val="right"/>
              <w:ind w:right="13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186"/>
        </w:trPr>
        <w:tc>
          <w:tcPr>
            <w:tcW w:w="4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238"/>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long-term borrowings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52"/>
        </w:trPr>
        <w:tc>
          <w:tcPr>
            <w:tcW w:w="4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borrowings</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260.0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r>
      <w:tr>
        <w:trPr>
          <w:trHeight w:val="212"/>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borrowings</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335.0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0"/>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520"/>
        <w:spacing w:after="0" w:line="411" w:lineRule="auto"/>
        <w:rPr>
          <w:sz w:val="20"/>
          <w:szCs w:val="20"/>
          <w:color w:val="auto"/>
        </w:rPr>
      </w:pPr>
      <w:r>
        <w:rPr>
          <w:rFonts w:ascii="Times New Roman" w:cs="Times New Roman" w:eastAsia="Times New Roman" w:hAnsi="Times New Roman"/>
          <w:sz w:val="17"/>
          <w:szCs w:val="17"/>
          <w:color w:val="auto"/>
        </w:rPr>
        <w:t xml:space="preserve">As of June 30, 2024 and December 31, 2023, we were in compliance with all financial and non-financial covenants under the 2022 Credit Agreement. </w:t>
      </w:r>
      <w:r>
        <w:rPr>
          <w:rFonts w:ascii="Times New Roman" w:cs="Times New Roman" w:eastAsia="Times New Roman" w:hAnsi="Times New Roman"/>
          <w:sz w:val="17"/>
          <w:szCs w:val="17"/>
          <w:b w:val="1"/>
          <w:bCs w:val="1"/>
          <w:color w:val="auto"/>
        </w:rPr>
        <w:t>Recent Accounting Pronouncements</w:t>
      </w:r>
    </w:p>
    <w:p>
      <w:pPr>
        <w:spacing w:after="0" w:line="1" w:lineRule="exact"/>
        <w:rPr>
          <w:sz w:val="20"/>
          <w:szCs w:val="20"/>
          <w:color w:val="auto"/>
        </w:rPr>
      </w:pPr>
    </w:p>
    <w:p>
      <w:pPr>
        <w:ind w:firstLine="425"/>
        <w:spacing w:after="0" w:line="287" w:lineRule="auto"/>
        <w:rPr>
          <w:sz w:val="20"/>
          <w:szCs w:val="20"/>
          <w:color w:val="auto"/>
        </w:rPr>
      </w:pPr>
      <w:r>
        <w:rPr>
          <w:rFonts w:ascii="Times New Roman" w:cs="Times New Roman" w:eastAsia="Times New Roman" w:hAnsi="Times New Roman"/>
          <w:sz w:val="17"/>
          <w:szCs w:val="17"/>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34" w:lineRule="exact"/>
        <w:rPr>
          <w:sz w:val="20"/>
          <w:szCs w:val="20"/>
          <w:color w:val="auto"/>
        </w:rPr>
      </w:pPr>
    </w:p>
    <w:p>
      <w:pPr>
        <w:jc w:val="both"/>
        <w:ind w:firstLine="425"/>
        <w:spacing w:after="0" w:line="254" w:lineRule="auto"/>
        <w:rPr>
          <w:sz w:val="20"/>
          <w:szCs w:val="20"/>
          <w:color w:val="auto"/>
        </w:rPr>
      </w:pPr>
      <w:r>
        <w:rPr>
          <w:rFonts w:ascii="Times New Roman" w:cs="Times New Roman" w:eastAsia="Times New Roman" w:hAnsi="Times New Roman"/>
          <w:sz w:val="17"/>
          <w:szCs w:val="17"/>
          <w:color w:val="auto"/>
        </w:rPr>
        <w:t>During the three months ended June 30, 2024,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2023.</w:t>
      </w: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35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2024. Based upon that evaluation, our CEO and CFO have concluded that the Company’s disclosure controls and procedures, as of June 30, 2024, were effective.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49" w:lineRule="exact"/>
        <w:rPr>
          <w:sz w:val="20"/>
          <w:szCs w:val="20"/>
          <w:color w:val="auto"/>
        </w:rPr>
      </w:pPr>
    </w:p>
    <w:p>
      <w:pPr>
        <w:jc w:val="both"/>
        <w:ind w:firstLine="387"/>
        <w:spacing w:after="0" w:line="271" w:lineRule="auto"/>
        <w:rPr>
          <w:sz w:val="20"/>
          <w:szCs w:val="20"/>
          <w:color w:val="auto"/>
        </w:rPr>
      </w:pPr>
      <w:r>
        <w:rPr>
          <w:rFonts w:ascii="Times New Roman" w:cs="Times New Roman" w:eastAsia="Times New Roman" w:hAnsi="Times New Roman"/>
          <w:sz w:val="17"/>
          <w:szCs w:val="17"/>
          <w:color w:val="auto"/>
        </w:rPr>
        <w:t>During the three months ended June 30, 2024,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3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ind w:firstLine="387"/>
        <w:spacing w:after="0" w:line="276" w:lineRule="auto"/>
        <w:rPr>
          <w:sz w:val="20"/>
          <w:szCs w:val="20"/>
          <w:color w:val="auto"/>
        </w:rPr>
      </w:pPr>
      <w:r>
        <w:rPr>
          <w:rFonts w:ascii="Times New Roman" w:cs="Times New Roman" w:eastAsia="Times New Roman" w:hAnsi="Times New Roman"/>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results of operations or cash flows. See Note 25 - Commitments and Contingencies to our unaudited consolidated financial statements under Part I, Item 1, “Financial Statements” for details regarding our tax proceedings.</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47"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color w:val="auto"/>
        </w:rPr>
        <w:t>We have disclosed under the heading “Risk Factors” in our Annual Report on Form 10-K for the fiscal year ended December 31, 2023,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During the three months ended June 30, 2024, purchases of common stock were as follows:</w:t>
      </w:r>
    </w:p>
    <w:p>
      <w:pPr>
        <w:spacing w:after="0" w:line="136" w:lineRule="exact"/>
        <w:rPr>
          <w:sz w:val="20"/>
          <w:szCs w:val="20"/>
          <w:color w:val="auto"/>
        </w:rPr>
      </w:pPr>
    </w:p>
    <w:tbl>
      <w:tblPr>
        <w:tblLayout w:type="fixed"/>
        <w:tblInd w:w="430" w:type="dxa"/>
        <w:tblCellMar>
          <w:top w:w="0" w:type="dxa"/>
          <w:left w:w="0" w:type="dxa"/>
          <w:bottom w:w="0" w:type="dxa"/>
          <w:right w:w="0" w:type="dxa"/>
        </w:tblCellMar>
      </w:tblPr>
      <w:tr>
        <w:trPr>
          <w:trHeight w:val="180"/>
        </w:trPr>
        <w:tc>
          <w:tcPr>
            <w:tcW w:w="2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Borders>
              <w:right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from Employees in connection with</w:t>
            </w:r>
          </w:p>
        </w:tc>
        <w:tc>
          <w:tcPr>
            <w:tcW w:w="10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Shares Purchased as Part of Publicly</w:t>
            </w:r>
          </w:p>
        </w:tc>
        <w:tc>
          <w:tcPr>
            <w:tcW w:w="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satisfaction of Withholding Tax</w:t>
            </w:r>
          </w:p>
        </w:tc>
        <w:tc>
          <w:tcPr>
            <w:tcW w:w="100" w:type="dxa"/>
            <w:vAlign w:val="bottom"/>
            <w:tcBorders>
              <w:right w:val="single" w:sz="8" w:color="auto"/>
            </w:tcBorders>
          </w:tcPr>
          <w:p>
            <w:pPr>
              <w:spacing w:after="0"/>
              <w:rPr>
                <w:sz w:val="13"/>
                <w:szCs w:val="13"/>
                <w:color w:val="auto"/>
              </w:rPr>
            </w:pPr>
          </w:p>
        </w:tc>
        <w:tc>
          <w:tcPr>
            <w:tcW w:w="2680" w:type="dxa"/>
            <w:vAlign w:val="bottom"/>
            <w:tcBorders>
              <w:right w:val="single" w:sz="8" w:color="auto"/>
            </w:tcBorders>
            <w:gridSpan w:val="4"/>
          </w:tcPr>
          <w:p>
            <w:pPr>
              <w:jc w:val="right"/>
              <w:ind w:right="537"/>
              <w:spacing w:after="0" w:line="155" w:lineRule="exact"/>
              <w:rPr>
                <w:sz w:val="20"/>
                <w:szCs w:val="20"/>
                <w:color w:val="auto"/>
              </w:rPr>
            </w:pPr>
            <w:r>
              <w:rPr>
                <w:rFonts w:ascii="Times New Roman" w:cs="Times New Roman" w:eastAsia="Times New Roman" w:hAnsi="Times New Roman"/>
                <w:sz w:val="15"/>
                <w:szCs w:val="15"/>
                <w:b w:val="1"/>
                <w:bCs w:val="1"/>
                <w:color w:val="auto"/>
              </w:rPr>
              <w:t>Announced Programs</w:t>
            </w:r>
          </w:p>
        </w:tc>
        <w:tc>
          <w:tcPr>
            <w:tcW w:w="1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of Shares That</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Obligations</w:t>
            </w:r>
          </w:p>
        </w:tc>
        <w:tc>
          <w:tcPr>
            <w:tcW w:w="10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right w:val="single" w:sz="8" w:color="auto"/>
            </w:tcBorders>
          </w:tcPr>
          <w:p>
            <w:pPr>
              <w:spacing w:after="0"/>
              <w:rPr>
                <w:sz w:val="13"/>
                <w:szCs w:val="13"/>
                <w:color w:val="auto"/>
              </w:rPr>
            </w:pPr>
          </w:p>
        </w:tc>
        <w:tc>
          <w:tcPr>
            <w:tcW w:w="15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vMerge w:val="restart"/>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Purchased</w:t>
            </w: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109"/>
        </w:trPr>
        <w:tc>
          <w:tcPr>
            <w:tcW w:w="2240" w:type="dxa"/>
            <w:vAlign w:val="bottom"/>
            <w:tcBorders>
              <w:left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0" w:type="dxa"/>
            <w:vAlign w:val="bottom"/>
          </w:tcPr>
          <w:p>
            <w:pPr>
              <w:spacing w:after="0"/>
              <w:rPr>
                <w:sz w:val="1"/>
                <w:szCs w:val="1"/>
                <w:color w:val="auto"/>
              </w:rPr>
            </w:pPr>
          </w:p>
        </w:tc>
      </w:tr>
      <w:tr>
        <w:trPr>
          <w:trHeight w:val="212"/>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100" w:type="dxa"/>
            <w:vAlign w:val="bottom"/>
            <w:tcBorders>
              <w:bottom w:val="single" w:sz="8" w:color="CCEEFF"/>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100" w:type="dxa"/>
            <w:vAlign w:val="bottom"/>
            <w:tcBorders>
              <w:bottom w:val="single" w:sz="8" w:color="CCEEFF"/>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tcBorders>
              <w:left w:val="single" w:sz="8" w:color="CCEEFF"/>
              <w:right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April 1, 2024 through April 30,</w:t>
            </w:r>
          </w:p>
        </w:tc>
        <w:tc>
          <w:tcPr>
            <w:tcW w:w="100" w:type="dxa"/>
            <w:vAlign w:val="bottom"/>
            <w:tcBorders>
              <w:right w:val="single" w:sz="8" w:color="CCEEFF"/>
            </w:tcBorders>
            <w:shd w:val="clear" w:color="auto" w:fill="CCEEFF"/>
          </w:tcPr>
          <w:p>
            <w:pPr>
              <w:spacing w:after="0"/>
              <w:rPr>
                <w:sz w:val="14"/>
                <w:szCs w:val="14"/>
                <w:color w:val="auto"/>
              </w:rPr>
            </w:pPr>
          </w:p>
        </w:tc>
        <w:tc>
          <w:tcPr>
            <w:tcW w:w="1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right w:val="single" w:sz="8" w:color="CCEEFF"/>
            </w:tcBorders>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right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375,000,000</w:t>
            </w:r>
          </w:p>
        </w:tc>
        <w:tc>
          <w:tcPr>
            <w:tcW w:w="0" w:type="dxa"/>
            <w:vAlign w:val="bottom"/>
          </w:tcPr>
          <w:p>
            <w:pPr>
              <w:spacing w:after="0"/>
              <w:rPr>
                <w:sz w:val="1"/>
                <w:szCs w:val="1"/>
                <w:color w:val="auto"/>
              </w:rPr>
            </w:pPr>
          </w:p>
        </w:tc>
      </w:tr>
      <w:tr>
        <w:trPr>
          <w:trHeight w:val="168"/>
        </w:trPr>
        <w:tc>
          <w:tcPr>
            <w:tcW w:w="23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May 1, 2024 through May 31,</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375,000,000</w:t>
            </w:r>
          </w:p>
        </w:tc>
        <w:tc>
          <w:tcPr>
            <w:tcW w:w="0" w:type="dxa"/>
            <w:vAlign w:val="bottom"/>
          </w:tcPr>
          <w:p>
            <w:pPr>
              <w:spacing w:after="0"/>
              <w:rPr>
                <w:sz w:val="1"/>
                <w:szCs w:val="1"/>
                <w:color w:val="auto"/>
              </w:rPr>
            </w:pPr>
          </w:p>
        </w:tc>
      </w:tr>
      <w:tr>
        <w:trPr>
          <w:trHeight w:val="168"/>
        </w:trPr>
        <w:tc>
          <w:tcPr>
            <w:tcW w:w="2340" w:type="dxa"/>
            <w:vAlign w:val="bottom"/>
            <w:tcBorders>
              <w:left w:val="single" w:sz="8" w:color="CCEEFF"/>
              <w:right w:val="single" w:sz="8" w:color="CCEEFF"/>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June 1, 2024 through June 30,</w:t>
            </w:r>
          </w:p>
        </w:tc>
        <w:tc>
          <w:tcPr>
            <w:tcW w:w="1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right w:val="single" w:sz="8" w:color="CCEEFF"/>
            </w:tcBorders>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right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00" w:type="dxa"/>
            <w:vAlign w:val="bottom"/>
            <w:tcBorders>
              <w:right w:val="single" w:sz="8" w:color="CCEEFF"/>
            </w:tcBorders>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366,176,899</w:t>
            </w:r>
          </w:p>
        </w:tc>
        <w:tc>
          <w:tcPr>
            <w:tcW w:w="0" w:type="dxa"/>
            <w:vAlign w:val="bottom"/>
          </w:tcPr>
          <w:p>
            <w:pPr>
              <w:spacing w:after="0"/>
              <w:rPr>
                <w:sz w:val="1"/>
                <w:szCs w:val="1"/>
                <w:color w:val="auto"/>
              </w:rPr>
            </w:pPr>
          </w:p>
        </w:tc>
      </w:tr>
      <w:tr>
        <w:trPr>
          <w:trHeight w:val="21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297,353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87"/>
        <w:spacing w:after="0" w:line="271" w:lineRule="auto"/>
        <w:rPr>
          <w:sz w:val="20"/>
          <w:szCs w:val="20"/>
          <w:color w:val="auto"/>
        </w:rPr>
      </w:pPr>
      <w:r>
        <w:rPr>
          <w:rFonts w:ascii="Times New Roman" w:cs="Times New Roman" w:eastAsia="Times New Roman" w:hAnsi="Times New Roman"/>
          <w:sz w:val="17"/>
          <w:szCs w:val="17"/>
          <w:color w:val="auto"/>
        </w:rPr>
        <w:t>On October 5, 2021, our board of directors authorized a $300 million (excluding excise tax) common stock repurchase program beginning January 1, 2022 (the “2022 Repurchase Program”).</w:t>
      </w:r>
    </w:p>
    <w:p>
      <w:pPr>
        <w:spacing w:after="0" w:line="190" w:lineRule="exact"/>
        <w:rPr>
          <w:sz w:val="20"/>
          <w:szCs w:val="20"/>
          <w:color w:val="auto"/>
        </w:rPr>
      </w:pPr>
    </w:p>
    <w:p>
      <w:pPr>
        <w:jc w:val="both"/>
        <w:ind w:right="100" w:firstLine="387"/>
        <w:spacing w:after="0" w:line="271" w:lineRule="auto"/>
        <w:rPr>
          <w:sz w:val="20"/>
          <w:szCs w:val="20"/>
          <w:color w:val="auto"/>
        </w:rPr>
      </w:pPr>
      <w:r>
        <w:rPr>
          <w:rFonts w:ascii="Times New Roman" w:cs="Times New Roman" w:eastAsia="Times New Roman" w:hAnsi="Times New Roman"/>
          <w:sz w:val="17"/>
          <w:szCs w:val="17"/>
          <w:color w:val="auto"/>
        </w:rPr>
        <w:t>On February 26, 2024, our board of directors authorized a $500 million (excluding excise tax) common stock repurchase program beginning March 1, 2024 (the “2024 Repurchase Program”), and terminated the 2022 Repurchase Program on February 29, 2024.</w:t>
      </w:r>
    </w:p>
    <w:p>
      <w:pPr>
        <w:spacing w:after="0" w:line="177" w:lineRule="exact"/>
        <w:rPr>
          <w:sz w:val="20"/>
          <w:szCs w:val="20"/>
          <w:color w:val="auto"/>
        </w:rPr>
      </w:pPr>
    </w:p>
    <w:p>
      <w:pPr>
        <w:jc w:val="both"/>
        <w:ind w:right="100" w:firstLine="387"/>
        <w:spacing w:after="0" w:line="262" w:lineRule="auto"/>
        <w:rPr>
          <w:sz w:val="20"/>
          <w:szCs w:val="20"/>
          <w:color w:val="auto"/>
        </w:rPr>
      </w:pPr>
      <w:r>
        <w:rPr>
          <w:rFonts w:ascii="Times New Roman" w:cs="Times New Roman" w:eastAsia="Times New Roman" w:hAnsi="Times New Roman"/>
          <w:sz w:val="17"/>
          <w:szCs w:val="17"/>
          <w:color w:val="auto"/>
        </w:rPr>
        <w:t>Under our two repurchase programs, shares may be purchased by us from time to time from the open market and through private transactions, or otherwise, as determined by our management as market conditions warrant. We have structured open market purchases under our two repurchase programs to comply with Rule 10b-18 under the Exchange Act. Repurchases may be discontinued at any time by management.</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49"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being filed as part of this report or incorporated by reference as indicated therein: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7"/>
                <w:szCs w:val="17"/>
                <w:color w:val="auto"/>
              </w:rPr>
            </w:pPr>
          </w:p>
        </w:tc>
        <w:tc>
          <w:tcPr>
            <w:tcW w:w="10220" w:type="dxa"/>
            <w:vAlign w:val="bottom"/>
            <w:gridSpan w:val="11"/>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Fourth Amended and Restated Certificate of Incorporation of the Company, as in effect as of the date hereof (incorporated by reference to Exhibit</w:t>
              </w:r>
            </w:hyperlink>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of the Company’s Current Report on Form 8-K (File No. 1-33089) filed on June 25, 2024).</w:t>
              </w:r>
            </w:hyperlink>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220" w:type="dxa"/>
            <w:vAlign w:val="bottom"/>
            <w:gridSpan w:val="11"/>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Sixth Amended and Restated By-laws of the Company, as in effect as of the date hereof (incorporated by reference to Exhibit 3.2 of the</w:t>
              </w:r>
            </w:hyperlink>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2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Company’s Current Report on Form 8-K (File No. 1-33089) filed on June 21, 2023).</w:t>
              </w:r>
            </w:hyperlink>
          </w:p>
        </w:tc>
        <w:tc>
          <w:tcPr>
            <w:tcW w:w="430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2"/>
                <w:szCs w:val="22"/>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of ExlService Holdings, pursuant to Rule 13a-14(a) of the Exchange Act,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8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2"/>
                <w:szCs w:val="22"/>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of ExlService Holdings, pursuant to Rule 13a-14(a) of the Exchange Act,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86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2"/>
                <w:szCs w:val="22"/>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13a-14(b) of the Exchange Act and 18 U.S.C. Section 1350,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2"/>
                <w:szCs w:val="22"/>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13a-14(b) of the Exchange Act and 18 U.S.C. Section 1350, as adopted pursuant to</w:t>
            </w: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6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2"/>
                <w:szCs w:val="12"/>
                <w:color w:val="auto"/>
              </w:rPr>
            </w:pPr>
          </w:p>
        </w:tc>
      </w:tr>
      <w:tr>
        <w:trPr>
          <w:trHeight w:val="30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4"/>
                <w:szCs w:val="24"/>
                <w:color w:val="auto"/>
              </w:rPr>
            </w:pPr>
          </w:p>
        </w:tc>
        <w:tc>
          <w:tcPr>
            <w:tcW w:w="3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6920" w:type="dxa"/>
            <w:vAlign w:val="bottom"/>
            <w:gridSpan w:val="10"/>
          </w:tcPr>
          <w:p>
            <w:pPr>
              <w:spacing w:after="0"/>
              <w:rPr>
                <w:sz w:val="24"/>
                <w:szCs w:val="24"/>
                <w:color w:val="auto"/>
              </w:rPr>
            </w:pP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Extension Presentation Linkbase</w:t>
            </w:r>
          </w:p>
        </w:tc>
      </w:tr>
      <w:tr>
        <w:trPr>
          <w:trHeight w:val="27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3"/>
                <w:szCs w:val="23"/>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51"/>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80" w:firstLine="425"/>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 2024</w:t>
            </w:r>
          </w:p>
        </w:tc>
        <w:tc>
          <w:tcPr>
            <w:tcW w:w="800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r>
      <w:tr>
        <w:trPr>
          <w:trHeight w:val="489"/>
        </w:trPr>
        <w:tc>
          <w:tcPr>
            <w:tcW w:w="320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3"/>
                <w:szCs w:val="13"/>
                <w:color w:val="auto"/>
              </w:rPr>
              <w:t>MAURIZIO NICOLELLI</w:t>
            </w:r>
          </w:p>
        </w:tc>
      </w:tr>
      <w:tr>
        <w:trPr>
          <w:trHeight w:val="122"/>
        </w:trPr>
        <w:tc>
          <w:tcPr>
            <w:tcW w:w="32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70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48"/>
        </w:trPr>
        <w:tc>
          <w:tcPr>
            <w:tcW w:w="3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54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20"/>
          </w:cols>
          <w:pgMar w:left="320" w:top="351" w:right="3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Rohit Kapoor, certify that:</w:t>
      </w:r>
    </w:p>
    <w:p>
      <w:pPr>
        <w:spacing w:after="0" w:line="217" w:lineRule="exact"/>
        <w:rPr>
          <w:sz w:val="20"/>
          <w:szCs w:val="20"/>
          <w:color w:val="auto"/>
        </w:rPr>
      </w:pPr>
    </w:p>
    <w:p>
      <w:pPr>
        <w:ind w:left="380" w:hanging="377"/>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17"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80" w:hanging="377"/>
        <w:spacing w:after="0" w:line="270"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hanging="310"/>
        <w:spacing w:after="0" w:line="287" w:lineRule="auto"/>
        <w:tabs>
          <w:tab w:leader="none" w:pos="6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Rohit Kapoor</w:t>
            </w:r>
          </w:p>
        </w:tc>
      </w:tr>
      <w:tr>
        <w:trPr>
          <w:trHeight w:val="209"/>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Rohit Kapoor</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bl>
    <w:p>
      <w:pPr>
        <w:sectPr>
          <w:pgSz w:w="11900" w:h="16838" w:orient="portrait"/>
          <w:cols w:equalWidth="0" w:num="1">
            <w:col w:w="11240"/>
          </w:cols>
          <w:pgMar w:left="320" w:top="85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Maurizio Nicolelli, certify that:</w:t>
      </w:r>
    </w:p>
    <w:p>
      <w:pPr>
        <w:spacing w:after="0" w:line="346" w:lineRule="exact"/>
        <w:rPr>
          <w:sz w:val="20"/>
          <w:szCs w:val="20"/>
          <w:color w:val="auto"/>
        </w:rPr>
      </w:pPr>
    </w:p>
    <w:p>
      <w:pPr>
        <w:ind w:left="380" w:hanging="377"/>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17"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80" w:hanging="377"/>
        <w:spacing w:after="0" w:line="270" w:lineRule="auto"/>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hanging="310"/>
        <w:spacing w:after="0" w:line="287" w:lineRule="auto"/>
        <w:tabs>
          <w:tab w:leader="none" w:pos="6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80" w:hanging="377"/>
        <w:spacing w:after="0" w:line="287" w:lineRule="auto"/>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700" w:hanging="310"/>
        <w:spacing w:after="0" w:line="287" w:lineRule="auto"/>
        <w:tabs>
          <w:tab w:leader="none" w:pos="6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 2024</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Maurizio Nicolelli</w:t>
            </w:r>
          </w:p>
        </w:tc>
      </w:tr>
      <w:tr>
        <w:trPr>
          <w:trHeight w:val="209"/>
        </w:trPr>
        <w:tc>
          <w:tcPr>
            <w:tcW w:w="58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Maurizio Nicolelli</w:t>
            </w:r>
          </w:p>
        </w:tc>
      </w:tr>
      <w:tr>
        <w:trPr>
          <w:trHeight w:val="223"/>
        </w:trPr>
        <w:tc>
          <w:tcPr>
            <w:tcW w:w="5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2024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278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Rohit Kapoor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August 1, 2024</w:t>
      </w:r>
    </w:p>
    <w:p>
      <w:pPr>
        <w:sectPr>
          <w:pgSz w:w="11900" w:h="16838" w:orient="portrait"/>
          <w:cols w:equalWidth="0" w:num="1">
            <w:col w:w="11240"/>
          </w:cols>
          <w:pgMar w:left="320" w:top="85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June 30, 2024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8952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489521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Maurizio Nicolelli</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August 1, 2024</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Letter"/>
      <w:start w:val="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1" Type="http://schemas.openxmlformats.org/officeDocument/2006/relationships/hyperlink" Target="https://www.sec.gov/Archives/edgar/data/1297989/000110465924074734/tm2417789d1_ex3-1.htm" TargetMode="External"/><Relationship Id="rId82" Type="http://schemas.openxmlformats.org/officeDocument/2006/relationships/hyperlink" Target="https://www.sec.gov/Archives/edgar/data/1297989/000119312523171321/d5239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2024-08-01T13:14:19Z</dcterms:created>
  <dcterms:modified xsi:type="dcterms:W3CDTF">2024-08-01T13:14:19Z</dcterms:modified>
</cp:coreProperties>
</file>