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3580" w:right="1980" w:hanging="3572"/>
        <w:spacing w:after="0" w:line="441" w:lineRule="auto"/>
        <w:tabs>
          <w:tab w:leader="none" w:pos="44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2009</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140"/>
        <w:spacing w:after="0"/>
        <w:tabs>
          <w:tab w:leader="none" w:pos="71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316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0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00" w:type="dxa"/>
            <w:vAlign w:val="bottom"/>
          </w:tcPr>
          <w:p>
            <w:pPr>
              <w:jc w:val="right"/>
              <w:ind w:right="1364"/>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00" w:type="dxa"/>
            <w:vAlign w:val="bottom"/>
          </w:tcPr>
          <w:p>
            <w:pPr>
              <w:jc w:val="center"/>
              <w:ind w:left="26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141"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2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3" w:lineRule="exact"/>
        <w:rPr>
          <w:sz w:val="24"/>
          <w:szCs w:val="24"/>
          <w:color w:val="auto"/>
        </w:rPr>
      </w:pPr>
    </w:p>
    <w:p>
      <w:pPr>
        <w:sectPr>
          <w:pgSz w:w="11900" w:h="16838" w:orient="portrait"/>
          <w:cols w:equalWidth="0" w:num="7">
            <w:col w:w="2040" w:space="100"/>
            <w:col w:w="460" w:space="720"/>
            <w:col w:w="1180" w:space="80"/>
            <w:col w:w="660" w:space="720"/>
            <w:col w:w="1880" w:space="720"/>
            <w:col w:w="1920" w:space="80"/>
            <w:col w:w="800"/>
          </w:cols>
          <w:pgMar w:left="240" w:top="230" w:right="29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760"/>
          </w:cols>
          <w:pgMar w:left="240" w:top="230" w:right="299" w:bottom="1440" w:gutter="0" w:footer="0" w:header="0"/>
          <w:type w:val="continuous"/>
        </w:sectPr>
      </w:pPr>
    </w:p>
    <w:p>
      <w:pPr>
        <w:spacing w:after="0" w:line="6"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As of July 31, 2009, there were 28,929,844 shares of the registrant’s common stock outstanding (excluding 247,030 shares held in treasury and 406,495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980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9800" w:type="dxa"/>
            <w:vAlign w:val="bottom"/>
            <w:gridSpan w:val="1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298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6820" w:type="dxa"/>
            <w:vAlign w:val="bottom"/>
            <w:gridSpan w:val="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June 30, 2009 and December 31, 2008</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(Unaudited) for the Three Months Ended and Six Months Ended June 30, 2009 and 2008</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 for the Six Months Ended June 30, 2009 and 2008</w:t>
              </w:r>
            </w:hyperlink>
          </w:p>
        </w:tc>
        <w:tc>
          <w:tcPr>
            <w:tcW w:w="15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Consolidated Financial Statements (Unaudited)</w:t>
              </w:r>
            </w:hyperlink>
          </w:p>
        </w:tc>
        <w:tc>
          <w:tcPr>
            <w:tcW w:w="54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08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7"/>
          </w:tcPr>
          <w:p>
            <w:pPr>
              <w:spacing w:after="0"/>
              <w:rPr>
                <w:sz w:val="24"/>
                <w:szCs w:val="24"/>
                <w:color w:val="auto"/>
              </w:rPr>
            </w:pPr>
          </w:p>
        </w:tc>
        <w:tc>
          <w:tcPr>
            <w:tcW w:w="51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 OTHER INFORMATION</w:t>
              </w:r>
            </w:hyperlink>
          </w:p>
        </w:tc>
        <w:tc>
          <w:tcPr>
            <w:tcW w:w="710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850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8920" w:type="dxa"/>
            <w:vAlign w:val="bottom"/>
            <w:gridSpan w:val="1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56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6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6120" w:type="dxa"/>
            <w:vAlign w:val="bottom"/>
            <w:gridSpan w:val="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852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80" w:type="dxa"/>
            <w:vAlign w:val="bottom"/>
            <w:gridSpan w:val="13"/>
          </w:tcPr>
          <w:p>
            <w:pPr>
              <w:ind w:left="444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99"/>
              </w:rPr>
              <w:t>PART I. FINANCIAL INFORMATION</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99"/>
              </w:rPr>
              <w:t>EXLSERVICE HOLDINGS, INC.</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1012"/>
              <w:spacing w:after="0"/>
              <w:rPr>
                <w:sz w:val="20"/>
                <w:szCs w:val="20"/>
                <w:color w:val="auto"/>
              </w:rPr>
            </w:pPr>
            <w:r>
              <w:rPr>
                <w:rFonts w:ascii="Arial" w:cs="Arial" w:eastAsia="Arial" w:hAnsi="Arial"/>
                <w:sz w:val="18"/>
                <w:szCs w:val="18"/>
                <w:b w:val="1"/>
                <w:bCs w:val="1"/>
                <w:color w:val="auto"/>
                <w:w w:val="96"/>
              </w:rPr>
              <w:t>CONSOLIDATED BALANCE SHEETS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9"/>
              </w:rPr>
              <w:t>(Unaudited)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$114,291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$287 at June 30, 2009 and $128 at December 31, 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4,155</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156,178</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3"/>
          </w:tcPr>
          <w:p>
            <w:pPr>
              <w:spacing w:after="0"/>
              <w:rPr>
                <w:sz w:val="20"/>
                <w:szCs w:val="20"/>
                <w:color w:val="auto"/>
              </w:rPr>
            </w:pPr>
            <w:r>
              <w:rPr>
                <w:rFonts w:ascii="Arial" w:cs="Arial" w:eastAsia="Arial" w:hAnsi="Arial"/>
                <w:sz w:val="18"/>
                <w:szCs w:val="18"/>
                <w:color w:val="auto"/>
              </w:rPr>
              <w:t>Fixed assets, net of accumulated depreciation of $33,188 at June 30, 2009 and $27,727 at December 31, 2008</w:t>
            </w:r>
          </w:p>
        </w:tc>
        <w:tc>
          <w:tcPr>
            <w:tcW w:w="660" w:type="dxa"/>
            <w:vAlign w:val="bottom"/>
          </w:tcPr>
          <w:p>
            <w:pPr>
              <w:jc w:val="right"/>
              <w:spacing w:after="0"/>
              <w:rPr>
                <w:sz w:val="20"/>
                <w:szCs w:val="20"/>
                <w:color w:val="auto"/>
              </w:rPr>
            </w:pPr>
            <w:r>
              <w:rPr>
                <w:rFonts w:ascii="Arial" w:cs="Arial" w:eastAsia="Arial" w:hAnsi="Arial"/>
                <w:sz w:val="18"/>
                <w:szCs w:val="18"/>
                <w:color w:val="auto"/>
              </w:rPr>
              <w:t>22,598</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660" w:type="dxa"/>
            <w:vAlign w:val="bottom"/>
          </w:tcPr>
          <w:p>
            <w:pPr>
              <w:jc w:val="right"/>
              <w:spacing w:after="0"/>
              <w:rPr>
                <w:sz w:val="20"/>
                <w:szCs w:val="20"/>
                <w:color w:val="auto"/>
              </w:rPr>
            </w:pPr>
            <w:r>
              <w:rPr>
                <w:rFonts w:ascii="Arial" w:cs="Arial" w:eastAsia="Arial" w:hAnsi="Arial"/>
                <w:sz w:val="18"/>
                <w:szCs w:val="18"/>
                <w:color w:val="auto"/>
              </w:rPr>
              <w:t>3,054</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8"/>
              </w:rPr>
              <w:t>Other assets</w:t>
            </w:r>
          </w:p>
        </w:tc>
        <w:tc>
          <w:tcPr>
            <w:tcW w:w="8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assets</w:t>
            </w:r>
          </w:p>
        </w:tc>
        <w:tc>
          <w:tcPr>
            <w:tcW w:w="8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212,584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$211,969</w:t>
            </w:r>
          </w:p>
        </w:tc>
        <w:tc>
          <w:tcPr>
            <w:tcW w:w="0" w:type="dxa"/>
            <w:vAlign w:val="bottom"/>
          </w:tcPr>
          <w:p>
            <w:pPr>
              <w:spacing w:after="0"/>
              <w:rPr>
                <w:sz w:val="1"/>
                <w:szCs w:val="1"/>
                <w:color w:val="auto"/>
              </w:rPr>
            </w:pPr>
          </w:p>
        </w:tc>
      </w:tr>
      <w:tr>
        <w:trPr>
          <w:trHeight w:val="20"/>
        </w:trPr>
        <w:tc>
          <w:tcPr>
            <w:tcW w:w="9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660" w:type="dxa"/>
            <w:vAlign w:val="bottom"/>
          </w:tcPr>
          <w:p>
            <w:pPr>
              <w:jc w:val="right"/>
              <w:spacing w:after="0"/>
              <w:rPr>
                <w:sz w:val="20"/>
                <w:szCs w:val="20"/>
                <w:color w:val="auto"/>
              </w:rPr>
            </w:pPr>
            <w:r>
              <w:rPr>
                <w:rFonts w:ascii="Arial" w:cs="Arial" w:eastAsia="Arial" w:hAnsi="Arial"/>
                <w:sz w:val="18"/>
                <w:szCs w:val="18"/>
                <w:color w:val="auto"/>
              </w:rPr>
              <w:t>$1,948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660" w:type="dxa"/>
            <w:vAlign w:val="bottom"/>
          </w:tcPr>
          <w:p>
            <w:pPr>
              <w:jc w:val="right"/>
              <w:spacing w:after="0"/>
              <w:rPr>
                <w:sz w:val="20"/>
                <w:szCs w:val="20"/>
                <w:color w:val="auto"/>
              </w:rPr>
            </w:pPr>
            <w:r>
              <w:rPr>
                <w:rFonts w:ascii="Arial" w:cs="Arial" w:eastAsia="Arial" w:hAnsi="Arial"/>
                <w:sz w:val="18"/>
                <w:szCs w:val="18"/>
                <w:color w:val="auto"/>
              </w:rPr>
              <w:t>9,623</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w:t>
            </w:r>
          </w:p>
        </w:tc>
        <w:tc>
          <w:tcPr>
            <w:tcW w:w="4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30,098</w:t>
            </w: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$0.001 par value; 100,000,000 shares authorized, 29,172,063 shares issued and outstanding as of June 30,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640"/>
              <w:spacing w:after="0"/>
              <w:rPr>
                <w:sz w:val="20"/>
                <w:szCs w:val="20"/>
                <w:color w:val="auto"/>
              </w:rPr>
            </w:pPr>
            <w:r>
              <w:rPr>
                <w:rFonts w:ascii="Arial" w:cs="Arial" w:eastAsia="Arial" w:hAnsi="Arial"/>
                <w:sz w:val="18"/>
                <w:szCs w:val="18"/>
                <w:color w:val="auto"/>
              </w:rPr>
              <w:t>2009 and 29,054,145 shares issued and outstanding as of December 31, 2008</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120,394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660" w:type="dxa"/>
            <w:vAlign w:val="bottom"/>
          </w:tcPr>
          <w:p>
            <w:pPr>
              <w:jc w:val="right"/>
              <w:spacing w:after="0"/>
              <w:rPr>
                <w:sz w:val="20"/>
                <w:szCs w:val="20"/>
                <w:color w:val="auto"/>
              </w:rPr>
            </w:pPr>
            <w:r>
              <w:rPr>
                <w:rFonts w:ascii="Arial" w:cs="Arial" w:eastAsia="Arial" w:hAnsi="Arial"/>
                <w:sz w:val="18"/>
                <w:szCs w:val="18"/>
                <w:color w:val="auto"/>
              </w:rPr>
              <w:t>74,156</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(11,117)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183,462</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Less: 247,030 shares as of June 30, 2009 and 237,080 shares as of December 31, 2008, held in treasury, at cost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9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182,486</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212,584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83,371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50,183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33,188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14,367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26,110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4,646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4,135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number of shares used in computing earnings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28,906,052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28,799,510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28,874,795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28,778,337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29,159,547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29,351,038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29,119,785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29,321,982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 assets and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 continuing operations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cash provided by operating activities - discontinued operations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437"/>
        </w:trPr>
        <w:tc>
          <w:tcPr>
            <w:tcW w:w="9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Business acquisition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 - continuing operations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cash used for investing activities - discontinued operations</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(12,181)</w:t>
            </w:r>
          </w:p>
        </w:tc>
        <w:tc>
          <w:tcPr>
            <w:tcW w:w="0" w:type="dxa"/>
            <w:vAlign w:val="bottom"/>
          </w:tcPr>
          <w:p>
            <w:pPr>
              <w:spacing w:after="0"/>
              <w:rPr>
                <w:sz w:val="1"/>
                <w:szCs w:val="1"/>
                <w:color w:val="auto"/>
              </w:rPr>
            </w:pPr>
          </w:p>
        </w:tc>
      </w:tr>
      <w:tr>
        <w:trPr>
          <w:trHeight w:val="437"/>
        </w:trPr>
        <w:tc>
          <w:tcPr>
            <w:tcW w:w="9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 (includes $804 at January 1, 2008 for discontinued operations)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112,174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end of period</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of continuing operations,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114,291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828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2008.</w:t>
      </w:r>
    </w:p>
    <w:p>
      <w:pPr>
        <w:spacing w:after="0" w:line="9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 or for any subsequent period.</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Certain prior period amounts have been reclassified in the unaudited consolidated financial statements to conform to the 2009 presentation. These reclassifications reflect the presentation of discontinued operations of Noida Customer Operations Private Limited (“NCOP”), previously included in the Outsourcing Services segment. On August 11, 2008, the Company completed the sale of all of its shares of NCOP to Aviva Global Services Singapore Pte Ltd (“AGSS”). See Note 16 on Discontinued Operations.</w:t>
      </w:r>
    </w:p>
    <w:p>
      <w:pPr>
        <w:spacing w:after="0" w:line="218" w:lineRule="exact"/>
        <w:rPr>
          <w:sz w:val="20"/>
          <w:szCs w:val="20"/>
          <w:color w:val="auto"/>
        </w:rPr>
      </w:pPr>
    </w:p>
    <w:p>
      <w:pPr>
        <w:ind w:right="792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2009, the Financial Accounting Standards Board (“FASB”) issued FASB No. 168, “</w:t>
      </w:r>
      <w:r>
        <w:rPr>
          <w:rFonts w:ascii="Arial" w:cs="Arial" w:eastAsia="Arial" w:hAnsi="Arial"/>
          <w:sz w:val="18"/>
          <w:szCs w:val="18"/>
          <w:i w:val="1"/>
          <w:iCs w:val="1"/>
          <w:color w:val="auto"/>
        </w:rPr>
        <w:t>The FASB Accounting Standards Codification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Hierarchy of Generally Accepted Accounting Principles — a replacement of FASB Statement No. 162</w:t>
      </w:r>
      <w:r>
        <w:rPr>
          <w:rFonts w:ascii="Arial" w:cs="Arial" w:eastAsia="Arial" w:hAnsi="Arial"/>
          <w:sz w:val="18"/>
          <w:szCs w:val="18"/>
          <w:color w:val="auto"/>
        </w:rPr>
        <w:t>” (“SFAS No. 168”). SFAS No. 168 establishes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 the source of authoritative accounting principles recognized by the FASB to be applied by non-governmental entities in the preparation of financial statements in conformity with GAAP in the United States. SFAS No. 168 is effective for financial statements issued for interim and annual periods ending after September 15, 2009. The Company does not expect the impact of the adoption of this statement to be material on its consolidated financial position, results of operations or cash flows.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No. 165”), which is effective for interim and annual periods ending after June 15, 2009. SFAS No. 165 is intended to establish general standards of accounting for and disclosures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The Company’s adoption of SFAS No. 165 did not have a material impact on its consolidated financial position, results of operations or cash flows. See Note 17 on Subsequent Events.</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April 2009, the FASB issued Staff Position No.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(“FSP FAS 107-1”). FSP FAS 107-1 amends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(“SFAS No. 107”) to require disclosures about fair value of financial instruments in interim reporting periods. Such disclosures were previously required only in annual financial statements. The Company adopted the provisions of FSP FAS 107-1 for the quarter ended June 30, 2009. Because FSP FAS 107-1 applies only to financial statement disclosures, the adoption did not have a material effect on the Company’s consolidated financial position, results of operations or cash flows. See Note 5 on Fair Value Measurements.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 (revised 2007)”). SFAS No. 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 The impact of SFAS No. 141 (revised 2007) on the Company’s consolidated financial statements will depend on the size and nature of any business combinations on or after January 1, 2009. See Note 17 on Subsequent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and diluted earnings per share is computed by using the weighted average number of common shares plus the potentially dilutive effect of stock options, restricted stock and restricted stock units issued and outstanding at the reporting date.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June 30, 2009 and 2008, the weighted average number of shares used in calculating the diluted earnings per share includes stock options, restricted stock and restricted stock units aggregating 253,495 shares and 551,528 shares, respectively. For the six months ended June 30, 2009 and 2008, the weighted average number of shares used in calculating diluted earnings per share includes stock options, restricted stock and restricted stock units aggregating 244,990 shares and 543,645 shares, respectively.</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calculation of earnings per share for the three months ended June 30, 2009 and 2008 excludes stock options, restricted stock and restricted stock units aggregating 3,611,951 shares and 996,793 shares, respectively, as their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8"/>
              </w:rPr>
              <w:t>Three months ended June 30, 2009</w:t>
            </w:r>
          </w:p>
        </w:tc>
        <w:tc>
          <w:tcPr>
            <w:tcW w:w="120" w:type="dxa"/>
            <w:vAlign w:val="bottom"/>
          </w:tcPr>
          <w:p>
            <w:pPr>
              <w:spacing w:after="0"/>
              <w:rPr>
                <w:sz w:val="14"/>
                <w:szCs w:val="14"/>
                <w:color w:val="auto"/>
              </w:rPr>
            </w:pPr>
          </w:p>
        </w:tc>
        <w:tc>
          <w:tcPr>
            <w:tcW w:w="284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7"/>
              </w:rPr>
              <w:t>Three months ended June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2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20,058</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5,769</w:t>
            </w:r>
          </w:p>
        </w:tc>
        <w:tc>
          <w:tcPr>
            <w:tcW w:w="580" w:type="dxa"/>
            <w:vAlign w:val="bottom"/>
          </w:tcPr>
          <w:p>
            <w:pPr>
              <w:jc w:val="right"/>
              <w:spacing w:after="0"/>
              <w:rPr>
                <w:sz w:val="20"/>
                <w:szCs w:val="20"/>
                <w:color w:val="auto"/>
              </w:rPr>
            </w:pPr>
            <w:r>
              <w:rPr>
                <w:rFonts w:ascii="Arial" w:cs="Arial" w:eastAsia="Arial" w:hAnsi="Arial"/>
                <w:sz w:val="18"/>
                <w:szCs w:val="18"/>
                <w:color w:val="auto"/>
              </w:rPr>
              <w:t>25,827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23,272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6,950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16,558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16,793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6"/>
              </w:rPr>
              <w:t>$13,763</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14,335</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Income from discontinued operations, net of taxes of $0 and $819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2009</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 2008</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83,371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91,446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38,319</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50,183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32,590</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26,110</w:t>
            </w: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7"/>
              </w:rPr>
              <w:t>27,598</w:t>
            </w: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(2,432)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Income/(loss) from discontinued operations, net of taxes of ($41)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and $1,455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(“SFAS No. 157”)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9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SFAS No. 157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2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June 30, 2009. The table excludes short-term investments, accounts receivable, accounts payable and accrued expenses for which fair values approximate their carrying amounts.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Level 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98,440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98,440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98,440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382</w:t>
            </w: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98,822</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4,362</w:t>
            </w: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6 for further details on Derivative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are designated effective and that qualify as cash flow hedges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 of these cash flow hedges which are deemed effective, are recorded in accumulated other comprehensive income/(loss) (“AOCI”) until the contract is settled and at that time are recognized in the unaudited consolidated statements of income. Changes in the fair value of cash flow hedges deemed ineffective are recognized in the unaudited consolidated statement of income and are included in foreign exchange gain/(loss).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also uses derivatives consisting of foreign currency exchange contracts not designated as hedging instruments under SFAS No. 133 to hedge intercompany balances and other monetary assets or liabilities denominated in currencies other than the functional currency. Changes in the fair value of these derivatives are recognized in the unaudited consolidated statement of income and are included in foreign exchange gain/(loss).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unaudited consolidated statements of income.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for the three and six months ended June 30, 2009 and 2008.</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$107,015 and GBP 19,117 as of June 30, 2009 and totaling $110,182 and GBP 30,320 as of December 31, 2008. The Company estimates that approximately $4,345 of net derivative losses included in AOCI could be reclassified into earnings within the next 12 months based on exchange rates prevailing as of June 30, 2009. At June 30, 2009, the maximum outstanding term of derivative instruments that hedge forecasted transactions was 30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derivative instruments included in the unaudited consolidated balance sheets as on June 30,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 instruments under SFAS No. 133: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4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r>
      <w:tr>
        <w:trPr>
          <w:trHeight w:val="210"/>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 and other current liabilities: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4,362</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ind w:left="240"/>
              <w:spacing w:after="0"/>
              <w:rPr>
                <w:sz w:val="20"/>
                <w:szCs w:val="20"/>
                <w:color w:val="auto"/>
              </w:rPr>
            </w:pPr>
            <w:r>
              <w:rPr>
                <w:rFonts w:ascii="Arial" w:cs="Arial" w:eastAsia="Arial" w:hAnsi="Arial"/>
                <w:sz w:val="18"/>
                <w:szCs w:val="18"/>
                <w:color w:val="auto"/>
                <w:w w:val="79"/>
              </w:rPr>
              <w:t>5,411</w:t>
            </w: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770</w:t>
            </w: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w w:val="88"/>
              </w:rPr>
              <w:t>Derivatives not designated as hedging instruments under SFAS No. 133:</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4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r>
      <w:tr>
        <w:trPr>
          <w:trHeight w:val="210"/>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580" w:type="dxa"/>
            <w:vAlign w:val="bottom"/>
            <w:gridSpan w:val="3"/>
          </w:tcPr>
          <w:p>
            <w:pPr>
              <w:ind w:left="34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 and other current liabilities: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580" w:type="dxa"/>
            <w:vAlign w:val="bottom"/>
            <w:gridSpan w:val="3"/>
          </w:tcPr>
          <w:p>
            <w:pPr>
              <w:ind w:left="34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223</w:t>
            </w:r>
          </w:p>
        </w:tc>
      </w:tr>
      <w:tr>
        <w:trPr>
          <w:trHeight w:val="356"/>
        </w:trPr>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320" w:type="dxa"/>
            <w:vAlign w:val="bottom"/>
          </w:tcPr>
          <w:p>
            <w:pPr>
              <w:jc w:val="right"/>
              <w:ind w:right="293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Location of Gain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Income 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8"/>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0" w:type="dxa"/>
            <w:vAlign w:val="bottom"/>
          </w:tcPr>
          <w:p>
            <w:pPr>
              <w:spacing w:after="0"/>
              <w:rPr>
                <w:sz w:val="12"/>
                <w:szCs w:val="12"/>
                <w:color w:val="auto"/>
              </w:rPr>
            </w:pPr>
          </w:p>
        </w:tc>
        <w:tc>
          <w:tcPr>
            <w:tcW w:w="16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13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(Ineffective Portion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or (Loss)</w:t>
            </w:r>
          </w:p>
        </w:tc>
        <w:tc>
          <w:tcPr>
            <w:tcW w:w="80" w:type="dxa"/>
            <w:vAlign w:val="bottom"/>
          </w:tcPr>
          <w:p>
            <w:pPr>
              <w:spacing w:after="0"/>
              <w:rPr>
                <w:sz w:val="12"/>
                <w:szCs w:val="12"/>
                <w:color w:val="auto"/>
              </w:rPr>
            </w:pPr>
          </w:p>
        </w:tc>
        <w:tc>
          <w:tcPr>
            <w:tcW w:w="1020" w:type="dxa"/>
            <w:vAlign w:val="bottom"/>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and 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Derivatives in SFAS No. 133 Cash Flow</w:t>
            </w:r>
          </w:p>
        </w:tc>
        <w:tc>
          <w:tcPr>
            <w:tcW w:w="140" w:type="dxa"/>
            <w:vAlign w:val="bottom"/>
          </w:tcPr>
          <w:p>
            <w:pPr>
              <w:spacing w:after="0"/>
              <w:rPr>
                <w:sz w:val="12"/>
                <w:szCs w:val="12"/>
                <w:color w:val="auto"/>
              </w:rPr>
            </w:pPr>
          </w:p>
        </w:tc>
        <w:tc>
          <w:tcPr>
            <w:tcW w:w="15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AOCI on</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80" w:type="dxa"/>
            <w:vAlign w:val="bottom"/>
          </w:tcPr>
          <w:p>
            <w:pPr>
              <w:spacing w:after="0"/>
              <w:rPr>
                <w:sz w:val="12"/>
                <w:szCs w:val="12"/>
                <w:color w:val="auto"/>
              </w:rPr>
            </w:pPr>
          </w:p>
        </w:tc>
        <w:tc>
          <w:tcPr>
            <w:tcW w:w="16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3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8"/>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3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Derivative</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AOCI into Income</w:t>
            </w:r>
          </w:p>
        </w:tc>
        <w:tc>
          <w:tcPr>
            <w:tcW w:w="80" w:type="dxa"/>
            <w:vAlign w:val="bottom"/>
          </w:tcPr>
          <w:p>
            <w:pPr>
              <w:spacing w:after="0"/>
              <w:rPr>
                <w:sz w:val="11"/>
                <w:szCs w:val="11"/>
                <w:color w:val="auto"/>
              </w:rPr>
            </w:pPr>
          </w:p>
        </w:tc>
        <w:tc>
          <w:tcPr>
            <w:tcW w:w="16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AOCI into Income</w:t>
            </w:r>
          </w:p>
        </w:tc>
        <w:tc>
          <w:tcPr>
            <w:tcW w:w="240" w:type="dxa"/>
            <w:vAlign w:val="bottom"/>
          </w:tcPr>
          <w:p>
            <w:pPr>
              <w:spacing w:after="0"/>
              <w:rPr>
                <w:sz w:val="11"/>
                <w:szCs w:val="11"/>
                <w:color w:val="auto"/>
              </w:rPr>
            </w:pPr>
          </w:p>
        </w:tc>
        <w:tc>
          <w:tcPr>
            <w:tcW w:w="112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8"/>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75"/>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5"/>
              </w:rPr>
              <w:t>Hedging Relationships</w:t>
            </w:r>
          </w:p>
        </w:tc>
        <w:tc>
          <w:tcPr>
            <w:tcW w:w="140" w:type="dxa"/>
            <w:vAlign w:val="bottom"/>
          </w:tcPr>
          <w:p>
            <w:pPr>
              <w:spacing w:after="0"/>
              <w:rPr>
                <w:sz w:val="15"/>
                <w:szCs w:val="15"/>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(Effective Portion)</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(Effective Portion)</w:t>
            </w:r>
          </w:p>
        </w:tc>
        <w:tc>
          <w:tcPr>
            <w:tcW w:w="80" w:type="dxa"/>
            <w:vAlign w:val="bottom"/>
          </w:tcPr>
          <w:p>
            <w:pPr>
              <w:spacing w:after="0"/>
              <w:rPr>
                <w:sz w:val="15"/>
                <w:szCs w:val="15"/>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(Effective Portion)</w:t>
            </w:r>
          </w:p>
        </w:tc>
        <w:tc>
          <w:tcPr>
            <w:tcW w:w="240" w:type="dxa"/>
            <w:vAlign w:val="bottom"/>
          </w:tcPr>
          <w:p>
            <w:pPr>
              <w:spacing w:after="0"/>
              <w:rPr>
                <w:sz w:val="15"/>
                <w:szCs w:val="15"/>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Testing)</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8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$2,999</w:t>
            </w:r>
          </w:p>
        </w:tc>
        <w:tc>
          <w:tcPr>
            <w:tcW w:w="92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85"/>
              </w:rPr>
              <w:t>$ (13,989)</w:t>
            </w:r>
          </w:p>
        </w:tc>
        <w:tc>
          <w:tcPr>
            <w:tcW w:w="134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7"/>
              </w:rPr>
              <w:t>Foreign exchange</w:t>
            </w:r>
          </w:p>
        </w:tc>
        <w:tc>
          <w:tcPr>
            <w:tcW w:w="110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  (1,817)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811</w:t>
            </w:r>
          </w:p>
        </w:tc>
        <w:tc>
          <w:tcPr>
            <w:tcW w:w="1360" w:type="dxa"/>
            <w:vAlign w:val="bottom"/>
            <w:gridSpan w:val="5"/>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7"/>
              </w:rPr>
              <w:t>Foreign exchange</w:t>
            </w:r>
          </w:p>
        </w:tc>
        <w:tc>
          <w:tcPr>
            <w:tcW w:w="78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   (76)</w:t>
            </w:r>
          </w:p>
        </w:tc>
        <w:tc>
          <w:tcPr>
            <w:tcW w:w="30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gain/(loss)</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89"/>
              </w:rPr>
              <w:t>gain/(loss)</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620" w:type="dxa"/>
            <w:vAlign w:val="bottom"/>
          </w:tcPr>
          <w:p>
            <w:pPr>
              <w:jc w:val="center"/>
              <w:ind w:left="566"/>
              <w:spacing w:after="0"/>
              <w:rPr>
                <w:sz w:val="20"/>
                <w:szCs w:val="20"/>
                <w:color w:val="auto"/>
              </w:rPr>
            </w:pPr>
            <w:r>
              <w:rPr>
                <w:rFonts w:ascii="Arial" w:cs="Arial" w:eastAsia="Arial" w:hAnsi="Arial"/>
                <w:sz w:val="14"/>
                <w:szCs w:val="14"/>
                <w:b w:val="1"/>
                <w:bCs w:val="1"/>
                <w:color w:val="auto"/>
                <w:w w:val="85"/>
              </w:rPr>
              <w:t>Derivatives not Designated as Hedging</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Location of Gain or (Loss) Recognized in</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13"/>
          </w:tcPr>
          <w:p>
            <w:pPr>
              <w:jc w:val="center"/>
              <w:ind w:right="20"/>
              <w:spacing w:after="0"/>
              <w:rPr>
                <w:sz w:val="20"/>
                <w:szCs w:val="20"/>
                <w:color w:val="auto"/>
              </w:rPr>
            </w:pPr>
            <w:r>
              <w:rPr>
                <w:rFonts w:ascii="Arial" w:cs="Arial" w:eastAsia="Arial" w:hAnsi="Arial"/>
                <w:sz w:val="14"/>
                <w:szCs w:val="14"/>
                <w:b w:val="1"/>
                <w:bCs w:val="1"/>
                <w:color w:val="auto"/>
                <w:w w:val="86"/>
              </w:rPr>
              <w:t>Amount of Gain or (Loss) Recognized</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tcPr>
          <w:p>
            <w:pPr>
              <w:jc w:val="center"/>
              <w:ind w:left="566"/>
              <w:spacing w:after="0"/>
              <w:rPr>
                <w:sz w:val="20"/>
                <w:szCs w:val="20"/>
                <w:color w:val="auto"/>
              </w:rPr>
            </w:pPr>
            <w:r>
              <w:rPr>
                <w:rFonts w:ascii="Arial" w:cs="Arial" w:eastAsia="Arial" w:hAnsi="Arial"/>
                <w:sz w:val="14"/>
                <w:szCs w:val="14"/>
                <w:b w:val="1"/>
                <w:bCs w:val="1"/>
                <w:color w:val="auto"/>
                <w:w w:val="88"/>
              </w:rPr>
              <w:t>Instrument under SFAS No. 133</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4"/>
                <w:szCs w:val="14"/>
                <w:b w:val="1"/>
                <w:bCs w:val="1"/>
                <w:color w:val="auto"/>
                <w:w w:val="86"/>
              </w:rPr>
              <w:t>Income on Derivatives</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2"/>
          </w:tcPr>
          <w:p>
            <w:pPr>
              <w:jc w:val="center"/>
              <w:ind w:right="280"/>
              <w:spacing w:after="0"/>
              <w:rPr>
                <w:sz w:val="20"/>
                <w:szCs w:val="20"/>
                <w:color w:val="auto"/>
              </w:rPr>
            </w:pPr>
            <w:r>
              <w:rPr>
                <w:rFonts w:ascii="Arial" w:cs="Arial" w:eastAsia="Arial" w:hAnsi="Arial"/>
                <w:sz w:val="14"/>
                <w:szCs w:val="14"/>
                <w:b w:val="1"/>
                <w:bCs w:val="1"/>
                <w:color w:val="auto"/>
                <w:w w:val="87"/>
              </w:rPr>
              <w:t>in Income on Derivatives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89"/>
              </w:rPr>
              <w:t>Foreign exchange gain/(loss)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8"/>
            <w:shd w:val="clear" w:color="auto" w:fill="CCEEFF"/>
          </w:tcPr>
          <w:p>
            <w:pPr>
              <w:jc w:val="right"/>
              <w:ind w:right="392"/>
              <w:spacing w:after="0"/>
              <w:rPr>
                <w:sz w:val="20"/>
                <w:szCs w:val="20"/>
                <w:color w:val="auto"/>
              </w:rPr>
            </w:pPr>
            <w:r>
              <w:rPr>
                <w:rFonts w:ascii="Arial" w:cs="Arial" w:eastAsia="Arial" w:hAnsi="Arial"/>
                <w:sz w:val="18"/>
                <w:szCs w:val="18"/>
                <w:color w:val="auto"/>
              </w:rPr>
              <w:t>$  (586)</w:t>
            </w: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8"/>
              </w:rPr>
              <w:t>Location of Gain or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120" w:type="dxa"/>
            <w:vAlign w:val="bottom"/>
          </w:tcPr>
          <w:p>
            <w:pPr>
              <w:spacing w:after="0"/>
              <w:rPr>
                <w:sz w:val="12"/>
                <w:szCs w:val="12"/>
                <w:color w:val="auto"/>
              </w:rPr>
            </w:pPr>
          </w:p>
        </w:tc>
        <w:tc>
          <w:tcPr>
            <w:tcW w:w="12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50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15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20" w:type="dxa"/>
            <w:vAlign w:val="bottom"/>
          </w:tcPr>
          <w:p>
            <w:pPr>
              <w:spacing w:after="0"/>
              <w:rPr>
                <w:sz w:val="12"/>
                <w:szCs w:val="12"/>
                <w:color w:val="auto"/>
              </w:rPr>
            </w:pPr>
          </w:p>
        </w:tc>
        <w:tc>
          <w:tcPr>
            <w:tcW w:w="12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and Amount</w:t>
            </w:r>
          </w:p>
        </w:tc>
        <w:tc>
          <w:tcPr>
            <w:tcW w:w="15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Derivatives in SFAS No. 133 Cash Flow</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AOCI on</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40" w:type="dxa"/>
            <w:vAlign w:val="bottom"/>
          </w:tcPr>
          <w:p>
            <w:pPr>
              <w:spacing w:after="0"/>
              <w:rPr>
                <w:sz w:val="12"/>
                <w:szCs w:val="12"/>
                <w:color w:val="auto"/>
              </w:rPr>
            </w:pPr>
          </w:p>
        </w:tc>
        <w:tc>
          <w:tcPr>
            <w:tcW w:w="1060" w:type="dxa"/>
            <w:vAlign w:val="bottom"/>
            <w:gridSpan w:val="3"/>
          </w:tcPr>
          <w:p>
            <w:pPr>
              <w:jc w:val="center"/>
              <w:ind w:left="372"/>
              <w:spacing w:after="0" w:line="149" w:lineRule="exact"/>
              <w:rPr>
                <w:sz w:val="20"/>
                <w:szCs w:val="20"/>
                <w:color w:val="auto"/>
              </w:rPr>
            </w:pPr>
            <w:r>
              <w:rPr>
                <w:rFonts w:ascii="Arial" w:cs="Arial" w:eastAsia="Arial" w:hAnsi="Arial"/>
                <w:sz w:val="14"/>
                <w:szCs w:val="14"/>
                <w:b w:val="1"/>
                <w:bCs w:val="1"/>
                <w:color w:val="auto"/>
                <w:w w:val="95"/>
              </w:rPr>
              <w:t>AOCI into</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150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3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6"/>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AOCI into Income</w:t>
            </w:r>
          </w:p>
        </w:tc>
        <w:tc>
          <w:tcPr>
            <w:tcW w:w="140" w:type="dxa"/>
            <w:vAlign w:val="bottom"/>
          </w:tcPr>
          <w:p>
            <w:pPr>
              <w:spacing w:after="0"/>
              <w:rPr>
                <w:sz w:val="11"/>
                <w:szCs w:val="11"/>
                <w:color w:val="auto"/>
              </w:rPr>
            </w:pPr>
          </w:p>
        </w:tc>
        <w:tc>
          <w:tcPr>
            <w:tcW w:w="16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Income (Effective</w:t>
            </w:r>
          </w:p>
        </w:tc>
        <w:tc>
          <w:tcPr>
            <w:tcW w:w="120" w:type="dxa"/>
            <w:vAlign w:val="bottom"/>
          </w:tcPr>
          <w:p>
            <w:pPr>
              <w:spacing w:after="0"/>
              <w:rPr>
                <w:sz w:val="11"/>
                <w:szCs w:val="11"/>
                <w:color w:val="auto"/>
              </w:rPr>
            </w:pPr>
          </w:p>
        </w:tc>
        <w:tc>
          <w:tcPr>
            <w:tcW w:w="128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1500" w:type="dxa"/>
            <w:vAlign w:val="bottom"/>
            <w:gridSpan w:val="7"/>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75"/>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5"/>
              </w:rPr>
              <w:t>Hedging Relationships</w:t>
            </w:r>
          </w:p>
        </w:tc>
        <w:tc>
          <w:tcPr>
            <w:tcW w:w="140" w:type="dxa"/>
            <w:vAlign w:val="bottom"/>
          </w:tcPr>
          <w:p>
            <w:pPr>
              <w:spacing w:after="0"/>
              <w:rPr>
                <w:sz w:val="15"/>
                <w:szCs w:val="15"/>
                <w:color w:val="auto"/>
              </w:rPr>
            </w:pPr>
          </w:p>
        </w:tc>
        <w:tc>
          <w:tcPr>
            <w:tcW w:w="1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(Effective Portion)</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40" w:type="dxa"/>
            <w:vAlign w:val="bottom"/>
          </w:tcPr>
          <w:p>
            <w:pPr>
              <w:spacing w:after="0"/>
              <w:rPr>
                <w:sz w:val="15"/>
                <w:szCs w:val="15"/>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Portion)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4"/>
              </w:rPr>
              <w:t>Testing)</w:t>
            </w:r>
          </w:p>
        </w:tc>
        <w:tc>
          <w:tcPr>
            <w:tcW w:w="15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800" w:type="dxa"/>
            <w:vAlign w:val="bottom"/>
            <w:gridSpan w:val="4"/>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$(927)</w:t>
            </w:r>
          </w:p>
        </w:tc>
        <w:tc>
          <w:tcPr>
            <w:tcW w:w="7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82"/>
              </w:rPr>
              <w:t>$ (16,096)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Foreign exchange</w:t>
            </w:r>
          </w:p>
        </w:tc>
        <w:tc>
          <w:tcPr>
            <w:tcW w:w="1040" w:type="dxa"/>
            <w:vAlign w:val="bottom"/>
            <w:gridSpan w:val="3"/>
            <w:shd w:val="clear" w:color="auto" w:fill="CCEEFF"/>
          </w:tcPr>
          <w:p>
            <w:pPr>
              <w:jc w:val="right"/>
              <w:ind w:right="152"/>
              <w:spacing w:after="0" w:line="201" w:lineRule="exact"/>
              <w:rPr>
                <w:sz w:val="20"/>
                <w:szCs w:val="20"/>
                <w:color w:val="auto"/>
              </w:rPr>
            </w:pPr>
            <w:r>
              <w:rPr>
                <w:rFonts w:ascii="Arial" w:cs="Arial" w:eastAsia="Arial" w:hAnsi="Arial"/>
                <w:sz w:val="18"/>
                <w:szCs w:val="18"/>
                <w:color w:val="auto"/>
              </w:rPr>
              <w:t>$ (3,232)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3"/>
              </w:rPr>
              <w:t>2,639</w:t>
            </w:r>
          </w:p>
        </w:tc>
        <w:tc>
          <w:tcPr>
            <w:tcW w:w="1400" w:type="dxa"/>
            <w:vAlign w:val="bottom"/>
            <w:gridSpan w:val="6"/>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7"/>
              </w:rPr>
              <w:t>Foreign exchange</w:t>
            </w:r>
          </w:p>
        </w:tc>
        <w:tc>
          <w:tcPr>
            <w:tcW w:w="8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8"/>
              </w:rPr>
              <w:t>$   (118)</w:t>
            </w:r>
          </w:p>
        </w:tc>
        <w:tc>
          <w:tcPr>
            <w:tcW w:w="6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gain/(loss)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89"/>
              </w:rPr>
              <w:t>gain/(loss)</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820" w:type="dxa"/>
            <w:vAlign w:val="bottom"/>
          </w:tcPr>
          <w:p>
            <w:pPr>
              <w:jc w:val="center"/>
              <w:ind w:left="446"/>
              <w:spacing w:after="0"/>
              <w:rPr>
                <w:sz w:val="20"/>
                <w:szCs w:val="20"/>
                <w:color w:val="auto"/>
              </w:rPr>
            </w:pPr>
            <w:r>
              <w:rPr>
                <w:rFonts w:ascii="Arial" w:cs="Arial" w:eastAsia="Arial" w:hAnsi="Arial"/>
                <w:sz w:val="14"/>
                <w:szCs w:val="14"/>
                <w:b w:val="1"/>
                <w:bCs w:val="1"/>
                <w:color w:val="auto"/>
                <w:w w:val="85"/>
              </w:rPr>
              <w:t>Derivatives not Designated as Hedging</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Location of Gain or (Loss) Recognized in</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11"/>
          </w:tcPr>
          <w:p>
            <w:pPr>
              <w:jc w:val="center"/>
              <w:ind w:right="40"/>
              <w:spacing w:after="0"/>
              <w:rPr>
                <w:sz w:val="20"/>
                <w:szCs w:val="20"/>
                <w:color w:val="auto"/>
              </w:rPr>
            </w:pPr>
            <w:r>
              <w:rPr>
                <w:rFonts w:ascii="Arial" w:cs="Arial" w:eastAsia="Arial" w:hAnsi="Arial"/>
                <w:sz w:val="14"/>
                <w:szCs w:val="14"/>
                <w:b w:val="1"/>
                <w:bCs w:val="1"/>
                <w:color w:val="auto"/>
                <w:w w:val="86"/>
              </w:rPr>
              <w:t>Amount of Gain or (Loss) Recognized</w:t>
            </w:r>
          </w:p>
        </w:tc>
        <w:tc>
          <w:tcPr>
            <w:tcW w:w="0" w:type="dxa"/>
            <w:vAlign w:val="bottom"/>
          </w:tcPr>
          <w:p>
            <w:pPr>
              <w:spacing w:after="0"/>
              <w:rPr>
                <w:sz w:val="1"/>
                <w:szCs w:val="1"/>
                <w:color w:val="auto"/>
              </w:rPr>
            </w:pPr>
          </w:p>
        </w:tc>
      </w:tr>
      <w:tr>
        <w:trPr>
          <w:trHeight w:val="175"/>
        </w:trPr>
        <w:tc>
          <w:tcPr>
            <w:tcW w:w="3820" w:type="dxa"/>
            <w:vAlign w:val="bottom"/>
          </w:tcPr>
          <w:p>
            <w:pPr>
              <w:jc w:val="center"/>
              <w:ind w:left="446"/>
              <w:spacing w:after="0"/>
              <w:rPr>
                <w:sz w:val="20"/>
                <w:szCs w:val="20"/>
                <w:color w:val="auto"/>
              </w:rPr>
            </w:pPr>
            <w:r>
              <w:rPr>
                <w:rFonts w:ascii="Arial" w:cs="Arial" w:eastAsia="Arial" w:hAnsi="Arial"/>
                <w:sz w:val="14"/>
                <w:szCs w:val="14"/>
                <w:b w:val="1"/>
                <w:bCs w:val="1"/>
                <w:color w:val="auto"/>
                <w:w w:val="88"/>
              </w:rPr>
              <w:t>Instrument under SFAS No. 133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Income on Derivatives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87"/>
              </w:rPr>
              <w:t>in Income on Derivatives</w:t>
            </w: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Foreign exchange gain/(loss)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(1,055)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income/(loss) for the three and six months ended June 30, 2009 and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5,264</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$4,135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comprehensive income/(loss):</w:t>
            </w: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gain/(loss) on effective cash flow hedges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(14,800)</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2,305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(3,309)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1,035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w:t>
            </w: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income/(loss)</w:t>
            </w:r>
          </w:p>
        </w:tc>
        <w:tc>
          <w:tcPr>
            <w:tcW w:w="3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(18,148)</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3,374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(22,834)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(12,884)</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(10,770)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60" w:type="dxa"/>
            <w:vAlign w:val="bottom"/>
            <w:vMerge w:val="restart"/>
          </w:tcPr>
          <w:p>
            <w:pPr>
              <w:jc w:val="right"/>
              <w:ind w:right="2372"/>
              <w:spacing w:after="0"/>
              <w:rPr>
                <w:sz w:val="20"/>
                <w:szCs w:val="20"/>
                <w:color w:val="auto"/>
              </w:rPr>
            </w:pPr>
            <w:r>
              <w:rPr>
                <w:rFonts w:ascii="Arial" w:cs="Arial" w:eastAsia="Arial" w:hAnsi="Arial"/>
                <w:sz w:val="18"/>
                <w:szCs w:val="18"/>
                <w:color w:val="auto"/>
              </w:rPr>
              <w:t>11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June 30, 2009, the Company acquired 3,014 shares of common stock from employees in connection with withholding tax payments related to the vesting of restricted stock for a total consideration of $28. The purchase price of $9.41 per share was the average of the high and low price of the Company’s shares of common stock on the Nasdaq Global Select Market on the trading day prior to the vesting date of the shares of restricted stock. During the six months ended June 30, 2009, the Company acquired 4,329 shares of common stock from employees in connection with withholding tax payments related to the vesting of restricted stock for a total consideration of $39. These shares are held as treasury stock.</w:t>
      </w:r>
    </w:p>
    <w:p>
      <w:pPr>
        <w:spacing w:after="0" w:line="11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During the three months ended June 30, 2009, the Company did not purchase any shares of its common stock as part of its previously announced share repurchase program. During the six months ended June 30, 2009, the Company purchased 5,621 shares of its common stock for an aggregate purchase price of approximately $34, excluding commissions, representing an average purchase price per share of $6.11. These shares were purchased as part of the share repurchase program that authorized the purchase of up to $10,000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Gratuity Plan applicable to India-based employees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7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Net gratuity cost</w:t>
            </w:r>
          </w:p>
        </w:tc>
        <w:tc>
          <w:tcPr>
            <w:tcW w:w="340" w:type="dxa"/>
            <w:vAlign w:val="bottom"/>
          </w:tcPr>
          <w:p>
            <w:pPr>
              <w:jc w:val="center"/>
              <w:ind w:left="182"/>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$194</w:t>
            </w:r>
          </w:p>
        </w:tc>
      </w:tr>
      <w:tr>
        <w:trPr>
          <w:trHeight w:val="20"/>
        </w:trPr>
        <w:tc>
          <w:tcPr>
            <w:tcW w:w="8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contributes to various defined contribution plans on behalf of its employees in India and the Philippines. The assets held by the plans are not reported on the Company’s balance sheet. The contributions made to the plans for each period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2009</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Three months ended June 30, 2008</w:t>
            </w:r>
          </w:p>
        </w:tc>
        <w:tc>
          <w:tcPr>
            <w:tcW w:w="5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2009</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Six months ended June 30, 2008</w:t>
            </w:r>
          </w:p>
        </w:tc>
        <w:tc>
          <w:tcPr>
            <w:tcW w:w="5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1,006</w:t>
            </w:r>
          </w:p>
        </w:tc>
      </w:tr>
      <w:tr>
        <w:trPr>
          <w:trHeight w:val="356"/>
        </w:trPr>
        <w:tc>
          <w:tcPr>
            <w:tcW w:w="3580" w:type="dxa"/>
            <w:vAlign w:val="bottom"/>
          </w:tcPr>
          <w:p>
            <w:pPr>
              <w:spacing w:after="0"/>
              <w:rPr>
                <w:sz w:val="24"/>
                <w:szCs w:val="24"/>
                <w:color w:val="auto"/>
              </w:rPr>
            </w:pPr>
          </w:p>
        </w:tc>
        <w:tc>
          <w:tcPr>
            <w:tcW w:w="5600" w:type="dxa"/>
            <w:vAlign w:val="bottom"/>
          </w:tcPr>
          <w:p>
            <w:pPr>
              <w:jc w:val="right"/>
              <w:ind w:right="421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June 30, 2009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360" w:type="dxa"/>
            <w:vAlign w:val="bottom"/>
          </w:tcPr>
          <w:p>
            <w:pPr>
              <w:spacing w:after="0"/>
              <w:rPr>
                <w:sz w:val="14"/>
                <w:szCs w:val="14"/>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2011</w:t>
            </w:r>
          </w:p>
        </w:tc>
        <w:tc>
          <w:tcPr>
            <w:tcW w:w="7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7"/>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7"/>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Long term capital lease obligation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114</w:t>
            </w:r>
          </w:p>
        </w:tc>
      </w:tr>
      <w:tr>
        <w:trPr>
          <w:trHeight w:val="20"/>
        </w:trPr>
        <w:tc>
          <w:tcPr>
            <w:tcW w:w="1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through February 2014. Future minimum lease payments under non-cancelable operating lease agreements expiring after more than twelve months are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500" w:type="dxa"/>
            <w:vAlign w:val="bottom"/>
          </w:tcPr>
          <w:p>
            <w:pPr>
              <w:spacing w:after="0"/>
              <w:rPr>
                <w:sz w:val="14"/>
                <w:szCs w:val="14"/>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2011</w:t>
            </w:r>
          </w:p>
        </w:tc>
        <w:tc>
          <w:tcPr>
            <w:tcW w:w="7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2013</w:t>
            </w:r>
          </w:p>
        </w:tc>
        <w:tc>
          <w:tcPr>
            <w:tcW w:w="7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7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6,642</w:t>
            </w:r>
          </w:p>
        </w:tc>
      </w:tr>
      <w:tr>
        <w:trPr>
          <w:trHeight w:val="20"/>
        </w:trPr>
        <w:tc>
          <w:tcPr>
            <w:tcW w:w="13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a straight line basis over the lease period. Rent expense under both cancelable and non-cancelable operating leases was $1,425 and $1,451 for the three months ended June 30, 2009 and 2008, respectively. Rent expense under both cancelable and non-cancelable operating leases was $2,682 and $2,955 for the six months ended June 30, 2009 and 2008,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recorded income tax expense/(benefit) of $109 and ($363) for the three months ended June 30, 2009 and 2008, respectively. The Company recorded income tax expense/(benefit) of $372 and ($394) for the six months ended June 30, 2009 and 2008, respectively.</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effective rate of taxes attributable to continuing operations has increased from a tax benefit of 16.2% for the three months ended June 30, 2008 to a tax provision of 8.0% for the three months ended June 30, 2009. The effective rate of taxes has increased to a provision of 8.0% for the six months ended June 30, 2009, as compared to a tax benefit of 5.7% for the six months ended June 30, 2008. Changes in our effective rate of taxes are primarily due to the changes in the geographic distribution of our income.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fiscal year under the Indian Income Tax Act ends on March 31 of each year. Certain units of the Company’s Indian subsidiaries qualify for exemption from taxable income under section 10A or 10B of the Indian Income Tax Act, because their profits are attributable to work performed in Export Processing Zones. This exemption is available for a period of ten consecutive years beginning with the financial year in which the entity begins to manufacture or produce articles or things or computer software and expires on March 31, 2010. Since the export revenues of certain units of the Company’s Indian subsidiaries qualify for a deduction from taxable income, a portion of the temporary differences will not have any tax consequences as they will reverse within the tax holiday period. See Note 17 on Subsequent Events.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changes in the Indian Income Tax Act from April 1, 2007, the Company has calculated its tax liability after considering the Minimum Alternate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Tax (“MAT”). Amounts paid toward MAT can be carried forward and set off against future tax liabilities within a specified period. In accordance with SFAS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a deferred tax asset of $1,780 and $2,109 has been recognized as of June 30, 2009 and December 31, 2008,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payments.</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June 30, 2009, the Company performed an analysis of the deferred tax asset valuation allowance for its Indian subsidiaries. Based on this analysis, the Company has concluded that a valuation allowance offsetting certain deferred tax assets should continue to be recorded at June 30, 2009 based on the conclusion that it is more likely than not that there will not be sufficient future taxable income to realize the deferred tax assets. The valuation allowance as of June 30, 2009 and December 31, 2008 was approximately $4,731 and $4,010,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 of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1,974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3,513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2,875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India-based employees. For the three months ended June 30, 2009 and 2008, the Company recorded FBT expense of approximately $179 and $188, respectively. For the six months ended June 30, 2009 and 2008, the Company recorded FBT expense of approximately $179 and $200, respectively. The Company recovers FBT from its India-based employees. In accordance with GAAP, the recovery of FBT is treated as additional exercise price and is recorded as an addition to additional paid-in capital in the unaudited consolidated balance sheet.</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fair value of each stock option granted to employees, not subject to the FBT is estimated on the date of grant using the Black-Scholes option-pricing model and the fair value of each stock option granted to employees subject to the FBT is estimated at the date of grant using the Monte Carlo simulation model with the following weighted 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4"/>
              </w:rPr>
              <w:t>Three months ended</w:t>
            </w:r>
          </w:p>
        </w:tc>
        <w:tc>
          <w:tcPr>
            <w:tcW w:w="1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8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Expected life (years)</w:t>
            </w: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5.98</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4.56</w:t>
            </w:r>
          </w:p>
        </w:tc>
        <w:tc>
          <w:tcPr>
            <w:tcW w:w="5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2.76%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3"/>
              </w:rPr>
              <w:t>1.73%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39.2%</w:t>
            </w: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6"/>
              </w:rPr>
              <w:t>Aggregate</w:t>
            </w:r>
          </w:p>
        </w:tc>
        <w:tc>
          <w:tcPr>
            <w:tcW w:w="4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Intrinsic Value</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1,788,751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1,630,389</w:t>
            </w: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(108,800)</w:t>
            </w:r>
          </w:p>
        </w:tc>
        <w:tc>
          <w:tcPr>
            <w:tcW w:w="600" w:type="dxa"/>
            <w:vAlign w:val="bottom"/>
          </w:tcPr>
          <w:p>
            <w:pPr>
              <w:jc w:val="right"/>
              <w:spacing w:after="0"/>
              <w:rPr>
                <w:sz w:val="20"/>
                <w:szCs w:val="20"/>
                <w:color w:val="auto"/>
              </w:rPr>
            </w:pPr>
            <w:r>
              <w:rPr>
                <w:rFonts w:ascii="Arial" w:cs="Arial" w:eastAsia="Arial" w:hAnsi="Arial"/>
                <w:sz w:val="18"/>
                <w:szCs w:val="18"/>
                <w:color w:val="auto"/>
              </w:rPr>
              <w:t>19.59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3,310,340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2009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791,491</w:t>
            </w:r>
          </w:p>
        </w:tc>
        <w:tc>
          <w:tcPr>
            <w:tcW w:w="600" w:type="dxa"/>
            <w:vAlign w:val="bottom"/>
          </w:tcPr>
          <w:p>
            <w:pPr>
              <w:jc w:val="right"/>
              <w:spacing w:after="0"/>
              <w:rPr>
                <w:sz w:val="20"/>
                <w:szCs w:val="20"/>
                <w:color w:val="auto"/>
              </w:rPr>
            </w:pPr>
            <w:r>
              <w:rPr>
                <w:rFonts w:ascii="Arial" w:cs="Arial" w:eastAsia="Arial" w:hAnsi="Arial"/>
                <w:sz w:val="18"/>
                <w:szCs w:val="18"/>
                <w:color w:val="auto"/>
              </w:rPr>
              <w:t>$12.76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465</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2009</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4,180,310</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unrecognized compensation cost for unvested options as of June 30, 2009 is $9,685 which is expected to be expensed over a weighted average period of 2.83 years. The weighted-average fair value of options granted during the three months ended June 30, 2009 and 2008 was $4.06 and $6.34, respectively. The weighted-average fair value of options granted during the six months ended June 30, 2009 and 2008 was $3.47 and $6.96, respectively. The total fair value of shares vested during the three months ended June 30, 2009 is $786. The total fair value of shares vested during the six months ended June 30, 2009 is $1,699.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5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4"/>
                <w:szCs w:val="14"/>
                <w:color w:val="auto"/>
              </w:rPr>
            </w:pPr>
          </w:p>
        </w:tc>
        <w:tc>
          <w:tcPr>
            <w:tcW w:w="15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578,246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(117,918)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(41,789)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418,539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2009, unrecognized compensation cost of $6,127 is expected to be expensed over a weighted average period of 2.2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months ended June 30, 2009 and 2008, the Company recorded compensation expense of $15 and ($34), respectively related to stock options granted to advisory board. For the six months ended June 30, 2009 and 2008, the Company recorded compensation expense of $26 and ($50), respectively. The fair value and related compensation expense will be calculated for the unvested portion of these options at the end of each reporting period until such options are fully vested.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at an exercise price of $6.25 per share in July 2004 to one of its clients. The options are fully exercisable and expire ten years from the date of grant. The value of the options on the date of issuance, using the Black-Scholes option-pricing model, was approximately $1,792. Such amount is being amortized as a reduction in revenue over the five-year term of the services agreement which expired in March 2009. Amortization for the three months ended June 30, 2009 and 2008 was $0 and $90, respectively. Amortization for the six months ended June 30, 2009 and 2008 was $60 and $179,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15, 2008, the Company purchased net assets for a consideration of $1,508 from a company controlled by entities related to the Oak Hill Partnerships, one of the Company’s significant stockholders. The Company recorded expenses of $0 and $394 for the six months ended June 30, 2009 and 2008, respectively, for transition services performed by the seller prior to the acquisition. As of June 30, 2009 and December 31, 2008, the Company had no amounts payable related to these transactions.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provides services to Duane Reade Holdings, Inc., a New York City drugstore chain. Duane Reade Holdings, Inc. is indirectly owned by entities related to the Oak Hill Partnerships, one of the Company’s significant stockholders. The Company recognized revenue of approximately $162 and $128 during the three months ended June 30, 2009 and 2008, respectively, and $220 and $229 during the six months ended June 30, 2009 and 2008, respectively, for fees and expense reimbursements from Duane Reade Holdings, Inc. At June 30, 2009 and December 31, 2008, the Company had an account receivable of $78 and $89, respectively, related to these services.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one of the Company’s significant stockholders. The Company recognized revenue of approximately $6 and $0 during the three months ended June 30, 2009 and 2008, respectively, and $6 and $0 during the six months ended June 30, 2009 and 2008, respectively, for fees and expense reimbursements from Oak Hill Capital Partners. At June 30, 2009 and December 31, 2008, the Company had an account receivable of $6 and $0, respectively, related to these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3"/>
                <w:szCs w:val="13"/>
                <w:color w:val="auto"/>
              </w:rPr>
            </w:pPr>
          </w:p>
        </w:tc>
        <w:tc>
          <w:tcPr>
            <w:tcW w:w="162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200" w:type="dxa"/>
            <w:vAlign w:val="bottom"/>
          </w:tcPr>
          <w:p>
            <w:pPr>
              <w:spacing w:after="0"/>
              <w:rPr>
                <w:sz w:val="12"/>
                <w:szCs w:val="12"/>
                <w:color w:val="auto"/>
              </w:rPr>
            </w:pPr>
          </w:p>
        </w:tc>
        <w:tc>
          <w:tcPr>
            <w:tcW w:w="5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58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$54,221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$48,990</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2"/>
        </w:trPr>
        <w:tc>
          <w:tcPr>
            <w:tcW w:w="8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42,385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47,015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83,371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$91,446</w:t>
            </w:r>
          </w:p>
        </w:tc>
      </w:tr>
      <w:tr>
        <w:trPr>
          <w:trHeight w:val="20"/>
        </w:trPr>
        <w:tc>
          <w:tcPr>
            <w:tcW w:w="8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55"/>
        </w:trPr>
        <w:tc>
          <w:tcPr>
            <w:tcW w:w="8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2008</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India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$19,235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2"/>
        </w:trPr>
        <w:tc>
          <w:tcPr>
            <w:tcW w:w="8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$24,518</w:t>
            </w:r>
          </w:p>
        </w:tc>
      </w:tr>
      <w:tr>
        <w:trPr>
          <w:trHeight w:val="20"/>
        </w:trPr>
        <w:tc>
          <w:tcPr>
            <w:tcW w:w="8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June 30, 2009, the Company had committed to spend approximately $2,166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Certain units of the Company’s Indian subsidiaries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achieve the export levels within the required timeframe as they have consistently generated the required levels of export revenues.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$13,100 during the three year period ending March 2011. The registration has also provided the Company with certain incentives on the import of capital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Exl Philippines will achieve these export levels within the required timeframe.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June 30, 2009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8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Tax Year</w:t>
            </w:r>
          </w:p>
        </w:tc>
        <w:tc>
          <w:tcPr>
            <w:tcW w:w="220" w:type="dxa"/>
            <w:vAlign w:val="bottom"/>
          </w:tcPr>
          <w:p>
            <w:pPr>
              <w:spacing w:after="0"/>
              <w:rPr>
                <w:sz w:val="14"/>
                <w:szCs w:val="14"/>
                <w:color w:val="auto"/>
              </w:rPr>
            </w:pPr>
          </w:p>
        </w:tc>
        <w:tc>
          <w:tcPr>
            <w:tcW w:w="80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Demanded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Exl India</w:t>
            </w:r>
          </w:p>
        </w:tc>
        <w:tc>
          <w:tcPr>
            <w:tcW w:w="820" w:type="dxa"/>
            <w:vAlign w:val="bottom"/>
            <w:gridSpan w:val="2"/>
            <w:shd w:val="clear" w:color="auto" w:fill="CCEEFF"/>
          </w:tcPr>
          <w:p>
            <w:pPr>
              <w:jc w:val="center"/>
              <w:ind w:left="152"/>
              <w:spacing w:after="0" w:line="201" w:lineRule="exact"/>
              <w:rPr>
                <w:sz w:val="20"/>
                <w:szCs w:val="20"/>
                <w:color w:val="auto"/>
              </w:rPr>
            </w:pPr>
            <w:r>
              <w:rPr>
                <w:rFonts w:ascii="Arial" w:cs="Arial" w:eastAsia="Arial" w:hAnsi="Arial"/>
                <w:sz w:val="18"/>
                <w:szCs w:val="18"/>
                <w:color w:val="auto"/>
                <w:w w:val="87"/>
              </w:rPr>
              <w:t>2003-04</w:t>
            </w:r>
          </w:p>
        </w:tc>
        <w:tc>
          <w:tcPr>
            <w:tcW w:w="220" w:type="dxa"/>
            <w:vAlign w:val="bottom"/>
            <w:shd w:val="clear" w:color="auto" w:fill="CCEEFF"/>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3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2,000</w:t>
            </w:r>
          </w:p>
        </w:tc>
        <w:tc>
          <w:tcPr>
            <w:tcW w:w="2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89"/>
              </w:rPr>
              <w:t>Exl Inc. in the 2003-04 tax year was not appropriate and disallows certain expenses claimed as tax deductible by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60" w:type="dxa"/>
            <w:vAlign w:val="bottom"/>
            <w:gridSpan w:val="2"/>
          </w:tcPr>
          <w:p>
            <w:pPr>
              <w:spacing w:after="0"/>
              <w:rPr>
                <w:sz w:val="20"/>
                <w:szCs w:val="20"/>
                <w:color w:val="auto"/>
              </w:rPr>
            </w:pPr>
            <w:r>
              <w:rPr>
                <w:rFonts w:ascii="Arial" w:cs="Arial" w:eastAsia="Arial" w:hAnsi="Arial"/>
                <w:sz w:val="18"/>
                <w:szCs w:val="18"/>
                <w:color w:val="auto"/>
                <w:w w:val="92"/>
              </w:rPr>
              <w:t>Exl India</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2004-05</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Exl Inc. for the 2004-05 tax year was not appropriate and disallows certain expenses claimed as tax deductible by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9"/>
              </w:rPr>
              <w:t>Exl India</w:t>
            </w:r>
          </w:p>
        </w:tc>
        <w:tc>
          <w:tcPr>
            <w:tcW w:w="8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2005-06</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89"/>
              </w:rPr>
              <w:t>Exl Inc. for the 2005-06 tax year was not appropriate and disallows certain expenses claimed as tax deductible by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6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2003-04</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8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2004-05</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2005-06</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for the 2003-04 and 2004-05 tax years and partial amounts with respect to the assessment orders received by Exl India for 2005-06 tax year and by Exl Inc. for the 2003-04, 2004-05 and 2005-06 tax years. There is a likelihood that the Company might receive similar orders for other years until the above disputes are resolved. Amounts paid as deposits in respect of the assessments described above, totaling $7,600 and $5,800 as of June 30, 2009 and December 31, 2008, respectively, are included in “Other assets” in the Company’s unaudited consolidated balance sheet.</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In order to resolve the outstanding transfer pricing and permanent establishment tax disputes with the Indian tax authorities, the Company has filed requests with the competent authorities in the U.S. to invoke a Mutual Agreement Procedure, or MAP, under the United States – India Income Tax Treaty. As a result of commencing the MAP, the competent authorities in the U.S. will work with the competent authorities in India to propose a resolution to the outstanding tax disputes. The proposed resolution is not binding on the Company. As required by the MAP, the Company obtained bank guarantees of approximately $2,800 in April 2009 in respect of outstanding tax demands by the Indian tax authorities and interest for the assessment orders received by Exl Inc. for the 2003-04, 2004-05 and 2005-06 tax years, and will need to obtain additional bank guarantees of approximately $3,500 during the third quarter of 2009, in favor of the Government of India to stop the collection of the outstanding tax demands and interest for the assessment order received by Exl India for the 2005-06 tax year. If additional assessment orders are received for other years, the Company may invoke the MAP for such orders and would be required to obtain additional bank guarantees.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Discontinued Operations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August 11, 2008, the Company completed the sale of all of its shares of NCOP to AGSS. The Company received consideration totaling approximately $3,430 ($1,982 in the three months ended September 30, 2008 and $1,448 in the three months ended March 31, 2009). Income/(loss) from discontinued operations, net of income taxes, was $0 for the three months ended June 30, 2009, compared to $2,667, or $0.09 per share, for the three months ended June 30, 2008. Income/(loss) from discontinued operations, net of income taxes, was ($139), or ($0.00) per share for the six months ended June 30, 2009 compared to $4,752, or $0.16 per share, for the six months ended June 30, 2008.</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major categories for discontinued operations in the unaudited consolidated statements of income for the three and six months ended June 30,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61"/>
        </w:trPr>
        <w:tc>
          <w:tcPr>
            <w:tcW w:w="8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6,801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40" w:type="dxa"/>
            <w:vAlign w:val="bottom"/>
          </w:tcPr>
          <w:p>
            <w:pPr>
              <w:spacing w:after="0"/>
              <w:rPr>
                <w:sz w:val="20"/>
                <w:szCs w:val="20"/>
                <w:color w:val="auto"/>
              </w:rPr>
            </w:pPr>
            <w:r>
              <w:rPr>
                <w:rFonts w:ascii="Arial" w:cs="Arial" w:eastAsia="Arial" w:hAnsi="Arial"/>
                <w:sz w:val="18"/>
                <w:szCs w:val="18"/>
                <w:b w:val="1"/>
                <w:bCs w:val="1"/>
                <w:color w:val="auto"/>
              </w:rPr>
              <w:t>Disposal:</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2,667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July 3, 2009, the Company acquired a 100% stake in Schneider Logistics Europe S.R.O. (“Schneider SRO”), which is located in Olomouc, Czech Republic, for initial cash consideration of approximately $3,200 (net of cash acquired). Schneider SRO provides complex transaction processing services to its clients in Europe and the U.S. The Company expects to close this transaction by the end of the third quarter of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6, 2009, the Finance Minister of India presented the 2009 Finance Bill (“Bill”) to the Indian legislature. Several tax measures proposed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Bill could have an effect on the Company. These include the following:</w:t>
      </w:r>
    </w:p>
    <w:p>
      <w:pPr>
        <w:spacing w:after="0" w:line="84" w:lineRule="exact"/>
        <w:rPr>
          <w:sz w:val="20"/>
          <w:szCs w:val="20"/>
          <w:color w:val="auto"/>
        </w:rPr>
      </w:pPr>
    </w:p>
    <w:p>
      <w:pPr>
        <w:ind w:left="900" w:right="1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Extension of tax holidays under section 10A and 10B of the Indian Income Tax Act by one year for Export-Oriented and STPI units from March 31, 2010 to March 31, 2011 (subject to a maximum period of ten consecutive years)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Withdrawal of FBT including FBT on equity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the MAT rate from 10% to 15% of book profits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Extension of the period to carry forward and set off amounts paid in connection with MAT from seven years to ten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Enactment of certain safe harbors in connection with transfer pricing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 is expected to be adopted by the Indian legislature in the third quarter of 2009 and will be effective from April 1,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17, 2009, the Company entered into an operating lease agreement for setting up a new operations center in Cluj, Romania.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through the date and time the financial statements were issued on August 10,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2008. Some of the statements in the following discussion are forward looking statements. See “Forward Looking Statements.” Dollar amounts within Item 2 are presented as actual dollar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and transportation and logistics sectors.</w:t>
      </w:r>
    </w:p>
    <w:p>
      <w:pPr>
        <w:spacing w:after="0" w:line="10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ten operations centers in India and one operations center in the Philippines. On July 3, 2009, we acquired a 100% stake in Schneider Logistics Europe S.R.O. (“Schneider SRO”), which is located in Olomouc, Czech Republic, which provides complex transaction processing services to its clients in Europe and the U.S. The acquisition provides multi-lingual delivery capabilities and a cost effective near-shore delivery location in Eastern Europe. On July 17, 2009, we also entered into an operating lease agreement for setting up a new operations center in Cluj, Romania.</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August 11, 2008, the Company completed the sale of all of its shares of Noida Customer Operations Private Limited (“NCOP’) to Aviva Global Services Singapore Pte Ltd (“AGSS”). For all the periods presented, NCOP is reported as a discontinued operation and any discussion throughout this Management’s Discussion and Analysis of Financial Condition and Results of Operations and unaudited consolidated financial statements relates to continuing operations unless otherwise indicated.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six months ended June 30, 2009, we had total revenues of $42.4 million and $83.4 million, respectively, compared to total revenues of $47.0 million and $91.4 million, respectively, for the corresponding period in 2008, a decrease of 9.8% and 8.8%, respectively. This decrease in revenues was primarily due to the appreciation of the U.S. dollar against the U.K. pound sterling and lower revenues in our transformation services segment as a result of lower client discretionary spending arising out of a broad based weakness in the economy. Revenues from outsourcing services, excluding the impact of the appreciation of the U.S. dollar against the U.K. pound sterling, grew by $1.3 million during the three months ended June 30, 2009 due to addition of new clients and ongoing growth in our existing client relationships.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transformation services can be, and in the three and six months ended June 30, 2009, were, significantly affected by variations in business cycles. In addition, our transformation services primarily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64.7% and 34.2%, respectively, of our total revenues for the three months ended June 30, 2009, and approximately 53.8% and 45.8%, respectively, of our total revenues for the three months ended June 30, 2008. For the six months ended June 30, 2009, these two regions generated approximately 65.0% and 34.2%, respectively, of our total revenues and approximately 53.6% and 46.1%, respectively, of our total revenues for the six months ended June 30, 2008.</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both the United States and the United Kingdom, there has been recent negative publicity and proposed legislation with regard to outsourcing. If these trends continue and result in the enactment of additional legislation for which we are unable to contractually protect ourselves, our revenues could be materially affected. With the ongoing global economic downturn and resulting increases in unemployment in both of these countries, we expect these publicity and legislative trends to continue and possibly intensify. Our management actively monitors legislative activities in the United States and United Kingdom, both directly and through industry organizations. However, if legislation were enacted in the United Kingdom or the United States that has the effect of severely curtailing our activities in such countries, it is unlikely that we would be able to quickly replace such lost revenues.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June 30, 2009 and 2008, our total revenues from our three largest clients were $19.8 million and $20.9 million, respectively, accounting for 46.7% and 44.4% of our total revenues, respectively, during these periods. In the six months ended June 30, 2009 and 2008, our total revenues from our three largest clients were $36.6 million and $40.4 million, respectively, accounting for 43.9% and 44.2% of our total revenues, respectively, during this period.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provide services to Centrica, which represented $10.0 million, or 23.5%, and $18.7 million, or 22.4%, of our total revenues, for the three and six months ended June 30, 2009, respectively, and $12.0 million, or 25.5%, and $23.9 million, or 26.2%, of our total revenues, for the three and six months ended June 30, 2008, respectively, under an agreement that is scheduled to expire in April 2012.</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derived revenues from three new clients and one new client during the three months ended June 30, 2009 and 2008, respectively. We derived revenues from five and ten new clients for our services, including transformation services, in the six months ended June 30, 2009 and 2008, respectively.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Revenues are recognized on cost-plus contracts on the basis of contractually agreed direct and indirect cost elements incurred on a client contract plus an agreed upon profit mark-up. Revenues are recognized on time-and-material contracts primarily on the basis of full time equivalent employees, including direct and indirect costs, incurred on a client contract. Revenues are recognized on fixed-price contracts using the proportional performance method. Revenues are recognized on contingent fee based contracts when the related contingency has been met to the client’s satisfaction. Revenues are recognized on unit-price based contracts based on the number of specified units of work (such as the number of e-mail responses) delivered to a client.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2009 and 2008, $2.5 million, or 5.9%, and $3.6 million, or 7.6%, respectively, of our revenues represent reimbursement of such expenses. For the six months ended June 30, 2009 and 2008, $4.0 million, or 4.8%, and $6.5 million, or 7.1%, respectively, of our revenues represent reimbursement of such expenses.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management has observed in recent periods a shift in industry pricing models toward transaction-based pricing. We believe this trend will continue and we have begun to use transaction-based pricing models with some of our current clients and are seeking to move certain other clients from a billing rate model to a transaction-based pricing model. Transaction-based pricing places the focus on operating efficiency in order to maintain our operating margins.</w:t>
      </w:r>
    </w:p>
    <w:p>
      <w:pPr>
        <w:spacing w:after="0" w:line="107"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In addition, we have also observed that prospective larger clients are entering into multi-vendor relationships with regard to their outsourcing needs. Although we have recently had certain clients consolidate their operations within a single service provider, this was done after a period in which the client maintained relationships with multiple vendors and we believe the trend toward multi-vendor relationships will continue. A multi-vendor relationship allows a client to seek more client-friendly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to the extent we are required to modify the terms of our relationship with such clients.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our Annual Report on Form 10-K for the year ended December 31,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Three months ended</w:t>
            </w:r>
          </w:p>
        </w:tc>
        <w:tc>
          <w:tcPr>
            <w:tcW w:w="12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6"/>
              </w:rPr>
              <w:t>Six months ended</w:t>
            </w:r>
          </w:p>
        </w:tc>
        <w:tc>
          <w:tcPr>
            <w:tcW w:w="0" w:type="dxa"/>
            <w:vAlign w:val="bottom"/>
          </w:tcPr>
          <w:p>
            <w:pPr>
              <w:spacing w:after="0"/>
              <w:rPr>
                <w:sz w:val="1"/>
                <w:szCs w:val="1"/>
                <w:color w:val="auto"/>
              </w:rPr>
            </w:pPr>
          </w:p>
        </w:tc>
      </w:tr>
      <w:tr>
        <w:trPr>
          <w:trHeight w:val="161"/>
        </w:trPr>
        <w:tc>
          <w:tcPr>
            <w:tcW w:w="8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740" w:type="dxa"/>
            <w:vAlign w:val="bottom"/>
            <w:gridSpan w:val="4"/>
            <w:vMerge w:val="continue"/>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$83.4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2"/>
        </w:trPr>
        <w:tc>
          <w:tcPr>
            <w:tcW w:w="874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420"/>
              <w:spacing w:after="0"/>
              <w:rPr>
                <w:sz w:val="20"/>
                <w:szCs w:val="20"/>
                <w:color w:val="auto"/>
              </w:rPr>
            </w:pPr>
            <w:r>
              <w:rPr>
                <w:rFonts w:ascii="Arial" w:cs="Arial" w:eastAsia="Arial" w:hAnsi="Arial"/>
                <w:sz w:val="18"/>
                <w:szCs w:val="18"/>
                <w:color w:val="auto"/>
              </w:rPr>
              <w:t>Selling and marketing expenses(3)</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40" w:type="dxa"/>
            <w:vAlign w:val="bottom"/>
            <w:gridSpan w:val="4"/>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Other income/(expense):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420"/>
              <w:spacing w:after="0"/>
              <w:rPr>
                <w:sz w:val="20"/>
                <w:szCs w:val="20"/>
                <w:color w:val="auto"/>
              </w:rPr>
            </w:pPr>
            <w:r>
              <w:rPr>
                <w:rFonts w:ascii="Arial" w:cs="Arial" w:eastAsia="Arial" w:hAnsi="Arial"/>
                <w:sz w:val="18"/>
                <w:szCs w:val="18"/>
                <w:color w:val="auto"/>
              </w:rPr>
              <w:t>Interest and other income, net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Income tax provision/(benefit)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$2.5 million and $3.6 million for the three months ended June 30, 2009 and 2008, respectively and $4.0 million and $6.5 million for the six months ended June 30, 2009 and 2008, respectively.</w:t>
      </w:r>
    </w:p>
    <w:p>
      <w:pPr>
        <w:spacing w:after="0" w:line="59"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includes $0.5 million each for the three months ended June 30, 2009 and 2008, respectively and $0.8 million and $0.6 million for the six months ended June 30, 2009 and 2008, respectively, as non-cash amortization of stock compensation expense relating to the issuance of equity awards to employees directly involved in providing services to our clients as described in Note 12 to our unaudited consolidated financial statements. Cost of revenues excludes depreciation and amortization related to fixed assets.</w:t>
      </w:r>
    </w:p>
    <w:p>
      <w:pPr>
        <w:spacing w:after="0" w:line="62" w:lineRule="exact"/>
        <w:rPr>
          <w:rFonts w:ascii="Arial" w:cs="Arial" w:eastAsia="Arial" w:hAnsi="Arial"/>
          <w:sz w:val="18"/>
          <w:szCs w:val="18"/>
          <w:color w:val="auto"/>
        </w:rPr>
      </w:pPr>
    </w:p>
    <w:p>
      <w:pPr>
        <w:jc w:val="both"/>
        <w:ind w:left="460" w:right="12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includes $1.5 million and $1.4 million for the three months ended June 30, 2009 and 2008 respectively, and $2.8 million and $2.3 million for the six months ended June 30, 2009 and 2008, respectively as non-cash amortization of stock compensation expense relating to the issuance of equity awards to our non-operations staff as described in Note 12 to our unaudited consolidated financial statements.</w:t>
      </w:r>
    </w:p>
    <w:p>
      <w:pPr>
        <w:spacing w:after="0" w:line="62"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includes $0 million and $0.2 million for the three months ended June 30, 2009 and 2008, respectively, and $0 million and $0.4 million for the six months ended June 30, 2009 and 2008, respectively, of amortization of intangibles.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2009 Compared to Three Months Ended June 30, 2008</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decreased 9.8% from $47.0 million for the three months ended June 30, 2008 to $42.4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Revenues from outsourcing services decreased by $1.6 million, as a result of a $2.9 million reduction due to the appreciation of the U.S. dollar against the U.K. pound sterling partially offset by revenue from volume increases within existing processes and the addition of 20 new processes aggregating to $1.1 million during the three months ended June 30, 2009. Revenues from new clients for outsourcing services were $0.2 million and $0 million during the three months ended June 30, 2009 and 2008, respectively.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Revenues from transformation services decreased by $3.0 million, as a result of a $0.3 million reduction due to the appreciation of the U.S. dollar against the U.K. pound sterling and lower revenues due to reduced client spending on discretionary projects during the three months ended June 30, 2009. Revenues from new clients for transformation services were $0.1 million and $0 million during the three months ended June 30, 2009 and 2008, respectively.</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decreased 14.5% from $30.2 million for the three months ended June 30, 2008 to $25.8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2009. Salaries and personnel expenses decreased from $21.4 million for the three months ended June 30, 2008 to $17.9 million for the three months ended June 30, 2009, primarily due to the depreciation of the Indian rupee against the U.S. dollar, resulting in a decrease in costs of $2.1 million and decrease in transportation cost by $0.8 million. Other operating costs decreased from $8.8 million for the three months ended June 30, 2008 to $7.9 million for the three months ended June 30, 2009, primarily due to a decrease in reimbursable expenses by $0.3 million and depreciation of the Indian rupee against the U.S. dollar, resulting in a decrease in costs of $0.6 million. As a percentage of revenues, cost of revenues decreased from 64.3% for the three months ended June 30, 2008 to 60.9% for the three months ended June 30,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decreased 1.4% from $16.8 million for the three months ended June 30, 2008 to $16.6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2009. The decrease in gross profit was primarily due to a decrease in revenues of $4.6 million, offset by a decrease in cost of revenues of $4.4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profit as a percentage of revenues increased from 35.7% for the three months ended June 30, 2008 to 39.1% for the three months ended June 30, 2009.</w:t>
      </w:r>
    </w:p>
    <w:p>
      <w:pPr>
        <w:spacing w:after="0" w:line="18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decreased 3.6% from $11.4 million for the three months ended June 30, 2008 to $11.0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2009. The decrease in SG&amp;A expenses is primarily due to the depreciation of the Indian rupee against the U.S. dollar resulting in a decrease in costs of $0.5 million, a decrease in other operating expenses of $0.6 million, partially offset by an increase in salary and personnel expenses of $0.5 million, provision for doubtful debts of $0.1 million and pre-acquisition related costs of $0.1 million. As a percentage of revenues, SG&amp;A increased from 24.2% for the three months ended June 30, 2008 to 25.9% for the three months ended June 30, 2009.</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decreased 5.6% from $2.9 million for the three months ended June 30, 2008 to $2.8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June 30, 2009, primarily due to the depreciation of the Indian rupee against the U.S. dollar resulting in a decrease in costs of $0.4 million, offset by an increase in costs due to accelerated depreciation in one of our operations center of $0.3 million. As we add more operations centers, we expect that depreciation expense will increase to reflect the additional investment in equipment and operations centers necessary to meet our service requirements.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13.7% from $2.5 million for the three months ended June 30, 2008 to $2.8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2009. As a percentage of revenues, income from operations increased from 5.2% for the three months ended June 30, 2008 to 6.6% for the three months ended June 30, 2009. The increase in income from operations was primarily due to a decrease in operating expenses of $0.6 million, partially offset by a decrease in gross profit of $0.2 million.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decreased from expense of $0.2 million for the three months ended June 30, 2008 to an expense of $1.4 million for the three months ended June 30, 2009 as a result of increase in net foreign exchange losses by $0.9 million attributable to movement of the Indian rupee against the U.S. dollar and the U.K. pound sterling relative to our foreign exchange hedged position and lower interest income by $0.3 million.</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a benefit of $0.4 million for the three months ended June 30, 2008 to an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0.1 million for the three months ended June 30, 2009. The effective rate of taxes has increased from a benefit of 16.2% for the three months ended June 30, 2008 to a provision of 8.0% for the three months ended June 30, 2009. This is primarily due to changes in the geographic distribution of our income.</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Income from Continuing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continuing operations decreased from $2.6 million for the three months ended June 30, 2008 to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2009, primarily due to decrease in other income/(expense). As a percentage of revenues, income from continuing operations decreased from 5.5% for the three months ended June 30, 2008 to 3.0% for the three months ended June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2009 Compared to Six Months Ended June 30, 2008</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decreased 8.8% from $91.4 million for the six months ended June 30, 2008 to $83.4 million for the six months ended June 30,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from outsourcing services decreased by $3.2 million, as a result of a $7.1 million reduction due to the appreciation of the U.S. dollar against the U.K. pound sterling partially offset by revenue from volume increases within existing processes and the addition of 35 new processes aggregating to $3.7 million during the six months ended June 30, 2009. Revenues from new clients for outsourcing services were $0.2 million for each of the six months ended June 30, 2009 and 2008.</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Revenues from transformation services decreased by $4.9 million, as a result of a $1.1 million reduction due to the appreciation of the U.S. dollar against the U.K. pound sterling and lower revenues due to reduced client spending on discretionary projects during the six months ended June 30, 2009. Revenues from new clients for transformation services were $0.4 million and $1.4 million during the six months ended June 30, 2009 and 2008, respectively.</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b w:val="1"/>
          <w:bCs w:val="1"/>
          <w:i w:val="1"/>
          <w:iCs w:val="1"/>
          <w:color w:val="auto"/>
        </w:rPr>
        <w:t>Cost of Revenues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 of revenues decreased 14.7% from $58.8 million for the six months ended June 30, 2008 to $50.2 million for the six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2009. Salaries and personnel expenses decreased from $41.4 million for the six months ended June 30, 2008 to $35.4 million for the six months ended June 30, 2009, primarily due to the depreciation of the Indian rupee against the U.S. dollar, resulting in a decrease in costs of $5.9 million. Other operating costs decreased from $17.4 million for the six months ended June 30, 2008 to $14.8 million for the six months ended June 30, 2009, primarily due to a decrease in reimbursable expenses by $1.3 million and depreciation of the Indian rupee against the U.S. dollar, resulting in a decrease in costs of $1.5 million. As a percentage of revenues, cost of revenues decreased from 64.4% for the six months ended June 30, 2008 to 60.2% for the six months ended June 30, 2009.</w:t>
      </w:r>
    </w:p>
    <w:p>
      <w:pPr>
        <w:spacing w:after="0" w:line="10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1.8% from $32.6 million for the six months ended June 30, 2008 to $33.2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The increase in gross profit was primarily due to a decrease in cost of revenues of $8.7 million, offset by a decrease in revenues of $8.0 million. Gross profit as a percentage of revenues increased from 35.6% for the six months ended June 30, 2008 to 39.8% for the six months ended June 30, 2009.</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decreased 5.6% from $22.1 million for the six months ended June 30, 2008 to $20.9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2009. The decrease in SG&amp;A expenses is primarily due to the depreciation of the Indian rupee against the U.S. dollar resulting in a decrease in costs of $1.3 million, a decrease in other operating expenses of $1.3 million, offset by an increase in salary and personnel expenses of $1.4 million. As a percentage of revenues, SG&amp;A expenses increased from 24.2% for the six months ended June 30, 2008 to 25.1% for the six months ended June 30, 2009.</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decreased 4.6% from $5.5 million for the six months ended June 30, 2008 to $5.2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2009, primarily due to the depreciation of the Indian rupee against the U.S. dollar resulting in a decrease in costs of $0.9 million, partially offset by an increase in costs due to accelerated depreciation in one of our operations center of $0.3 million and expansion of our infrastructure including our new facilities in Pasay City, Philippines and Pune, India of $0.4 million. As we add more operations centers, we expect that depreciation expense will increase to reflect the additional investment in equipment and operations centers necessary to meet our service requirements.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41.8% from $5.0 million for the six months ended June 30, 2008 to $7.1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2009. As a percentage of revenues, income from operations increased from 5.5% for the six months ended June 30, 2008 to 8.5% for the six months ended June 30, 2009. The increase in income from operations was primarily the result of an increase in gross profit of $0.6 million and a decrease in operating expenses of $1.5 million, primarily due to the depreciation of the Indian rupee against the U.S. dollar.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Income/(expense). </w:t>
      </w:r>
      <w:r>
        <w:rPr>
          <w:rFonts w:ascii="Arial" w:cs="Arial" w:eastAsia="Arial" w:hAnsi="Arial"/>
          <w:sz w:val="18"/>
          <w:szCs w:val="18"/>
          <w:color w:val="auto"/>
        </w:rPr>
        <w:t>Other income/(expense) is comprised of foreign exchange gains and losses, interest income, interest expense and other.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decreased from an income of $1.9 million for the six months ended June 30, 2008 to an expense of $2.5 million for the six months ended June 30, 2009 as a result of a significant increase in net foreign exchange losses by $3.8 million attributable to movement of the Indian rupee against the U.S. dollar and the U.K. pound sterling relative to our hedged position and lower interest income by $0.5 million.</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a benefit of $0.4 million for the six months ended June 30, 2008 to an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$0.4 million for the six months ended June 30, 2009. The effective rate of taxes has increased from a benefit of 5.7% for the six months ended June 30, 2008 to a provision of 8.0% for the six months ended June 30, 2009. This is primarily due to changes in the geographic distribution of our income.</w:t>
      </w:r>
    </w:p>
    <w:p>
      <w:pPr>
        <w:spacing w:after="0" w:line="10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Income from Continuing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continuing operations decreased from $7.3 million for the six months ended June 30, 2008 to $4.2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2009, primarily due to decrease in other income/(expense), partially offset by higher income from operations. As a percentage of revenues, income from continuing operations decreased from 8.0% for the six months ended June 30, 2008 to 5.1% for the six months ended June 30,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2009, we had $114.3 million in cash and cash equivalents on hand.</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flows provided by operating activities increased from $3.9 million in the six months ended June 30, 2008 to $6.6 million in the six months ended June 30, 2009. Generally, factors that affect our earnings—for example, pricing, volume of services, costs and productivity—affect our cash flows provided by or used for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provided by operations is predominantly due to changes in working capital by $9.2 million, partially offset by the decrease in net income adjusted for non-cash items by $6.5 million. Changes in working capital are primarily due to a reduction in accounts receivable of $3.0 million for the six months ended June 30, 2009 as compared to an increase of $4.6 million for the six months ended June 30, 2008 and an increase in deferred revenue of $1.6 million for the six months ended June, 30 2009 as compared to a decrease of $0.4 million for the six months ended June 30,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flows used for investing activities decreased from $12.1 million in the six months ended June 30, 2008 to $5.2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2009. The decrease is primarily the result of lower capital expenditures of $3.7 million and proceeds from the sale of our discontinued operations of $1.4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six months ended June 30, 2009 and payment of $1.7 million as purchase consideration for an acquisition made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provided by financing activities were insignificant during the six months ended June 30, 2009 and 2008.</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$6.8 million of capital expenditures in the six months ended June 30, 2009. We expect to incur capital expenditures of approximately $5.0 million to $8.0 million in the remainder of fiscal year 2009 primarily to meet the growth requirements of our clients, including additions to our facilities as well as to improve our internal technology. The timing and volume of such capital expenditures in the future will be affected by new contracts we may enter into or the expansion of our existing contracts. In addition, we may repurchase shares of our common stock from time to time until November 2009. Through June 30, 2009, we had repurchased an aggregate of approximately $0.4 million under our previously announced program to repurchase up to $10.0 million of our common stock.</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 As required by the MAP, we obtained bank guarantees of approximately $2.8 million in April 2009, and will need to obtain additional bank guarantees of approximately $3.5 million during the third quarter of 2009, in favor of the government of India to stop the collection of the outstanding tax demands and interest for tax years 2003-04, 2004-05 and 2005-06.</w:t>
      </w:r>
    </w:p>
    <w:p>
      <w:pPr>
        <w:spacing w:after="0" w:line="9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 Based on economic conditions as of June 30, 2009, we believe that cash flow from operations will be sufficient to meet our ongoing capital expenditure, working capital and other cash needs in the near term. If we have significant growth through acquisitions, we may need to obtain additional financing.</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July 3, 2009, we acquired a 100% stake in Schneider SRO, which is located in Olomouc, Czech Republic, for initial cash consideration of approximately $3.2 million (net of cash acquired) which was funded through our internal cash accruals. We also intend to set up a new operations center in Cluj, Romania through our internal cash accruals.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2009 and December 31, 2008,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4"/>
                <w:szCs w:val="14"/>
                <w:b w:val="1"/>
                <w:bCs w:val="1"/>
                <w:color w:val="auto"/>
                <w:w w:val="87"/>
              </w:rPr>
              <w:t>Payments Due by Period (in millions)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6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After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1-3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4-5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5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4</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achieve the export levels within the required timeframe as they have consistently generated the required levels of export revenues.</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2011. The registration has also provided us with certain incentives on the import of capital goods. We believe that Exl Philippines will achieve these export levels within the required timeframe.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June 2009, the Financial Accounting Standards Board (“FASB”) issued FASB No. 168, “</w:t>
      </w:r>
      <w:r>
        <w:rPr>
          <w:rFonts w:ascii="Arial" w:cs="Arial" w:eastAsia="Arial" w:hAnsi="Arial"/>
          <w:sz w:val="18"/>
          <w:szCs w:val="18"/>
          <w:i w:val="1"/>
          <w:iCs w:val="1"/>
          <w:color w:val="auto"/>
        </w:rPr>
        <w:t>The FASB Accounting Standards Codification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Hierarchy of Generally Accepted Accounting Principles — a replacement of FASB Statement No. 162</w:t>
      </w:r>
      <w:r>
        <w:rPr>
          <w:rFonts w:ascii="Arial" w:cs="Arial" w:eastAsia="Arial" w:hAnsi="Arial"/>
          <w:sz w:val="18"/>
          <w:szCs w:val="18"/>
          <w:color w:val="auto"/>
        </w:rPr>
        <w:t>” (“SFAS No. 168”). SFAS No. 168 establishes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 the source of authoritative accounting principles recognized by the FASB to be applied by non-governmental entities in the preparation of financial statements in conformity with GAAP in the United States. SFAS No. 168 is effective for financial statements issued for interim and annual periods ending after September 15, 2009. We do not expect the impact of the adoption of this statement to be material on our consolidated financial position, results of operations or cash flows.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(“SFAS No. 165”), which is effective for interim and annual periods ending after June 15, 2009. SFAS No. 165 is intended to establish general standards of accounting for and disclosures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The adoption of this standard did not have a material impact on our consolidated financial position, results of operations or cash flows. See Note 17 on Subsequent Events.</w:t>
      </w:r>
    </w:p>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April 2009, the FASB issued Staff Position No.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(“FSP FAS 107-1”). FSP FAS 107-1 amends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(“SFAS No. 107”) to require disclosures about fair value of financial instruments in interim reporting periods. Such disclosures were previously required only in annual financial statements. We adopted the provisions of FSP FAS 107-1 for the quarter ended June 30, 2009. Because FSP FAS 107-1 applies only to financial statement disclosures, the adoption did not have a material effect on our consolidated financial position, results of operations or cash flows. See Note 5 on Fair Value Measurements.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 (revised 2007)”). SFAS No. 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 The impact of SFAS No. 141 (revised 2007) on our consolidated financial statements will depend on the size and nature of any business combinations on or after January 1, 2009. See Note 17 on Subsequent Events.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three months ended June 30, 2009,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2009. Based upon that evaluation, the CEO and CFO have concluded that, as of June 30, 2009, our disclosure controls and procedures were effective to provide reasonable assurance that the information required to be disclosed by us in reports filed under the Exchange Act were (i) recorded, processed, summarized and reported within the time periods specified in the SEC’s rules and forms and (ii) accumulated and communicated to our management, to allow timely decisions regarding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three months ended June 30, 2009,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 15 on Commitments and Contingencies in the Notes to Unaudited Consolidated Financial Statements contained herein for the information regarding our ongoing legal proceedings.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2008 the risk factors which materially affect our business, financial condition or results of operations. You should carefully consider the “Risk Factors” set forth in our Annual Report on Form 10-K for the year ended December 31, 2008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June 30, 2009, the Company acquired 3,014 shares of common stock from employees in connection with withholding tax payments related to the vesting of restricted stock for a total consideration of $28,374. The purchase price of $9.41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held its 2009 Annual Meeting of Stockholders on June 24, 2009 in Middletown, Connecticut. Of the 28,986,303 shares of common stock entitled to vote at the meeting, 27,761,291 shares were represented at the meeting in person or by proxy, constituting a quorum. The voting results were as follows:</w:t>
      </w:r>
    </w:p>
    <w:p>
      <w:pPr>
        <w:spacing w:after="0" w:line="59" w:lineRule="exact"/>
        <w:rPr>
          <w:sz w:val="20"/>
          <w:szCs w:val="20"/>
          <w:color w:val="auto"/>
        </w:rPr>
      </w:pPr>
    </w:p>
    <w:p>
      <w:pPr>
        <w:ind w:right="16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stockholders elected the following Directors to serve until the Company’s 2012 Annual Meeting of Stockholders and until their successors are duly elected and qualified. The votes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Director</w:t>
            </w:r>
          </w:p>
        </w:tc>
        <w:tc>
          <w:tcPr>
            <w:tcW w:w="71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Votes in Favor</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Votes Withheld</w:t>
            </w:r>
          </w:p>
        </w:tc>
        <w:tc>
          <w:tcPr>
            <w:tcW w:w="20" w:type="dxa"/>
            <w:vAlign w:val="bottom"/>
          </w:tcPr>
          <w:p>
            <w:pPr>
              <w:spacing w:after="0"/>
              <w:rPr>
                <w:sz w:val="14"/>
                <w:szCs w:val="14"/>
                <w:color w:val="auto"/>
              </w:rPr>
            </w:pPr>
          </w:p>
        </w:tc>
      </w:tr>
      <w:tr>
        <w:trPr>
          <w:trHeight w:val="201"/>
        </w:trPr>
        <w:tc>
          <w:tcPr>
            <w:tcW w:w="8260" w:type="dxa"/>
            <w:vAlign w:val="bottom"/>
            <w:gridSpan w:val="2"/>
          </w:tcPr>
          <w:p>
            <w:pPr>
              <w:spacing w:after="0" w:line="201" w:lineRule="exact"/>
              <w:rPr>
                <w:sz w:val="20"/>
                <w:szCs w:val="20"/>
                <w:color w:val="auto"/>
              </w:rPr>
            </w:pPr>
            <w:r>
              <w:rPr>
                <w:rFonts w:ascii="Arial" w:cs="Arial" w:eastAsia="Arial" w:hAnsi="Arial"/>
                <w:sz w:val="18"/>
                <w:szCs w:val="18"/>
                <w:color w:val="auto"/>
              </w:rPr>
              <w:t>Steven B. Gruber</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w w:val="90"/>
              </w:rPr>
              <w:t>27,682,878</w:t>
            </w:r>
          </w:p>
        </w:tc>
        <w:tc>
          <w:tcPr>
            <w:tcW w:w="5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78,413</w:t>
            </w:r>
          </w:p>
        </w:tc>
        <w:tc>
          <w:tcPr>
            <w:tcW w:w="20" w:type="dxa"/>
            <w:vAlign w:val="bottom"/>
          </w:tcPr>
          <w:p>
            <w:pPr>
              <w:spacing w:after="0"/>
              <w:rPr>
                <w:sz w:val="17"/>
                <w:szCs w:val="17"/>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Dr. Mohanbir Sawhney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27,687,739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73,552</w:t>
            </w: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27,669,475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91,816</w:t>
            </w:r>
          </w:p>
        </w:tc>
      </w:tr>
    </w:tbl>
    <w:p>
      <w:pPr>
        <w:spacing w:after="0" w:line="156"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stockholders ratified the selection of Ernst &amp; Young LLP as the independent registered public account firm of the Company for fiscal year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2009. The votes were as follows:</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760" w:type="dxa"/>
            <w:vAlign w:val="bottom"/>
            <w:gridSpan w:val="2"/>
          </w:tcPr>
          <w:p>
            <w:pPr>
              <w:jc w:val="center"/>
              <w:ind w:right="3160"/>
              <w:spacing w:after="0"/>
              <w:rPr>
                <w:sz w:val="20"/>
                <w:szCs w:val="20"/>
                <w:color w:val="auto"/>
              </w:rPr>
            </w:pPr>
            <w:r>
              <w:rPr>
                <w:rFonts w:ascii="Arial" w:cs="Arial" w:eastAsia="Arial" w:hAnsi="Arial"/>
                <w:sz w:val="14"/>
                <w:szCs w:val="14"/>
                <w:b w:val="1"/>
                <w:bCs w:val="1"/>
                <w:color w:val="auto"/>
                <w:w w:val="86"/>
              </w:rPr>
              <w:t>Votes 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2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Votes Withheld</w:t>
            </w:r>
          </w:p>
        </w:tc>
      </w:tr>
      <w:tr>
        <w:trPr>
          <w:trHeight w:val="216"/>
        </w:trPr>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2"/>
              </w:rPr>
              <w:t>27,742,622</w:t>
            </w:r>
          </w:p>
        </w:tc>
        <w:tc>
          <w:tcPr>
            <w:tcW w:w="3160" w:type="dxa"/>
            <w:vAlign w:val="bottom"/>
          </w:tcPr>
          <w:p>
            <w:pPr>
              <w:spacing w:after="0"/>
              <w:rPr>
                <w:sz w:val="18"/>
                <w:szCs w:val="18"/>
                <w:color w:val="auto"/>
              </w:rPr>
            </w:pPr>
          </w:p>
        </w:tc>
        <w:tc>
          <w:tcPr>
            <w:tcW w:w="86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rPr>
              <w:t>17,020</w:t>
            </w:r>
          </w:p>
        </w:tc>
        <w:tc>
          <w:tcPr>
            <w:tcW w:w="2960" w:type="dxa"/>
            <w:vAlign w:val="bottom"/>
          </w:tcPr>
          <w:p>
            <w:pPr>
              <w:spacing w:after="0"/>
              <w:rPr>
                <w:sz w:val="18"/>
                <w:szCs w:val="18"/>
                <w:color w:val="auto"/>
              </w:rPr>
            </w:pPr>
          </w:p>
        </w:tc>
        <w:tc>
          <w:tcPr>
            <w:tcW w:w="94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1,649</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198" w:lineRule="exact"/>
        <w:rPr>
          <w:sz w:val="20"/>
          <w:szCs w:val="20"/>
          <w:color w:val="auto"/>
        </w:rPr>
      </w:pPr>
    </w:p>
    <w:p>
      <w:pPr>
        <w:ind w:left="700" w:right="200" w:hanging="666"/>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66"/>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66"/>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66"/>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80" w:val="left"/>
          <w:tab w:leader="none" w:pos="808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10795</wp:posOffset>
            </wp:positionV>
            <wp:extent cx="32759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Vishal Chhibbar</w:t>
      </w:r>
    </w:p>
    <w:p>
      <w:pPr>
        <w:jc w:val="center"/>
        <w:ind w:left="6360"/>
        <w:spacing w:after="0" w:line="223"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638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459" w:right="6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2009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2009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5"/>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2019-12-11T00:02:50Z</dcterms:created>
  <dcterms:modified xsi:type="dcterms:W3CDTF">2019-12-11T00:02:50Z</dcterms:modified>
</cp:coreProperties>
</file>