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6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651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Mahon Anita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4,365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03/02/2020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4,365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03/02/2030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4,365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1,992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03/02/2020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1,992</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03/02/2030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1,992</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March 2,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jc w:val="both"/>
        <w:ind w:left="40" w:right="180"/>
        <w:spacing w:after="0" w:line="233" w:lineRule="auto"/>
        <w:rPr>
          <w:sz w:val="20"/>
          <w:szCs w:val="20"/>
          <w:color w:val="auto"/>
        </w:rPr>
      </w:pPr>
      <w:r>
        <w:rPr>
          <w:rFonts w:ascii="Arial" w:cs="Arial" w:eastAsia="Arial" w:hAnsi="Arial"/>
          <w:sz w:val="14"/>
          <w:szCs w:val="14"/>
          <w:color w:val="008000"/>
        </w:rPr>
        <w:t>Executive Vice President &amp; Chief Growth and Strategy Officer. Mr. Oseni is the Company's Head of Administration and Accounts. Note: On March 2,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03/04/2020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2020-03-04T16:05:24Z</dcterms:created>
  <dcterms:modified xsi:type="dcterms:W3CDTF">2020-03-04T16:05:24Z</dcterms:modified>
</cp:coreProperties>
</file>