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Srivatsan Nagaraja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8"/>
          <w:szCs w:val="18"/>
          <w:color w:val="0000FF"/>
        </w:rPr>
        <w:t>Exec VP &amp; Chief Growth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6,410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02/20/2019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6,410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02/20/2029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6,410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20, 2020.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80"/>
        <w:spacing w:after="0" w:line="233" w:lineRule="auto"/>
        <w:rPr>
          <w:sz w:val="20"/>
          <w:szCs w:val="20"/>
          <w:color w:val="auto"/>
        </w:rPr>
      </w:pPr>
      <w:r>
        <w:rPr>
          <w:rFonts w:ascii="Arial" w:cs="Arial" w:eastAsia="Arial" w:hAnsi="Arial"/>
          <w:sz w:val="14"/>
          <w:szCs w:val="14"/>
          <w:color w:val="008000"/>
        </w:rPr>
        <w:t>Note: On February 20, 2019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Ayyappan is the Company's Senior Vice President &amp; General Counsel/Corporate Secretary.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Ajay Ayyappan, Attorney-</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02/22/2019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25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2019-12-23T22:11:50Z</dcterms:created>
  <dcterms:modified xsi:type="dcterms:W3CDTF">2019-12-23T22:11:50Z</dcterms:modified>
</cp:coreProperties>
</file>