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40"/>
          </w:cols>
          <w:pgMar w:left="240" w:top="226" w:right="29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46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303"/>
          </w:cols>
          <w:pgMar w:left="240" w:top="226" w:right="29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280"/>
          </w:cols>
          <w:pgMar w:left="240" w:top="226"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500" w:type="dxa"/>
            <w:vAlign w:val="bottom"/>
          </w:tcPr>
          <w:p>
            <w:pPr>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360"/>
          </w:cols>
          <w:pgMar w:left="240" w:top="226" w:right="299" w:bottom="1440" w:gutter="0" w:footer="0" w:header="0"/>
          <w:type w:val="continuous"/>
        </w:sectPr>
      </w:pPr>
    </w:p>
    <w:p>
      <w:pPr>
        <w:spacing w:after="0" w:line="6" w:lineRule="exact"/>
        <w:rPr>
          <w:sz w:val="24"/>
          <w:szCs w:val="24"/>
          <w:color w:val="auto"/>
        </w:rPr>
      </w:pPr>
    </w:p>
    <w:p>
      <w:pPr>
        <w:spacing w:after="0"/>
        <w:rPr>
          <w:sz w:val="20"/>
          <w:szCs w:val="20"/>
          <w:color w:val="auto"/>
        </w:rPr>
      </w:pPr>
      <w:r>
        <w:rPr>
          <w:sz w:val="1"/>
          <w:szCs w:val="1"/>
          <w:color w:val="auto"/>
        </w:rPr>
        <w:drawing>
          <wp:inline distT="0" distB="0" distL="0" distR="0">
            <wp:extent cx="34290" cy="2482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248285"/>
                    </a:xfrm>
                    <a:prstGeom prst="rect">
                      <a:avLst/>
                    </a:prstGeom>
                    <a:noFill/>
                    <a:ln>
                      <a:noFill/>
                    </a:ln>
                  </pic:spPr>
                </pic:pic>
              </a:graphicData>
            </a:graphic>
          </wp:inline>
        </w:drawing>
      </w:r>
      <w:r>
        <w:rPr>
          <w:rFonts w:ascii="Arial" w:cs="Arial" w:eastAsia="Arial" w:hAnsi="Arial"/>
          <w:sz w:val="15"/>
          <w:szCs w:val="15"/>
          <w:color w:val="0000FF"/>
        </w:rPr>
        <w:t xml:space="preserve"> Common Stock, par value $0.001 per share </w:t>
      </w:r>
      <w:r>
        <w:rPr>
          <w:sz w:val="1"/>
          <w:szCs w:val="1"/>
          <w:color w:val="auto"/>
        </w:rPr>
        <w:drawing>
          <wp:inline distT="0" distB="0" distL="0" distR="0">
            <wp:extent cx="42545" cy="248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5"/>
          <w:szCs w:val="15"/>
          <w:color w:val="0000FF"/>
        </w:rPr>
        <w:t xml:space="preserve">  03/13/2017</w:t>
      </w:r>
    </w:p>
    <w:p>
      <w:pPr>
        <w:spacing w:after="0" w:line="20" w:lineRule="exact"/>
        <w:rPr>
          <w:sz w:val="24"/>
          <w:szCs w:val="24"/>
          <w:color w:val="auto"/>
        </w:rPr>
      </w:pPr>
      <w:r>
        <w:rPr>
          <w:sz w:val="24"/>
          <w:szCs w:val="24"/>
          <w:color w:val="auto"/>
        </w:rPr>
        <w:br w:type="column"/>
      </w:r>
    </w:p>
    <w:p>
      <w:pPr>
        <w:spacing w:after="0"/>
        <w:tabs>
          <w:tab w:leader="none" w:pos="217" w:val="left"/>
        </w:tabs>
        <w:rPr>
          <w:sz w:val="20"/>
          <w:szCs w:val="20"/>
          <w:color w:val="auto"/>
        </w:rPr>
      </w:pPr>
      <w:r>
        <w:rPr>
          <w:rFonts w:ascii="Arial" w:cs="Arial" w:eastAsia="Arial" w:hAnsi="Arial"/>
          <w:sz w:val="14"/>
          <w:szCs w:val="14"/>
          <w:color w:val="0000FF"/>
        </w:rPr>
        <w:t>S</w:t>
      </w:r>
      <w:r>
        <w:rPr>
          <w:sz w:val="20"/>
          <w:szCs w:val="20"/>
          <w:color w:val="auto"/>
        </w:rPr>
        <w:tab/>
      </w:r>
      <w:r>
        <w:rPr>
          <w:sz w:val="1"/>
          <w:szCs w:val="1"/>
          <w:color w:val="auto"/>
        </w:rPr>
        <w:drawing>
          <wp:inline distT="0" distB="0" distL="0" distR="0">
            <wp:extent cx="42545" cy="238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drawing>
          <wp:inline distT="0" distB="0" distL="0" distR="0">
            <wp:extent cx="42545" cy="238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3,863  </w:t>
      </w:r>
      <w:r>
        <w:rPr>
          <w:sz w:val="1"/>
          <w:szCs w:val="1"/>
          <w:color w:val="auto"/>
        </w:rPr>
        <w:drawing>
          <wp:inline distT="0" distB="0" distL="0" distR="0">
            <wp:extent cx="42545" cy="238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  </w:t>
      </w:r>
      <w:r>
        <w:rPr>
          <w:sz w:val="1"/>
          <w:szCs w:val="1"/>
          <w:color w:val="auto"/>
        </w:rPr>
        <w:drawing>
          <wp:inline distT="0" distB="0" distL="0" distR="0">
            <wp:extent cx="42545" cy="238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color w:val="0000FF"/>
        </w:rPr>
        <w:t>45.21</w:t>
      </w:r>
      <w:r>
        <w:rPr>
          <w:rFonts w:ascii="Arial" w:cs="Arial" w:eastAsia="Arial" w:hAnsi="Arial"/>
          <w:sz w:val="22"/>
          <w:szCs w:val="22"/>
          <w:color w:val="008000"/>
          <w:vertAlign w:val="superscript"/>
        </w:rPr>
        <w:t xml:space="preserve">(1) </w:t>
      </w:r>
      <w:r>
        <w:rPr>
          <w:sz w:val="1"/>
          <w:szCs w:val="1"/>
          <w:color w:val="auto"/>
        </w:rPr>
        <w:drawing>
          <wp:inline distT="0" distB="0" distL="0" distR="0">
            <wp:extent cx="42545" cy="238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0      </w:t>
      </w:r>
      <w:r>
        <w:rPr>
          <w:sz w:val="1"/>
          <w:szCs w:val="1"/>
          <w:color w:val="auto"/>
        </w:rPr>
        <w:drawing>
          <wp:inline distT="0" distB="0" distL="0" distR="0">
            <wp:extent cx="42545" cy="238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w:t>
      </w:r>
    </w:p>
    <w:p>
      <w:pPr>
        <w:spacing w:after="0" w:line="64" w:lineRule="exact"/>
        <w:rPr>
          <w:sz w:val="24"/>
          <w:szCs w:val="24"/>
          <w:color w:val="auto"/>
        </w:rPr>
      </w:pPr>
    </w:p>
    <w:p>
      <w:pPr>
        <w:sectPr>
          <w:pgSz w:w="11900" w:h="16838" w:orient="portrait"/>
          <w:cols w:equalWidth="0" w:num="2">
            <w:col w:w="5000" w:space="720"/>
            <w:col w:w="5640"/>
          </w:cols>
          <w:pgMar w:left="240" w:top="226"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$45.18 to $45.32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Ms. Saltzman is an Executive Vice President of the Company and the Company's General Counsel and Corporate Secretary.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Nancy Saltzman,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03/15/2017</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40" w:top="226"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2019-12-04T01:06:51Z</dcterms:created>
  <dcterms:modified xsi:type="dcterms:W3CDTF">2019-12-04T01:06:51Z</dcterms:modified>
</cp:coreProperties>
</file>