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STAGLIN GAREN K</w:t>
              </w:r>
            </w:hyperlink>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4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320 PARK AVENUE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ind w:left="80"/>
              <w:spacing w:after="0"/>
              <w:rPr>
                <w:sz w:val="20"/>
                <w:szCs w:val="20"/>
                <w:color w:val="auto"/>
              </w:rPr>
            </w:pPr>
            <w:r>
              <w:rPr>
                <w:rFonts w:ascii="Arial" w:cs="Arial" w:eastAsia="Arial" w:hAnsi="Arial"/>
                <w:sz w:val="17"/>
                <w:szCs w:val="17"/>
                <w:color w:val="0000FF"/>
              </w:rPr>
              <w:t>05/05/2022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29TH FLOOR</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21"/>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140" w:type="dxa"/>
            <w:vAlign w:val="bottom"/>
            <w:gridSpan w:val="3"/>
          </w:tcPr>
          <w:p>
            <w:pPr>
              <w:ind w:left="34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5"/>
          </w:tcPr>
          <w:p>
            <w:pPr>
              <w:ind w:left="3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7"/>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40" w:type="dxa"/>
            <w:vAlign w:val="bottom"/>
            <w:gridSpan w:val="5"/>
            <w:vMerge w:val="restart"/>
          </w:tcPr>
          <w:p>
            <w:pPr>
              <w:ind w:left="440"/>
              <w:spacing w:after="0"/>
              <w:rPr>
                <w:sz w:val="20"/>
                <w:szCs w:val="20"/>
                <w:color w:val="auto"/>
              </w:rPr>
            </w:pPr>
            <w:r>
              <w:rPr>
                <w:rFonts w:ascii="Arial" w:cs="Arial" w:eastAsia="Arial" w:hAnsi="Arial"/>
                <w:sz w:val="17"/>
                <w:szCs w:val="17"/>
                <w:color w:val="0000FF"/>
              </w:rPr>
              <w:t>05/05/2022</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2,500</w:t>
            </w:r>
          </w:p>
        </w:tc>
        <w:tc>
          <w:tcPr>
            <w:tcW w:w="46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138.1</w:t>
            </w:r>
            <w:r>
              <w:rPr>
                <w:rFonts w:ascii="Arial" w:cs="Arial" w:eastAsia="Arial" w:hAnsi="Arial"/>
                <w:sz w:val="22"/>
                <w:szCs w:val="22"/>
                <w:color w:val="008000"/>
                <w:w w:val="94"/>
                <w:vertAlign w:val="superscript"/>
              </w:rPr>
              <w:t>(2)</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30,674</w:t>
            </w:r>
            <w:r>
              <w:rPr>
                <w:rFonts w:ascii="Arial" w:cs="Arial" w:eastAsia="Arial" w:hAnsi="Arial"/>
                <w:sz w:val="22"/>
                <w:szCs w:val="22"/>
                <w:color w:val="008000"/>
                <w:vertAlign w:val="superscript"/>
              </w:rPr>
              <w:t>(3)</w:t>
            </w:r>
          </w:p>
        </w:tc>
        <w:tc>
          <w:tcPr>
            <w:tcW w:w="30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7"/>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7"/>
                <w:szCs w:val="17"/>
                <w:color w:val="0000FF"/>
              </w:rPr>
              <w:t>1,854</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5"/>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32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$135.99 to $141.57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40" w:right="3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Due to an administrative error, the number of securities beneficially owned following the reporting person's transaction on July 15, 2021 were incorrectly reported as 31,399 shares instead of 31,899 shares on a Form 4 filed on July 19, 2021. This columns reflects the corrected balance.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Owned by The Staglin Family Irrevocable Trust of 2018 dated November 9, 2018.</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05/09/2022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2022-05-09T16:59:46Z</dcterms:created>
  <dcterms:modified xsi:type="dcterms:W3CDTF">2022-05-09T16:59:46Z</dcterms:modified>
</cp:coreProperties>
</file>