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189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189595"/>
                    </a:xfrm>
                    <a:prstGeom prst="rect">
                      <a:avLst/>
                    </a:prstGeom>
                    <a:noFill/>
                  </pic:spPr>
                </pic:pic>
              </a:graphicData>
            </a:graphic>
          </wp:anchor>
        </w:drawing>
      </w:r>
    </w:p>
    <w:p>
      <w:pPr>
        <w:sectPr>
          <w:pgSz w:w="11900" w:h="16871"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OHCP GENPAR LP</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10/19/2006</w:t>
            </w:r>
          </w:p>
        </w:tc>
        <w:tc>
          <w:tcPr>
            <w:tcW w:w="0" w:type="dxa"/>
            <w:vAlign w:val="bottom"/>
          </w:tcPr>
          <w:p>
            <w:pPr>
              <w:spacing w:after="0"/>
              <w:rPr>
                <w:sz w:val="1"/>
                <w:szCs w:val="1"/>
                <w:color w:val="auto"/>
              </w:rPr>
            </w:pPr>
          </w:p>
        </w:tc>
      </w:tr>
    </w:tbl>
    <w:p>
      <w:pPr>
        <w:spacing w:after="0" w:line="13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201 MAIN STREET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1620</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FORT</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TX</w:t>
            </w: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76102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WORTH</w:t>
            </w:r>
          </w:p>
        </w:tc>
        <w:tc>
          <w:tcPr>
            <w:tcW w:w="8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ExlService Holdings,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0"/>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1160" w:type="dxa"/>
            <w:vAlign w:val="bottom"/>
          </w:tcPr>
          <w:p>
            <w:pPr>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1160" w:type="dxa"/>
            <w:vAlign w:val="bottom"/>
            <w:vMerge w:val="restart"/>
          </w:tcPr>
          <w:p>
            <w:pPr>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6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500" w:type="dxa"/>
            <w:vAlign w:val="bottom"/>
            <w:vMerge w:val="continue"/>
          </w:tcPr>
          <w:p>
            <w:pPr>
              <w:spacing w:after="0"/>
              <w:rPr>
                <w:sz w:val="5"/>
                <w:szCs w:val="5"/>
                <w:color w:val="auto"/>
              </w:rPr>
            </w:pPr>
          </w:p>
        </w:tc>
        <w:tc>
          <w:tcPr>
            <w:tcW w:w="116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21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0000FF"/>
                <w:w w:val="96"/>
              </w:rPr>
              <w:t>See Footnote 2</w:t>
            </w:r>
          </w:p>
        </w:tc>
        <w:tc>
          <w:tcPr>
            <w:tcW w:w="11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bl>
    <w:p>
      <w:pPr>
        <w:spacing w:after="0" w:line="10" w:lineRule="exact"/>
        <w:rPr>
          <w:sz w:val="24"/>
          <w:szCs w:val="24"/>
          <w:color w:val="auto"/>
        </w:rPr>
      </w:pPr>
    </w:p>
    <w:tbl>
      <w:tblPr>
        <w:tblLayout w:type="fixed"/>
        <w:tblInd w:w="356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800" w:type="dxa"/>
            <w:vAlign w:val="bottom"/>
          </w:tcPr>
          <w:p>
            <w:pPr>
              <w:ind w:left="100"/>
              <w:spacing w:after="0"/>
              <w:rPr>
                <w:sz w:val="20"/>
                <w:szCs w:val="20"/>
                <w:color w:val="auto"/>
              </w:rPr>
            </w:pPr>
            <w:r>
              <w:rPr>
                <w:rFonts w:ascii="Arial" w:cs="Arial" w:eastAsia="Arial" w:hAnsi="Arial"/>
                <w:sz w:val="14"/>
                <w:szCs w:val="14"/>
                <w:color w:val="auto"/>
                <w:w w:val="94"/>
              </w:rPr>
              <w:t>Form filed by More than One</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80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77" w:lineRule="exact"/>
        <w:rPr>
          <w:sz w:val="24"/>
          <w:szCs w:val="24"/>
          <w:color w:val="auto"/>
        </w:rPr>
      </w:pPr>
    </w:p>
    <w:p>
      <w:pPr>
        <w:sectPr>
          <w:pgSz w:w="11900" w:h="16871" w:orient="portrait"/>
          <w:cols w:equalWidth="0" w:num="2">
            <w:col w:w="4720" w:space="480"/>
            <w:col w:w="6220"/>
          </w:cols>
          <w:pgMar w:left="240" w:top="220" w:right="239" w:bottom="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r>
              <w:rPr>
                <w:rFonts w:ascii="Times New Roman" w:cs="Times New Roman" w:eastAsia="Times New Roman" w:hAnsi="Times New Roman"/>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84"/>
              <w:spacing w:after="0"/>
              <w:rPr>
                <w:sz w:val="20"/>
                <w:szCs w:val="20"/>
                <w:color w:val="auto"/>
              </w:rPr>
            </w:pPr>
            <w:r>
              <w:rPr>
                <w:rFonts w:ascii="Times New Roman" w:cs="Times New Roman" w:eastAsia="Times New Roman" w:hAnsi="Times New Roman"/>
                <w:sz w:val="18"/>
                <w:szCs w:val="18"/>
                <w:color w:val="0000FF"/>
              </w:rPr>
              <w:t>10,278,942</w:t>
            </w:r>
          </w:p>
        </w:tc>
        <w:tc>
          <w:tcPr>
            <w:tcW w:w="920" w:type="dxa"/>
            <w:vAlign w:val="bottom"/>
            <w:tcBorders>
              <w:bottom w:val="single" w:sz="8" w:color="2C2C2C"/>
            </w:tcBorders>
          </w:tcPr>
          <w:p>
            <w:pPr>
              <w:ind w:left="720"/>
              <w:spacing w:after="0"/>
              <w:rPr>
                <w:sz w:val="20"/>
                <w:szCs w:val="20"/>
                <w:color w:val="auto"/>
              </w:rPr>
            </w:pPr>
            <w:r>
              <w:rPr>
                <w:rFonts w:ascii="Times New Roman" w:cs="Times New Roman" w:eastAsia="Times New Roman" w:hAnsi="Times New Roman"/>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3"/>
          </w:tcPr>
          <w:p>
            <w:pPr>
              <w:ind w:left="120"/>
              <w:spacing w:after="0"/>
              <w:rPr>
                <w:sz w:val="20"/>
                <w:szCs w:val="20"/>
                <w:color w:val="auto"/>
              </w:rPr>
            </w:pPr>
            <w:r>
              <w:rPr>
                <w:rFonts w:ascii="Times New Roman" w:cs="Times New Roman" w:eastAsia="Times New Roman" w:hAnsi="Times New Roman"/>
                <w:sz w:val="18"/>
                <w:szCs w:val="18"/>
                <w:color w:val="0000FF"/>
              </w:rPr>
              <w:t>By Oak Hill Capital Partners,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vMerge w:val="restart"/>
          </w:tcPr>
          <w:p>
            <w:pPr>
              <w:jc w:val="right"/>
              <w:ind w:right="604"/>
              <w:spacing w:after="0"/>
              <w:rPr>
                <w:sz w:val="20"/>
                <w:szCs w:val="20"/>
                <w:color w:val="auto"/>
              </w:rPr>
            </w:pPr>
            <w:r>
              <w:rPr>
                <w:rFonts w:ascii="Times New Roman" w:cs="Times New Roman" w:eastAsia="Times New Roman" w:hAnsi="Times New Roman"/>
                <w:sz w:val="18"/>
                <w:szCs w:val="18"/>
                <w:color w:val="0000FF"/>
              </w:rPr>
              <w:t>263,562</w:t>
            </w:r>
          </w:p>
        </w:tc>
        <w:tc>
          <w:tcPr>
            <w:tcW w:w="9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By Oak Hill Capital Management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rPr>
              <w:t>Partners, L.P.</w:t>
            </w:r>
            <w:r>
              <w:rPr>
                <w:rFonts w:ascii="Times New Roman" w:cs="Times New Roman" w:eastAsia="Times New Roman" w:hAnsi="Times New Roman"/>
                <w:sz w:val="22"/>
                <w:szCs w:val="22"/>
                <w:color w:val="008000"/>
                <w:vertAlign w:val="superscript"/>
              </w:rPr>
              <w:t>(2)</w:t>
            </w: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8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gridSpan w:val="2"/>
            <w:vMerge w:val="continue"/>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54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3"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6"/>
                <w:szCs w:val="16"/>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OHCP GENPAR LP</w:t>
              </w:r>
            </w:hyperlink>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201 MAIN 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SUITE 1620</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TX</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76102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OHCP MGP LLC</w:t>
              </w:r>
            </w:hyperlink>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201 MAIN 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SUITE 2415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TX</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76102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27" w:lineRule="exact"/>
        <w:rPr>
          <w:rFonts w:ascii="Times New Roman" w:cs="Times New Roman" w:eastAsia="Times New Roman" w:hAnsi="Times New Roman"/>
          <w:sz w:val="14"/>
          <w:szCs w:val="14"/>
          <w:color w:val="008000"/>
        </w:rPr>
      </w:pPr>
    </w:p>
    <w:p>
      <w:pPr>
        <w:ind w:left="40" w:right="80" w:firstLine="9"/>
        <w:spacing w:after="0" w:line="229"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OHCP GenPar, L.P. ("GenPar") is the general partner of Oak Hill Capital Partners, L.P. ("OHCP") and Oak Hill Capital Management Partners, L.P. ("OHCMP"). OHCP MGP, LLC ("OHCP MGP") is the general partner of GenPar. Pursuant to Rule 16a-1(a)(2)(ii)(B) under the Securities Exchange Act of 1934, as amended (the "Act"), GenPar and OHCP MGP are deemed to be beneficial owners of the securities owned by OHCP and OHCMP only to the extent of the greater of its respective direct or indirect interest in the profits or capital account of OHCP and OHCMP. Pursuant to Rule 16a-1(a)(4) under the Act, this filing shall not be deemed an admission that GenPar or OHCP MGP is, for purposes of Section 16 of the Act or otherwise, the beneficial owner of any securities owned by OHCP or OHCMP in excess of such amount.</w:t>
      </w:r>
    </w:p>
    <w:p>
      <w:pPr>
        <w:sectPr>
          <w:pgSz w:w="11900" w:h="16871" w:orient="portrait"/>
          <w:cols w:equalWidth="0" w:num="1">
            <w:col w:w="11420"/>
          </w:cols>
          <w:pgMar w:left="240" w:top="220" w:right="239" w:bottom="0" w:gutter="0" w:footer="0" w:header="0"/>
          <w:type w:val="continuous"/>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71" w:orient="portrait"/>
          <w:cols w:equalWidth="0" w:num="1">
            <w:col w:w="11420"/>
          </w:cols>
          <w:pgMar w:left="240" w:top="220"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8000"/>
        </w:rPr>
        <w:t>(3) By OHCP MGP, on its behalf and separately as general partner of GenPar.</w:t>
      </w:r>
    </w:p>
    <w:p>
      <w:pPr>
        <w:spacing w:after="0" w:line="50"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John R. Monsky (3)</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10/19/2006</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John R. Monsky (3)</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10/19/2006</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8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45640" TargetMode="External"/><Relationship Id="rId12" Type="http://schemas.openxmlformats.org/officeDocument/2006/relationships/hyperlink" Target="http://www.sec.gov/cgi-bin/browse-edgar?action=getcompany&amp;CIK=0001297989" TargetMode="External"/><Relationship Id="rId13" Type="http://schemas.openxmlformats.org/officeDocument/2006/relationships/hyperlink" Target="http://www.sec.gov/cgi-bin/browse-edgar?action=getcompany&amp;CIK=00011456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2019-12-16T15:17:31Z</dcterms:created>
  <dcterms:modified xsi:type="dcterms:W3CDTF">2019-12-16T15:17:31Z</dcterms:modified>
</cp:coreProperties>
</file>