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9"/>
          <w:szCs w:val="19"/>
          <w:b w:val="1"/>
          <w:bCs w:val="1"/>
          <w:color w:val="auto"/>
        </w:rPr>
        <w:t>)</w:t>
      </w:r>
      <w:r>
        <w:rPr>
          <w:rFonts w:ascii="Arial" w:cs="Arial" w:eastAsia="Arial" w:hAnsi="Arial"/>
          <w:sz w:val="10"/>
          <w:szCs w:val="10"/>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90" w:lineRule="exact"/>
        <w:rPr>
          <w:rFonts w:ascii="MS PGothic" w:cs="MS PGothic" w:eastAsia="MS PGothic" w:hAnsi="MS PGothic"/>
          <w:sz w:val="18"/>
          <w:szCs w:val="18"/>
          <w:color w:val="auto"/>
        </w:rPr>
      </w:pPr>
    </w:p>
    <w:p>
      <w:pPr>
        <w:ind w:left="460" w:right="140" w:hanging="446"/>
        <w:spacing w:after="0" w:line="268" w:lineRule="auto"/>
        <w:rPr>
          <w:rFonts w:ascii="MS PGothic" w:cs="MS PGothic" w:eastAsia="MS PGothic" w:hAnsi="MS PGothic"/>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2"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18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1885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Nos. of Above Persons (Entities Only)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0" w:type="dxa"/>
            <w:vAlign w:val="bottom"/>
            <w:gridSpan w:val="4"/>
          </w:tcPr>
          <w:p>
            <w:pPr>
              <w:ind w:left="80"/>
              <w:spacing w:after="0"/>
              <w:rPr>
                <w:sz w:val="20"/>
                <w:szCs w:val="20"/>
                <w:color w:val="auto"/>
              </w:rPr>
            </w:pPr>
            <w:r>
              <w:rPr>
                <w:rFonts w:ascii="Arial" w:cs="Arial" w:eastAsia="Arial" w:hAnsi="Arial"/>
                <w:sz w:val="22"/>
                <w:szCs w:val="22"/>
                <w:color w:val="auto"/>
              </w:rPr>
              <w:t>TimesSquare Capital Management, LLC</w:t>
            </w:r>
          </w:p>
        </w:tc>
        <w:tc>
          <w:tcPr>
            <w:tcW w:w="0" w:type="dxa"/>
            <w:vAlign w:val="bottom"/>
          </w:tcPr>
          <w:p>
            <w:pPr>
              <w:spacing w:after="0"/>
              <w:rPr>
                <w:sz w:val="1"/>
                <w:szCs w:val="1"/>
                <w:color w:val="auto"/>
              </w:rPr>
            </w:pPr>
          </w:p>
        </w:tc>
      </w:tr>
      <w:tr>
        <w:trPr>
          <w:trHeight w:val="276"/>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5"/>
          </w:tcPr>
          <w:p>
            <w:pPr>
              <w:ind w:left="160"/>
              <w:spacing w:after="0"/>
              <w:rPr>
                <w:sz w:val="20"/>
                <w:szCs w:val="20"/>
                <w:color w:val="auto"/>
              </w:rPr>
            </w:pPr>
            <w:r>
              <w:rPr>
                <w:rFonts w:ascii="Arial" w:cs="Arial" w:eastAsia="Arial" w:hAnsi="Arial"/>
                <w:sz w:val="22"/>
                <w:szCs w:val="22"/>
                <w:color w:val="auto"/>
              </w:rPr>
              <w:t>20-1665304</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100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9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0"/>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1,428,363</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74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4"/>
              </w:rPr>
              <w:t>Shares</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8"/>
              </w:rPr>
              <w:t>Owned by</w:t>
            </w:r>
          </w:p>
        </w:tc>
        <w:tc>
          <w:tcPr>
            <w:tcW w:w="3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right w:val="single" w:sz="8" w:color="auto"/>
            </w:tcBorders>
          </w:tcPr>
          <w:p>
            <w:pPr>
              <w:jc w:val="center"/>
              <w:ind w:right="225"/>
              <w:spacing w:after="0" w:line="190" w:lineRule="exact"/>
              <w:rPr>
                <w:sz w:val="20"/>
                <w:szCs w:val="20"/>
                <w:color w:val="auto"/>
              </w:rPr>
            </w:pPr>
            <w:r>
              <w:rPr>
                <w:rFonts w:ascii="Arial" w:cs="Arial" w:eastAsia="Arial" w:hAnsi="Arial"/>
                <w:sz w:val="18"/>
                <w:szCs w:val="18"/>
                <w:color w:val="auto"/>
                <w:w w:val="82"/>
              </w:rPr>
              <w:t>Each</w:t>
            </w:r>
          </w:p>
        </w:tc>
        <w:tc>
          <w:tcPr>
            <w:tcW w:w="36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1,561,633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4"/>
              </w:rPr>
              <w:t>Person</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right w:val="single" w:sz="8" w:color="auto"/>
            </w:tcBorders>
            <w:vMerge w:val="restart"/>
          </w:tcPr>
          <w:p>
            <w:pPr>
              <w:jc w:val="center"/>
              <w:ind w:right="225"/>
              <w:spacing w:after="0"/>
              <w:rPr>
                <w:sz w:val="20"/>
                <w:szCs w:val="20"/>
                <w:color w:val="auto"/>
              </w:rPr>
            </w:pPr>
            <w:r>
              <w:rPr>
                <w:rFonts w:ascii="Arial" w:cs="Arial" w:eastAsia="Arial" w:hAnsi="Arial"/>
                <w:sz w:val="18"/>
                <w:szCs w:val="18"/>
                <w:color w:val="auto"/>
                <w:w w:val="94"/>
              </w:rPr>
              <w:t>With</w:t>
            </w:r>
          </w:p>
        </w:tc>
        <w:tc>
          <w:tcPr>
            <w:tcW w:w="3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1,561,633</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3"/>
                <w:szCs w:val="23"/>
                <w:color w:val="auto"/>
              </w:rPr>
            </w:pPr>
          </w:p>
        </w:tc>
        <w:tc>
          <w:tcPr>
            <w:tcW w:w="110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40" w:type="dxa"/>
            <w:vAlign w:val="bottom"/>
            <w:tcBorders>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98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5.0%</w:t>
            </w: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IA</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Item 1(b)</w:t>
      </w:r>
    </w:p>
    <w:p>
      <w:pPr>
        <w:sectPr>
          <w:pgSz w:w="11900" w:h="16838" w:orient="portrait"/>
          <w:cols w:equalWidth="0" w:num="1">
            <w:col w:w="11280"/>
          </w:cols>
          <w:pgMar w:left="240" w:top="274" w:right="37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280 Park Avenue, 38</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ectPr>
          <w:pgSz w:w="11900" w:h="16838" w:orient="portrait"/>
          <w:cols w:equalWidth="0" w:num="2">
            <w:col w:w="3400" w:space="720"/>
            <w:col w:w="7160"/>
          </w:cols>
          <w:pgMar w:left="240" w:top="274" w:right="379" w:bottom="1440" w:gutter="0" w:footer="0" w:header="0"/>
          <w:type w:val="continuous"/>
        </w:sectPr>
      </w:pPr>
    </w:p>
    <w:p>
      <w:pPr>
        <w:spacing w:after="0" w:line="134"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Item 2(a)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Name of Persons Filing: TimesSquare Capital Management, LLC (“TimesSquare”)</w:t>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Item 2(b)</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ectPr>
          <w:pgSz w:w="11900" w:h="16838" w:orient="portrait"/>
          <w:cols w:equalWidth="0" w:num="1">
            <w:col w:w="11280"/>
          </w:cols>
          <w:pgMar w:left="240" w:top="274" w:right="37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TimesSquare: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1177 Avenue of the Americas, 39</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ectPr>
          <w:pgSz w:w="11900" w:h="16838" w:orient="portrait"/>
          <w:cols w:equalWidth="0" w:num="2">
            <w:col w:w="980" w:space="280"/>
            <w:col w:w="10020"/>
          </w:cols>
          <w:pgMar w:left="240" w:top="274" w:right="379" w:bottom="1440" w:gutter="0" w:footer="0" w:header="0"/>
          <w:type w:val="continuous"/>
        </w:sectPr>
      </w:pP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2(c)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Citizenship: TimesSquare is a Delaware limited liability company.</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2(d)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 Common Stock, $0.001 par value</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2(e)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3</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statement is filed by TimesSquare pursuant to §§240.13d-1(b), or 240.13d-2(b) or (c), on the basis that TimesSquare is an investment adviser in accordance with §240.13d-1(b)(1)(ii)(E).</w:t>
      </w:r>
    </w:p>
    <w:p>
      <w:pPr>
        <w:spacing w:after="0" w:line="28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Item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Ownership. The following ownership information is as of December 31, 2011.</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1,561,633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5.0%</w:t>
      </w:r>
    </w:p>
    <w:p>
      <w:pPr>
        <w:spacing w:after="0" w:line="83" w:lineRule="exact"/>
        <w:rPr>
          <w:rFonts w:ascii="Arial" w:cs="Arial" w:eastAsia="Arial" w:hAnsi="Arial"/>
          <w:sz w:val="18"/>
          <w:szCs w:val="18"/>
          <w:color w:val="auto"/>
        </w:rPr>
      </w:pPr>
    </w:p>
    <w:p>
      <w:pPr>
        <w:ind w:left="460" w:right="740"/>
        <w:spacing w:after="0" w:line="268" w:lineRule="auto"/>
        <w:rPr>
          <w:rFonts w:ascii="Arial" w:cs="Arial" w:eastAsia="Arial" w:hAnsi="Arial"/>
          <w:sz w:val="18"/>
          <w:szCs w:val="18"/>
          <w:color w:val="auto"/>
        </w:rPr>
      </w:pPr>
      <w:r>
        <w:rPr>
          <w:rFonts w:ascii="Arial" w:cs="Arial" w:eastAsia="Arial" w:hAnsi="Arial"/>
          <w:sz w:val="18"/>
          <w:szCs w:val="18"/>
          <w:color w:val="auto"/>
        </w:rPr>
        <w:t>Percent of class is based on 31,151,000 shares of Common Stock outstanding as of December 31, 2011 as reported to us by FT Interactive Data Corporation.</w:t>
      </w:r>
    </w:p>
    <w:p>
      <w:pPr>
        <w:sectPr>
          <w:pgSz w:w="11900" w:h="16838" w:orient="portrait"/>
          <w:cols w:equalWidth="0" w:num="1">
            <w:col w:w="11280"/>
          </w:cols>
          <w:pgMar w:left="240" w:top="274" w:right="379" w:bottom="1440" w:gutter="0" w:footer="0" w:header="0"/>
          <w:type w:val="continuous"/>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1,428,363*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1,561,633*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90" w:lineRule="exact"/>
        <w:rPr>
          <w:sz w:val="20"/>
          <w:szCs w:val="20"/>
          <w:color w:val="auto"/>
        </w:rPr>
      </w:pPr>
    </w:p>
    <w:p>
      <w:pPr>
        <w:ind w:left="220" w:right="8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shares reported on in this statement are owned by investment advisory clients of TimesSquare. In its role as investment adviser, TimesSquare has voting and dispositive power with respect to these shares.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Ownership of Five Percent or Less of a Class.</w:t>
      </w:r>
    </w:p>
    <w:p>
      <w:pPr>
        <w:spacing w:after="0" w:line="171"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29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Item 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 or Control Person.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Notice of Dissolution of Group.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00"/>
          </w:cols>
          <w:pgMar w:left="240" w:top="280" w:right="4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Mark J.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10795</wp:posOffset>
            </wp:positionV>
            <wp:extent cx="2332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Name/Title: Mark J. Aaron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Operating Officer and Chief Compliance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2019-12-09T17:29:15Z</dcterms:created>
  <dcterms:modified xsi:type="dcterms:W3CDTF">2019-12-09T17:29:15Z</dcterms:modified>
</cp:coreProperties>
</file>