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728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72833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Bloom William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09/19/2013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23"/>
        <w:spacing w:after="0"/>
        <w:rPr>
          <w:sz w:val="20"/>
          <w:szCs w:val="20"/>
          <w:color w:val="auto"/>
        </w:rPr>
      </w:pPr>
      <w:r>
        <w:rPr>
          <w:rFonts w:ascii="Arial" w:cs="Arial" w:eastAsia="Arial" w:hAnsi="Arial"/>
          <w:sz w:val="18"/>
          <w:szCs w:val="18"/>
          <w:color w:val="0000FF"/>
        </w:rPr>
        <w:t>Pres., Global Client Services</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540" w:type="dxa"/>
            <w:vAlign w:val="bottom"/>
            <w:gridSpan w:val="2"/>
          </w:tcPr>
          <w:p>
            <w:pPr>
              <w:ind w:left="46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2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0000FF"/>
                <w:w w:val="88"/>
              </w:rPr>
              <w:t>Common Stock, par value $0.001 per</w:t>
            </w:r>
          </w:p>
        </w:tc>
        <w:tc>
          <w:tcPr>
            <w:tcW w:w="1540" w:type="dxa"/>
            <w:vAlign w:val="bottom"/>
            <w:gridSpan w:val="2"/>
            <w:vMerge w:val="restart"/>
          </w:tcPr>
          <w:p>
            <w:pPr>
              <w:ind w:left="560"/>
              <w:spacing w:after="0"/>
              <w:rPr>
                <w:sz w:val="20"/>
                <w:szCs w:val="20"/>
                <w:color w:val="auto"/>
              </w:rPr>
            </w:pPr>
            <w:r>
              <w:rPr>
                <w:rFonts w:ascii="Arial" w:cs="Arial" w:eastAsia="Arial" w:hAnsi="Arial"/>
                <w:sz w:val="18"/>
                <w:szCs w:val="18"/>
                <w:color w:val="0000FF"/>
              </w:rPr>
              <w:t>09/19/2013</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ind w:left="100"/>
              <w:spacing w:after="0"/>
              <w:rPr>
                <w:sz w:val="20"/>
                <w:szCs w:val="20"/>
                <w:color w:val="auto"/>
              </w:rPr>
            </w:pPr>
            <w:r>
              <w:rPr>
                <w:rFonts w:ascii="Arial" w:cs="Arial" w:eastAsia="Arial" w:hAnsi="Arial"/>
                <w:sz w:val="27"/>
                <w:szCs w:val="27"/>
                <w:color w:val="0000FF"/>
                <w:vertAlign w:val="subscript"/>
              </w:rPr>
              <w:t>M</w:t>
            </w:r>
            <w:r>
              <w:rPr>
                <w:rFonts w:ascii="Arial" w:cs="Arial" w:eastAsia="Arial" w:hAnsi="Arial"/>
                <w:sz w:val="11"/>
                <w:szCs w:val="11"/>
                <w:color w:val="008000"/>
              </w:rPr>
              <w:t>(1)</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4"/>
              </w:rPr>
              <w:t>7,000</w:t>
            </w:r>
          </w:p>
        </w:tc>
        <w:tc>
          <w:tcPr>
            <w:tcW w:w="580" w:type="dxa"/>
            <w:vAlign w:val="bottom"/>
            <w:vMerge w:val="restart"/>
          </w:tcPr>
          <w:p>
            <w:pPr>
              <w:ind w:left="220"/>
              <w:spacing w:after="0"/>
              <w:rPr>
                <w:sz w:val="20"/>
                <w:szCs w:val="20"/>
                <w:color w:val="auto"/>
              </w:rPr>
            </w:pPr>
            <w:r>
              <w:rPr>
                <w:rFonts w:ascii="Arial" w:cs="Arial" w:eastAsia="Arial" w:hAnsi="Arial"/>
                <w:sz w:val="18"/>
                <w:szCs w:val="18"/>
                <w:color w:val="0000FF"/>
              </w:rPr>
              <w:t>A</w:t>
            </w:r>
          </w:p>
        </w:tc>
        <w:tc>
          <w:tcPr>
            <w:tcW w:w="680" w:type="dxa"/>
            <w:vAlign w:val="bottom"/>
            <w:vMerge w:val="restart"/>
          </w:tcPr>
          <w:p>
            <w:pPr>
              <w:ind w:left="180"/>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17.75</w:t>
            </w:r>
          </w:p>
        </w:tc>
        <w:tc>
          <w:tcPr>
            <w:tcW w:w="200" w:type="dxa"/>
            <w:vAlign w:val="bottom"/>
          </w:tcPr>
          <w:p>
            <w:pPr>
              <w:spacing w:after="0"/>
              <w:rPr>
                <w:sz w:val="22"/>
                <w:szCs w:val="22"/>
                <w:color w:val="auto"/>
              </w:rPr>
            </w:pPr>
          </w:p>
        </w:tc>
        <w:tc>
          <w:tcPr>
            <w:tcW w:w="1240" w:type="dxa"/>
            <w:vAlign w:val="bottom"/>
            <w:gridSpan w:val="2"/>
            <w:vMerge w:val="restart"/>
          </w:tcPr>
          <w:p>
            <w:pPr>
              <w:ind w:left="360"/>
              <w:spacing w:after="0"/>
              <w:rPr>
                <w:sz w:val="20"/>
                <w:szCs w:val="20"/>
                <w:color w:val="auto"/>
              </w:rPr>
            </w:pPr>
            <w:r>
              <w:rPr>
                <w:rFonts w:ascii="Arial" w:cs="Arial" w:eastAsia="Arial" w:hAnsi="Arial"/>
                <w:sz w:val="18"/>
                <w:szCs w:val="18"/>
                <w:color w:val="0000FF"/>
              </w:rPr>
              <w:t>19,379</w:t>
            </w:r>
          </w:p>
        </w:tc>
        <w:tc>
          <w:tcPr>
            <w:tcW w:w="260" w:type="dxa"/>
            <w:vAlign w:val="bottom"/>
          </w:tcPr>
          <w:p>
            <w:pPr>
              <w:spacing w:after="0"/>
              <w:rPr>
                <w:sz w:val="22"/>
                <w:szCs w:val="22"/>
                <w:color w:val="auto"/>
              </w:rPr>
            </w:pPr>
          </w:p>
        </w:tc>
        <w:tc>
          <w:tcPr>
            <w:tcW w:w="700" w:type="dxa"/>
            <w:vAlign w:val="bottom"/>
            <w:vMerge w:val="restart"/>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Arial" w:cs="Arial" w:eastAsia="Arial" w:hAnsi="Arial"/>
                <w:sz w:val="18"/>
                <w:szCs w:val="18"/>
                <w:color w:val="0000FF"/>
              </w:rPr>
              <w:t>share</w:t>
            </w:r>
          </w:p>
        </w:tc>
        <w:tc>
          <w:tcPr>
            <w:tcW w:w="8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2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0000FF"/>
                <w:w w:val="88"/>
              </w:rPr>
              <w:t>Common Stock, par value $0.001 per</w:t>
            </w:r>
          </w:p>
        </w:tc>
        <w:tc>
          <w:tcPr>
            <w:tcW w:w="1540" w:type="dxa"/>
            <w:vAlign w:val="bottom"/>
            <w:gridSpan w:val="2"/>
            <w:vMerge w:val="restart"/>
          </w:tcPr>
          <w:p>
            <w:pPr>
              <w:ind w:left="560"/>
              <w:spacing w:after="0"/>
              <w:rPr>
                <w:sz w:val="20"/>
                <w:szCs w:val="20"/>
                <w:color w:val="auto"/>
              </w:rPr>
            </w:pPr>
            <w:r>
              <w:rPr>
                <w:rFonts w:ascii="Arial" w:cs="Arial" w:eastAsia="Arial" w:hAnsi="Arial"/>
                <w:sz w:val="18"/>
                <w:szCs w:val="18"/>
                <w:color w:val="0000FF"/>
              </w:rPr>
              <w:t>09/19/2013</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(2)</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4"/>
              </w:rPr>
              <w:t>7,000</w:t>
            </w:r>
          </w:p>
        </w:tc>
        <w:tc>
          <w:tcPr>
            <w:tcW w:w="580" w:type="dxa"/>
            <w:vAlign w:val="bottom"/>
            <w:vMerge w:val="restart"/>
          </w:tcPr>
          <w:p>
            <w:pPr>
              <w:ind w:left="220"/>
              <w:spacing w:after="0"/>
              <w:rPr>
                <w:sz w:val="20"/>
                <w:szCs w:val="20"/>
                <w:color w:val="auto"/>
              </w:rPr>
            </w:pPr>
            <w:r>
              <w:rPr>
                <w:rFonts w:ascii="Arial" w:cs="Arial" w:eastAsia="Arial" w:hAnsi="Arial"/>
                <w:sz w:val="18"/>
                <w:szCs w:val="18"/>
                <w:color w:val="0000FF"/>
              </w:rPr>
              <w:t>D</w:t>
            </w:r>
          </w:p>
        </w:tc>
        <w:tc>
          <w:tcPr>
            <w:tcW w:w="880" w:type="dxa"/>
            <w:vAlign w:val="bottom"/>
            <w:gridSpan w:val="2"/>
            <w:vMerge w:val="restart"/>
          </w:tcPr>
          <w:p>
            <w:pPr>
              <w:ind w:left="2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29.2441</w:t>
            </w:r>
            <w:r>
              <w:rPr>
                <w:rFonts w:ascii="Arial" w:cs="Arial" w:eastAsia="Arial" w:hAnsi="Arial"/>
                <w:sz w:val="22"/>
                <w:szCs w:val="22"/>
                <w:color w:val="008000"/>
                <w:w w:val="90"/>
                <w:vertAlign w:val="superscript"/>
              </w:rPr>
              <w:t>(3)</w:t>
            </w:r>
          </w:p>
        </w:tc>
        <w:tc>
          <w:tcPr>
            <w:tcW w:w="1240" w:type="dxa"/>
            <w:vAlign w:val="bottom"/>
            <w:gridSpan w:val="2"/>
            <w:vMerge w:val="restart"/>
          </w:tcPr>
          <w:p>
            <w:pPr>
              <w:ind w:left="360"/>
              <w:spacing w:after="0"/>
              <w:rPr>
                <w:sz w:val="20"/>
                <w:szCs w:val="20"/>
                <w:color w:val="auto"/>
              </w:rPr>
            </w:pPr>
            <w:r>
              <w:rPr>
                <w:rFonts w:ascii="Arial" w:cs="Arial" w:eastAsia="Arial" w:hAnsi="Arial"/>
                <w:sz w:val="18"/>
                <w:szCs w:val="18"/>
                <w:color w:val="0000FF"/>
              </w:rPr>
              <w:t>12,379</w:t>
            </w:r>
          </w:p>
        </w:tc>
        <w:tc>
          <w:tcPr>
            <w:tcW w:w="260" w:type="dxa"/>
            <w:vAlign w:val="bottom"/>
          </w:tcPr>
          <w:p>
            <w:pPr>
              <w:spacing w:after="0"/>
              <w:rPr>
                <w:sz w:val="22"/>
                <w:szCs w:val="22"/>
                <w:color w:val="auto"/>
              </w:rPr>
            </w:pPr>
          </w:p>
        </w:tc>
        <w:tc>
          <w:tcPr>
            <w:tcW w:w="700" w:type="dxa"/>
            <w:vAlign w:val="bottom"/>
            <w:vMerge w:val="restart"/>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8"/>
                <w:szCs w:val="18"/>
                <w:color w:val="0000FF"/>
              </w:rPr>
              <w:t>share</w:t>
            </w: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440" w:type="dxa"/>
            <w:vAlign w:val="bottom"/>
            <w:tcBorders>
              <w:bottom w:val="single" w:sz="8" w:color="2C2C2C"/>
            </w:tcBorders>
            <w:gridSpan w:val="11"/>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1"/>
          </w:tcPr>
          <w:p>
            <w:pPr>
              <w:ind w:left="1040"/>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540" w:type="dxa"/>
            <w:vAlign w:val="bottom"/>
            <w:gridSpan w:val="8"/>
          </w:tcPr>
          <w:p>
            <w:pPr>
              <w:ind w:left="6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Employee</w:t>
            </w:r>
          </w:p>
        </w:tc>
        <w:tc>
          <w:tcPr>
            <w:tcW w:w="8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ind w:left="80"/>
              <w:spacing w:after="0"/>
              <w:rPr>
                <w:sz w:val="20"/>
                <w:szCs w:val="20"/>
                <w:color w:val="auto"/>
              </w:rPr>
            </w:pPr>
            <w:r>
              <w:rPr>
                <w:rFonts w:ascii="Arial" w:cs="Arial" w:eastAsia="Arial" w:hAnsi="Arial"/>
                <w:sz w:val="14"/>
                <w:szCs w:val="14"/>
                <w:color w:val="0000FF"/>
                <w:w w:val="84"/>
              </w:rPr>
              <w:t>Common</w:t>
            </w: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40" w:type="dxa"/>
            <w:vAlign w:val="bottom"/>
            <w:vMerge w:val="restart"/>
          </w:tcPr>
          <w:p>
            <w:pPr>
              <w:ind w:left="80"/>
              <w:spacing w:after="0" w:line="297" w:lineRule="exact"/>
              <w:rPr>
                <w:sz w:val="20"/>
                <w:szCs w:val="20"/>
                <w:color w:val="auto"/>
              </w:rPr>
            </w:pPr>
            <w:r>
              <w:rPr>
                <w:rFonts w:ascii="Arial" w:cs="Arial" w:eastAsia="Arial" w:hAnsi="Arial"/>
                <w:sz w:val="27"/>
                <w:szCs w:val="27"/>
                <w:color w:val="0000FF"/>
                <w:vertAlign w:val="subscript"/>
              </w:rPr>
              <w:t>M</w:t>
            </w:r>
            <w:r>
              <w:rPr>
                <w:rFonts w:ascii="Arial" w:cs="Arial" w:eastAsia="Arial" w:hAnsi="Arial"/>
                <w:sz w:val="11"/>
                <w:szCs w:val="11"/>
                <w:color w:val="008000"/>
              </w:rPr>
              <w:t>(1)</w:t>
            </w: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(4)</w:t>
            </w:r>
          </w:p>
        </w:tc>
        <w:tc>
          <w:tcPr>
            <w:tcW w:w="780" w:type="dxa"/>
            <w:vAlign w:val="bottom"/>
          </w:tcPr>
          <w:p>
            <w:pPr>
              <w:spacing w:after="0"/>
              <w:rPr>
                <w:sz w:val="12"/>
                <w:szCs w:val="12"/>
                <w:color w:val="auto"/>
              </w:rPr>
            </w:pPr>
          </w:p>
        </w:tc>
        <w:tc>
          <w:tcPr>
            <w:tcW w:w="58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680" w:type="dxa"/>
            <w:vAlign w:val="bottom"/>
            <w:vMerge w:val="restart"/>
          </w:tcPr>
          <w:p>
            <w:pPr>
              <w:ind w:left="180"/>
              <w:spacing w:after="0"/>
              <w:rPr>
                <w:sz w:val="20"/>
                <w:szCs w:val="20"/>
                <w:color w:val="auto"/>
              </w:rPr>
            </w:pPr>
            <w:r>
              <w:rPr>
                <w:rFonts w:ascii="Arial" w:cs="Arial" w:eastAsia="Arial" w:hAnsi="Arial"/>
                <w:sz w:val="18"/>
                <w:szCs w:val="18"/>
                <w:color w:val="0000FF"/>
              </w:rPr>
              <w:t>7,000</w:t>
            </w: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Options</w:t>
            </w:r>
          </w:p>
        </w:tc>
        <w:tc>
          <w:tcPr>
            <w:tcW w:w="82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17.75</w:t>
            </w:r>
          </w:p>
        </w:tc>
        <w:tc>
          <w:tcPr>
            <w:tcW w:w="1180" w:type="dxa"/>
            <w:vAlign w:val="bottom"/>
          </w:tcPr>
          <w:p>
            <w:pPr>
              <w:ind w:left="260"/>
              <w:spacing w:after="0" w:line="149" w:lineRule="exact"/>
              <w:rPr>
                <w:sz w:val="20"/>
                <w:szCs w:val="20"/>
                <w:color w:val="auto"/>
              </w:rPr>
            </w:pPr>
            <w:r>
              <w:rPr>
                <w:rFonts w:ascii="Arial" w:cs="Arial" w:eastAsia="Arial" w:hAnsi="Arial"/>
                <w:sz w:val="14"/>
                <w:szCs w:val="14"/>
                <w:color w:val="0000FF"/>
              </w:rPr>
              <w:t>09/19/2013</w:t>
            </w:r>
          </w:p>
        </w:tc>
        <w:tc>
          <w:tcPr>
            <w:tcW w:w="110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ind w:left="360"/>
              <w:spacing w:after="0" w:line="149" w:lineRule="exact"/>
              <w:rPr>
                <w:sz w:val="20"/>
                <w:szCs w:val="20"/>
                <w:color w:val="auto"/>
              </w:rPr>
            </w:pPr>
            <w:r>
              <w:rPr>
                <w:rFonts w:ascii="Arial" w:cs="Arial" w:eastAsia="Arial" w:hAnsi="Arial"/>
                <w:sz w:val="14"/>
                <w:szCs w:val="14"/>
                <w:color w:val="0000FF"/>
                <w:w w:val="96"/>
              </w:rPr>
              <w:t>7,000</w:t>
            </w:r>
          </w:p>
        </w:tc>
        <w:tc>
          <w:tcPr>
            <w:tcW w:w="820" w:type="dxa"/>
            <w:vAlign w:val="bottom"/>
            <w:vMerge w:val="continue"/>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0000FF"/>
                <w:w w:val="85"/>
              </w:rPr>
              <w:t>07/12/2020</w:t>
            </w:r>
          </w:p>
        </w:tc>
        <w:tc>
          <w:tcPr>
            <w:tcW w:w="580" w:type="dxa"/>
            <w:vAlign w:val="bottom"/>
          </w:tcPr>
          <w:p>
            <w:pPr>
              <w:ind w:left="80"/>
              <w:spacing w:after="0" w:line="149" w:lineRule="exact"/>
              <w:rPr>
                <w:sz w:val="20"/>
                <w:szCs w:val="20"/>
                <w:color w:val="auto"/>
              </w:rPr>
            </w:pPr>
            <w:r>
              <w:rPr>
                <w:rFonts w:ascii="Arial" w:cs="Arial" w:eastAsia="Arial" w:hAnsi="Arial"/>
                <w:sz w:val="14"/>
                <w:szCs w:val="14"/>
                <w:color w:val="0000FF"/>
                <w:w w:val="83"/>
              </w:rPr>
              <w:t>par value</w:t>
            </w:r>
          </w:p>
        </w:tc>
        <w:tc>
          <w:tcPr>
            <w:tcW w:w="6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20" w:type="dxa"/>
            <w:vAlign w:val="bottom"/>
          </w:tcPr>
          <w:p>
            <w:pPr>
              <w:ind w:left="260"/>
              <w:spacing w:after="0" w:line="149" w:lineRule="exact"/>
              <w:rPr>
                <w:sz w:val="20"/>
                <w:szCs w:val="20"/>
                <w:color w:val="auto"/>
              </w:rPr>
            </w:pPr>
            <w:r>
              <w:rPr>
                <w:rFonts w:ascii="Arial" w:cs="Arial" w:eastAsia="Arial" w:hAnsi="Arial"/>
                <w:sz w:val="14"/>
                <w:szCs w:val="14"/>
                <w:color w:val="0000FF"/>
                <w:w w:val="86"/>
              </w:rPr>
              <w:t>222,000</w:t>
            </w:r>
          </w:p>
        </w:tc>
        <w:tc>
          <w:tcPr>
            <w:tcW w:w="260" w:type="dxa"/>
            <w:vAlign w:val="bottom"/>
          </w:tcPr>
          <w:p>
            <w:pPr>
              <w:spacing w:after="0"/>
              <w:rPr>
                <w:sz w:val="12"/>
                <w:szCs w:val="12"/>
                <w:color w:val="auto"/>
              </w:rPr>
            </w:pPr>
          </w:p>
        </w:tc>
        <w:tc>
          <w:tcPr>
            <w:tcW w:w="70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ind w:left="140"/>
              <w:spacing w:after="0" w:line="149" w:lineRule="exact"/>
              <w:rPr>
                <w:sz w:val="20"/>
                <w:szCs w:val="20"/>
                <w:color w:val="auto"/>
              </w:rPr>
            </w:pPr>
            <w:r>
              <w:rPr>
                <w:rFonts w:ascii="Arial" w:cs="Arial" w:eastAsia="Arial" w:hAnsi="Arial"/>
                <w:sz w:val="14"/>
                <w:szCs w:val="14"/>
                <w:color w:val="0000FF"/>
                <w:w w:val="97"/>
              </w:rPr>
              <w:t>$0.001</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buy)</w:t>
            </w: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ind w:left="80"/>
              <w:spacing w:after="0"/>
              <w:rPr>
                <w:sz w:val="20"/>
                <w:szCs w:val="20"/>
                <w:color w:val="auto"/>
              </w:rPr>
            </w:pPr>
            <w:r>
              <w:rPr>
                <w:rFonts w:ascii="Arial" w:cs="Arial" w:eastAsia="Arial" w:hAnsi="Arial"/>
                <w:sz w:val="14"/>
                <w:szCs w:val="14"/>
                <w:color w:val="0000FF"/>
                <w:w w:val="81"/>
              </w:rPr>
              <w:t>per share</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September 19, 2013 the reporting person exercised previously issued options to purchase an aggregate of 7,000 shares of common stock of ExlService Holdings, Inc.</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1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$28.88 to $29.37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122,000 of these options are currently vested and exercisable and the balance of 100,000 will vest on July 12, 2014.</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09/23/2013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7322"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2019-12-16T15:12:27Z</dcterms:created>
  <dcterms:modified xsi:type="dcterms:W3CDTF">2019-12-16T15:12:27Z</dcterms:modified>
</cp:coreProperties>
</file>