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7" w:lineRule="auto"/>
        <w:rPr>
          <w:sz w:val="20"/>
          <w:szCs w:val="20"/>
          <w:color w:val="auto"/>
        </w:rPr>
      </w:pPr>
      <w:r>
        <w:rPr>
          <w:rFonts w:ascii="Courier New" w:cs="Courier New" w:eastAsia="Courier New" w:hAnsi="Courier New"/>
          <w:sz w:val="18"/>
          <w:szCs w:val="18"/>
          <w:color w:val="auto"/>
        </w:rPr>
        <w:t>350 Park Avenue</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ExlService Holdings, Inc.</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Registration Statement on Form S-1 Filed December 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2004</w:t>
      </w:r>
    </w:p>
    <w:p>
      <w:pPr>
        <w:ind w:left="1700"/>
        <w:spacing w:after="0" w:line="238" w:lineRule="auto"/>
        <w:rPr>
          <w:sz w:val="20"/>
          <w:szCs w:val="20"/>
          <w:color w:val="auto"/>
        </w:rPr>
      </w:pPr>
      <w:r>
        <w:rPr>
          <w:rFonts w:ascii="Courier New" w:cs="Courier New" w:eastAsia="Courier New" w:hAnsi="Courier New"/>
          <w:sz w:val="18"/>
          <w:szCs w:val="18"/>
          <w:color w:val="auto"/>
        </w:rPr>
        <w:t>Registration No. 333-121001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Talwar:</w:t>
      </w:r>
    </w:p>
    <w:p>
      <w:pPr>
        <w:spacing w:after="0" w:line="207" w:lineRule="exact"/>
        <w:rPr>
          <w:sz w:val="24"/>
          <w:szCs w:val="24"/>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We have reviewed your filing and have the following comments. Where indicated, we think you should revise your document in response</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to these comments. If you disagree, we will consider your explanation as to why our comment is inapplicable or a revision is unnecessary. Please be as detailed as necessary in your explanation.</w:t>
      </w:r>
    </w:p>
    <w:p>
      <w:pPr>
        <w:spacing w:after="0" w:line="5"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 some of our comments, we may ask you to provide us with supplemental information so we may better understand your disclosure.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reviewing this information, we may or may not raise</w:t>
      </w:r>
    </w:p>
    <w:p>
      <w:pPr>
        <w:spacing w:after="0" w:line="238" w:lineRule="auto"/>
        <w:rPr>
          <w:sz w:val="20"/>
          <w:szCs w:val="20"/>
          <w:color w:val="auto"/>
        </w:rPr>
      </w:pPr>
      <w:r>
        <w:rPr>
          <w:rFonts w:ascii="Courier New" w:cs="Courier New" w:eastAsia="Courier New" w:hAnsi="Courier New"/>
          <w:sz w:val="18"/>
          <w:szCs w:val="18"/>
          <w:color w:val="auto"/>
        </w:rPr>
        <w:t>additional</w:t>
      </w:r>
    </w:p>
    <w:p>
      <w:pPr>
        <w:spacing w:after="0"/>
        <w:rPr>
          <w:sz w:val="20"/>
          <w:szCs w:val="20"/>
          <w:color w:val="auto"/>
        </w:rPr>
      </w:pPr>
      <w:r>
        <w:rPr>
          <w:rFonts w:ascii="Courier New" w:cs="Courier New" w:eastAsia="Courier New" w:hAnsi="Courier New"/>
          <w:sz w:val="18"/>
          <w:szCs w:val="18"/>
          <w:color w:val="auto"/>
        </w:rPr>
        <w:t>comments.</w:t>
      </w: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disclosures that you sold options to purchase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and Class B common stock to directors, officers, employees, former</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and consultants from June 2003 to July 2004. We also note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stated belief that these issuances were all exempt from registration under the Securities Act pursuant to Section 3(a)(9), Section 4(2) and Regulation D, Rule 701, and a "no-sale" theory under</w:t>
      </w:r>
    </w:p>
    <w:p>
      <w:pPr>
        <w:spacing w:after="0" w:line="4"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 Please tell us the aggregate number of purchasers involved in the private placement and when the options became exercisable. For each issuance, please tell us the identity of the</w:t>
      </w:r>
    </w:p>
    <w:p>
      <w:pPr>
        <w:spacing w:after="0" w:line="4"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purchasers or class of purchasers and their relationship to the issuer, if any, the number of options granted to each such purchaser</w:t>
      </w:r>
    </w:p>
    <w:p>
      <w:pPr>
        <w:spacing w:after="0" w:line="6"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 date of issuance. For each such issuance please tell us which exemption was relied upon and the basis for such reliance. Please provide us with your analysis of the availability of each exemption relied upon. Your analysis should include, among other things, a discussion of the facts relied upon and a discussion of the</w:t>
      </w:r>
    </w:p>
    <w:p>
      <w:pPr>
        <w:spacing w:after="0" w:line="7"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precautions that were taken to avoid having the manner in which the</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was conducted constitute a general solicitation. Also include a discussion of the facts that you relied upon in making your</w:t>
      </w:r>
    </w:p>
    <w:p>
      <w:pPr>
        <w:spacing w:after="0" w:line="6" w:lineRule="exact"/>
        <w:rPr>
          <w:rFonts w:ascii="Courier New" w:cs="Courier New" w:eastAsia="Courier New" w:hAnsi="Courier New"/>
          <w:sz w:val="18"/>
          <w:szCs w:val="18"/>
          <w:color w:val="auto"/>
        </w:rPr>
      </w:pPr>
    </w:p>
    <w:p>
      <w:pPr>
        <w:ind w:right="33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determination that each of these issuances was exempt under the exemption relied upon. For example, for issuances upon which you relied on Section 4(2), were investors provided with information similar to the information that would have been contained in a registration statement? Was an inquiry undertaken as to the purchasers` sophistication and ability to bear the economic risks</w:t>
      </w:r>
    </w:p>
    <w:p>
      <w:pPr>
        <w:sectPr>
          <w:pgSz w:w="11900" w:h="16876"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the investment? Please tell us how each person or entity qualified</w:t>
      </w:r>
    </w:p>
    <w:p>
      <w:pPr>
        <w:spacing w:after="0" w:line="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as a "sophisticated investor" and if you believe an entity was a sophisticated investor because all of its equity owners were sophisticated investors, please identify all of those equity owners</w:t>
      </w:r>
    </w:p>
    <w:p>
      <w:pPr>
        <w:spacing w:after="0"/>
        <w:rPr>
          <w:sz w:val="20"/>
          <w:szCs w:val="20"/>
          <w:color w:val="auto"/>
        </w:rPr>
      </w:pPr>
      <w:r>
        <w:rPr>
          <w:rFonts w:ascii="Courier New" w:cs="Courier New" w:eastAsia="Courier New" w:hAnsi="Courier New"/>
          <w:sz w:val="18"/>
          <w:szCs w:val="18"/>
          <w:color w:val="auto"/>
        </w:rPr>
        <w:t>and how you determined their sophistication.</w:t>
      </w:r>
    </w:p>
    <w:p>
      <w:pPr>
        <w:spacing w:after="0" w:line="206" w:lineRule="exact"/>
        <w:rPr>
          <w:sz w:val="20"/>
          <w:szCs w:val="20"/>
          <w:color w:val="auto"/>
        </w:rPr>
      </w:pPr>
    </w:p>
    <w:p>
      <w:pPr>
        <w:ind w:right="29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Supplementally, please tell us what consideration you gave to the potential integration of the issuances of shares and options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connection with the share conversion that will take place immediately</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completion of the offering. Please file, or provide us</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supplementally, with a copy of your Certificate of Incorporation that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governs the conversion of the shares and options.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Cover Page</w:t>
      </w:r>
    </w:p>
    <w:p>
      <w:pPr>
        <w:spacing w:after="0" w:line="4" w:lineRule="exact"/>
        <w:rPr>
          <w:sz w:val="20"/>
          <w:szCs w:val="20"/>
          <w:color w:val="auto"/>
        </w:rPr>
      </w:pPr>
    </w:p>
    <w:p>
      <w:pPr>
        <w:ind w:right="3039" w:firstLine="8"/>
        <w:spacing w:after="0" w:line="268"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that you will not circulate a preliminary prospectus until such time as you include an estimated price range and fill</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blanks throughout the filing. We may have further comments when your</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filing includes complete disclosure.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Back Cover Page</w:t>
      </w:r>
    </w:p>
    <w:p>
      <w:pPr>
        <w:spacing w:after="0" w:line="207" w:lineRule="exact"/>
        <w:rPr>
          <w:sz w:val="20"/>
          <w:szCs w:val="20"/>
          <w:color w:val="auto"/>
        </w:rPr>
      </w:pPr>
    </w:p>
    <w:p>
      <w:pPr>
        <w:ind w:right="33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text under the "Industry and Market Data" heading. You may not disclaim responsibility for information contained in your</w:t>
      </w:r>
    </w:p>
    <w:p>
      <w:pPr>
        <w:spacing w:after="0" w:line="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If you intend to use the data throughout your prospectus, you should delete the disclaimer. In addition, supplementally provide supporting material, including the report from</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Gartner Group, for any data used, marking the relevant sections</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our review. Note also that if such information was prepared for</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in connection with the proposed offering, you must file a</w:t>
      </w:r>
    </w:p>
    <w:p>
      <w:pPr>
        <w:spacing w:after="0" w:line="5"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from the provider for the use of its name and the information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attributed to 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4" w:lineRule="exact"/>
        <w:rPr>
          <w:sz w:val="20"/>
          <w:szCs w:val="20"/>
          <w:color w:val="auto"/>
        </w:rPr>
      </w:pPr>
    </w:p>
    <w:p>
      <w:pPr>
        <w:ind w:right="335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your summary to provide a brief overview of your offering, and a more succinct description of your business, which is</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more completely discussed in the business section of your document.</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table or other similar readily identifiable manner,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shares that will be held by the executive officers,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and/or affiliate stockholders after this offering.</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or reduce the use of acronyms like BPO, BFSI,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CAGR</w:t>
      </w:r>
    </w:p>
    <w:p>
      <w:pPr>
        <w:spacing w:after="0" w:line="4"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summary and forepart of the filing; and revise the disclosure</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 that when they are used, their meaning is clear and their use enhances investor understanding. See updated Staff Legal Bulletin No. 7 (June 7, 1999) sample comments 1, 3 and 5.</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limit the use of defined terms and industry jargon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forepart of the filing so that it is clear to investors who may not</w:t>
      </w:r>
    </w:p>
    <w:p>
      <w:pPr>
        <w:spacing w:after="0" w:line="5" w:lineRule="exact"/>
        <w:rPr>
          <w:rFonts w:ascii="Courier New" w:cs="Courier New" w:eastAsia="Courier New" w:hAnsi="Courier New"/>
          <w:sz w:val="16"/>
          <w:szCs w:val="16"/>
          <w:color w:val="auto"/>
        </w:rPr>
      </w:pP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 familiar with your industry. See Rule 421(b). We note the last</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sentence of the second paragraph under the "Our Business" heading and</w:t>
      </w:r>
    </w:p>
    <w:p>
      <w:pPr>
        <w:spacing w:after="0" w:line="5"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following non-exhaustive list of industry terms throughout the summary:</w:t>
      </w:r>
    </w:p>
    <w:p>
      <w:pPr>
        <w:spacing w:after="0" w:line="20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value-added</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process outsourcing</w:t>
      </w:r>
    </w:p>
    <w:p>
      <w:pPr>
        <w:sectPr>
          <w:pgSz w:w="11900" w:h="16838" w:orient="portrait"/>
          <w:cols w:equalWidth="0" w:num="1">
            <w:col w:w="10219"/>
          </w:cols>
          <w:pgMar w:left="240" w:top="136" w:right="1440" w:bottom="0" w:gutter="0" w:footer="0" w:header="0"/>
        </w:sectPr>
      </w:pPr>
    </w:p>
    <w:bookmarkStart w:id="2" w:name="page3"/>
    <w:bookmarkEnd w:id="2"/>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domain expertise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delivery model</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broad-based expertise</w:t>
      </w:r>
    </w:p>
    <w:p>
      <w:pPr>
        <w:spacing w:after="0" w:line="4" w:lineRule="exact"/>
        <w:rPr>
          <w:rFonts w:ascii="Courier New" w:cs="Courier New" w:eastAsia="Courier New" w:hAnsi="Courier New"/>
          <w:sz w:val="18"/>
          <w:szCs w:val="18"/>
          <w:color w:val="auto"/>
        </w:rPr>
      </w:pPr>
    </w:p>
    <w:p>
      <w:pPr>
        <w:ind w:right="37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front-middle and back-office process outsourcing solutions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migration</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end-to-end outsourcing reconciliation</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global delivery platforms</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scaleable infrastructure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Sigma methodology</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Kaizen initiatives</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offshore delivery capabilities</w:t>
      </w:r>
    </w:p>
    <w:p>
      <w:pPr>
        <w:spacing w:after="0" w:line="207"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of your risk factors are too general and could apply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w:t>
      </w:r>
    </w:p>
    <w:p>
      <w:pPr>
        <w:spacing w:after="0" w:line="4" w:lineRule="exact"/>
        <w:rPr>
          <w:rFonts w:ascii="Courier New" w:cs="Courier New" w:eastAsia="Courier New" w:hAnsi="Courier New"/>
          <w:sz w:val="16"/>
          <w:szCs w:val="16"/>
          <w:color w:val="auto"/>
        </w:rPr>
      </w:pPr>
    </w:p>
    <w:p>
      <w:pPr>
        <w:ind w:right="35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issuer or offering. For example, the risks described under the general caption, "Risks Related to India and the International Nature</w:t>
      </w:r>
    </w:p>
    <w:p>
      <w:pPr>
        <w:spacing w:after="0" w:line="6"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our Business," beginning on page 14, should be revised to Disclose</w:t>
      </w:r>
    </w:p>
    <w:p>
      <w:pPr>
        <w:spacing w:after="0" w:line="5"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how each risk has specifically impacted your operations to date. For</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example:</w:t>
      </w:r>
    </w:p>
    <w:p>
      <w:pPr>
        <w:spacing w:after="0" w:line="207" w:lineRule="exact"/>
        <w:rPr>
          <w:sz w:val="20"/>
          <w:szCs w:val="20"/>
          <w:color w:val="auto"/>
        </w:rPr>
      </w:pPr>
    </w:p>
    <w:p>
      <w:pPr>
        <w:jc w:val="both"/>
        <w:ind w:right="357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your business suffered any disruptions from the economic, political, social, and military uncertainties described on page 15?</w:t>
      </w:r>
    </w:p>
    <w:p>
      <w:pPr>
        <w:spacing w:after="0" w:line="208" w:lineRule="exact"/>
        <w:rPr>
          <w:rFonts w:ascii="Courier New" w:cs="Courier New" w:eastAsia="Courier New" w:hAnsi="Courier New"/>
          <w:sz w:val="18"/>
          <w:szCs w:val="18"/>
          <w:color w:val="auto"/>
        </w:rPr>
      </w:pPr>
    </w:p>
    <w:p>
      <w:pPr>
        <w:ind w:right="335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you suffered any disruptions on your operations or any decrease in client confidence in your business as a result of any terrorist activities in India to date (page 15)?</w:t>
      </w:r>
    </w:p>
    <w:p>
      <w:pPr>
        <w:spacing w:after="0" w:line="208" w:lineRule="exact"/>
        <w:rPr>
          <w:rFonts w:ascii="Courier New" w:cs="Courier New" w:eastAsia="Courier New" w:hAnsi="Courier New"/>
          <w:sz w:val="18"/>
          <w:szCs w:val="18"/>
          <w:color w:val="auto"/>
        </w:rPr>
      </w:pPr>
    </w:p>
    <w:p>
      <w:pPr>
        <w:ind w:right="377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your employees had difficulty obtaining entry visas in recent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times (page 16)?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page 1</w:t>
      </w:r>
    </w:p>
    <w:p>
      <w:pPr>
        <w:spacing w:after="0" w:line="207" w:lineRule="exact"/>
        <w:rPr>
          <w:sz w:val="20"/>
          <w:szCs w:val="20"/>
          <w:color w:val="auto"/>
        </w:rPr>
      </w:pPr>
    </w:p>
    <w:p>
      <w:pPr>
        <w:ind w:right="39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supplemental support for your statements of leadership</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 and throughout your document, marking the relevant portions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provided for our review.</w:t>
      </w:r>
    </w:p>
    <w:p>
      <w:pPr>
        <w:spacing w:after="0" w:line="207"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paragraph, provide greater disclosure regarding when the majority of your long term business contracts are set to expire, including the portion of your revenues tied to contracts that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 set to expire during the next twelve months.</w:t>
      </w:r>
    </w:p>
    <w:p>
      <w:pPr>
        <w:spacing w:after="0" w:line="4" w:lineRule="exact"/>
        <w:rPr>
          <w:rFonts w:ascii="Courier New" w:cs="Courier New" w:eastAsia="Courier New" w:hAnsi="Courier New"/>
          <w:sz w:val="18"/>
          <w:szCs w:val="18"/>
          <w:color w:val="auto"/>
        </w:rPr>
      </w:pPr>
    </w:p>
    <w:p>
      <w:pPr>
        <w:ind w:right="3159" w:firstLine="8"/>
        <w:spacing w:after="0" w:line="236"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choose to highlight your increase in revenues in the opening paragraph, please also disclose that, prior to the current period, you have experienced net losses.</w:t>
      </w:r>
    </w:p>
    <w:p>
      <w:pPr>
        <w:spacing w:after="0" w:line="208"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second paragraph, explain the significance of the "140 processes" (which we assume are types of jobs within an organization/business). For example, of the "140 processes" you have</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to your operations centers, how many of them were transferred on behalf of the same client? You should revise to discuss the number in context so that investors can understand how it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relates to your business success/failure.</w:t>
      </w:r>
    </w:p>
    <w:p>
      <w:pPr>
        <w:spacing w:after="0" w:line="4" w:lineRule="exact"/>
        <w:rPr>
          <w:rFonts w:ascii="Courier New" w:cs="Courier New" w:eastAsia="Courier New" w:hAnsi="Courier New"/>
          <w:sz w:val="18"/>
          <w:szCs w:val="18"/>
          <w:color w:val="auto"/>
        </w:rPr>
      </w:pPr>
    </w:p>
    <w:p>
      <w:pPr>
        <w:ind w:right="3259" w:firstLine="8"/>
        <w:spacing w:after="0" w:line="237"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whether the increase in the number of employees mentioned in the third paragraph includes employees from India and disclose the relative number of those Indian employees. Also, balance the disclosure by stating, if true, that some of the increase</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employee numbers is a function of the high turnover rate you experience as described on page 11.</w:t>
      </w:r>
    </w:p>
    <w:p>
      <w:pPr>
        <w:spacing w:after="0" w:line="5" w:lineRule="exact"/>
        <w:rPr>
          <w:rFonts w:ascii="Courier New" w:cs="Courier New" w:eastAsia="Courier New" w:hAnsi="Courier New"/>
          <w:sz w:val="18"/>
          <w:szCs w:val="18"/>
          <w:color w:val="auto"/>
        </w:rPr>
      </w:pPr>
    </w:p>
    <w:p>
      <w:pPr>
        <w:ind w:right="3459" w:firstLine="8"/>
        <w:spacing w:after="0" w:line="236"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last sentence in paragraph three. Revise to describe the significance of these awards to your business, and provide copies of the certificates for our review.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 Competitive Strengths, page 2</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choose to discuss your strengths in the summary,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w:t>
      </w:r>
    </w:p>
    <w:p>
      <w:pPr>
        <w:spacing w:after="0" w:line="4" w:lineRule="exact"/>
        <w:rPr>
          <w:rFonts w:ascii="Courier New" w:cs="Courier New" w:eastAsia="Courier New" w:hAnsi="Courier New"/>
          <w:sz w:val="18"/>
          <w:szCs w:val="18"/>
          <w:color w:val="auto"/>
        </w:rPr>
      </w:pPr>
    </w:p>
    <w:p>
      <w:pPr>
        <w:ind w:right="32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that disclosure by briefly discussing your competitive weaknesses. For example, when discussing experience with banking, financial services, and insurance, clarify that you rely on a few</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industries;</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and when discussing long-term client relationships, clarify that you</w:t>
      </w:r>
    </w:p>
    <w:p>
      <w:pPr>
        <w:spacing w:after="0"/>
        <w:rPr>
          <w:sz w:val="20"/>
          <w:szCs w:val="20"/>
          <w:color w:val="auto"/>
        </w:rPr>
      </w:pPr>
      <w:r>
        <w:rPr>
          <w:rFonts w:ascii="Courier New" w:cs="Courier New" w:eastAsia="Courier New" w:hAnsi="Courier New"/>
          <w:sz w:val="18"/>
          <w:szCs w:val="18"/>
          <w:color w:val="auto"/>
        </w:rPr>
        <w:t>depend primarily on two clients.</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statement here and throughout the prospectus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relatively predictable and recurring revenues as a result of</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long-term contracts you have entered into with your clients. We</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further note your disclosure on page 26 of the prospectus that contracts representing a majority of your revenues are terminable at</w:t>
      </w:r>
    </w:p>
    <w:p>
      <w:pPr>
        <w:spacing w:after="0" w:line="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by the client, with or without cause. This would appear to greatly impact the predictability and recurring nature of your revenues. In light of this, please revise to clearly indicate that,</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even though you have long-term contracts, a majority of them may be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terminated for any reason at any time by the client.</w:t>
      </w:r>
    </w:p>
    <w:p>
      <w:pPr>
        <w:spacing w:after="0" w:line="207" w:lineRule="exact"/>
        <w:rPr>
          <w:rFonts w:ascii="Courier New" w:cs="Courier New" w:eastAsia="Courier New" w:hAnsi="Courier New"/>
          <w:sz w:val="18"/>
          <w:szCs w:val="18"/>
          <w:color w:val="auto"/>
        </w:rPr>
      </w:pPr>
    </w:p>
    <w:p>
      <w:pPr>
        <w:ind w:right="3159" w:firstLine="8"/>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refrain from making statements that cannot be easily proved such as a reference to your "reputation for superior service."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the Company, page 3</w:t>
      </w:r>
    </w:p>
    <w:p>
      <w:pPr>
        <w:spacing w:after="0" w:line="4" w:lineRule="exact"/>
        <w:rPr>
          <w:sz w:val="20"/>
          <w:szCs w:val="20"/>
          <w:color w:val="auto"/>
        </w:rPr>
      </w:pPr>
    </w:p>
    <w:p>
      <w:pPr>
        <w:ind w:right="377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future amendments please use a more recent date to determine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rate between U.S. dollars and Indian rupees.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Conversion, page 4</w:t>
      </w:r>
    </w:p>
    <w:p>
      <w:pPr>
        <w:spacing w:after="0" w:line="4" w:lineRule="exact"/>
        <w:rPr>
          <w:sz w:val="20"/>
          <w:szCs w:val="20"/>
          <w:color w:val="auto"/>
        </w:rPr>
      </w:pPr>
    </w:p>
    <w:p>
      <w:pPr>
        <w:ind w:right="3359" w:firstLine="8"/>
        <w:spacing w:after="0" w:line="237"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known, please disclose the number of common stock outstanding after the share conversion and the number of shares issuable upon exercise of the options to purchase Class A shares. Disclose also the number of freely tradable shares after the offering, including the number of shares subject to registration rights upon commencement of this offering.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Consolidated Financial and Other Data, page 8</w:t>
      </w:r>
    </w:p>
    <w:p>
      <w:pPr>
        <w:spacing w:after="0" w:line="4" w:lineRule="exact"/>
        <w:rPr>
          <w:sz w:val="20"/>
          <w:szCs w:val="20"/>
          <w:color w:val="auto"/>
        </w:rPr>
      </w:pPr>
    </w:p>
    <w:p>
      <w:pPr>
        <w:ind w:right="3039" w:firstLine="8"/>
        <w:spacing w:after="0" w:line="236"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usefulness of EBITDA adjusted for non-recurring items to derive Adjusted EBITDA is not evident. Please expand your disclosure</w:t>
      </w:r>
    </w:p>
    <w:p>
      <w:pPr>
        <w:spacing w:after="0" w:line="6" w:lineRule="exact"/>
        <w:rPr>
          <w:rFonts w:ascii="Courier New" w:cs="Courier New" w:eastAsia="Courier New" w:hAnsi="Courier New"/>
          <w:sz w:val="18"/>
          <w:szCs w:val="18"/>
          <w:color w:val="auto"/>
        </w:rPr>
      </w:pPr>
    </w:p>
    <w:p>
      <w:pPr>
        <w:ind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demonstrate the usefulness of adjusting EBITDA for goodwill impairment and extraordinary items. Refer to Questions 8, 9 and</w:t>
      </w:r>
    </w:p>
    <w:p>
      <w:pPr>
        <w:spacing w:after="0"/>
        <w:tabs>
          <w:tab w:leader="none" w:pos="0" w:val="left"/>
        </w:tabs>
        <w:numPr>
          <w:ilvl w:val="0"/>
          <w:numId w:val="16"/>
        </w:numPr>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Frequently Asked Questions Regarding the Use of Non-GAAP Financial</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Measures ("FAQ"). In addition, please revise your disclosure to characterize the measure as something other than EBITDA as discussed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Question 14 of the FAQ.</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Factors-Beginnings on Page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4" w:lineRule="exact"/>
        <w:rPr>
          <w:sz w:val="20"/>
          <w:szCs w:val="20"/>
          <w:color w:val="auto"/>
        </w:rPr>
      </w:pPr>
    </w:p>
    <w:p>
      <w:pPr>
        <w:ind w:right="3259" w:firstLine="8"/>
        <w:spacing w:after="0" w:line="237"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to the introductory paragraph on page 9 where you indicate that you may face other risks or uncertainties which may adversely affect your business. You must disclose all risks that you</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believe are material at this time. Please delete language related to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risks or unknown risks from your disclosure.</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add a risk factor discussing the high regulatory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nature</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your business as described on page 55, and discuss the risks associated with failing to adhere to the regulations, or failing to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obtain or renew any required licenses.</w:t>
      </w:r>
    </w:p>
    <w:p>
      <w:pPr>
        <w:spacing w:after="0" w:line="207" w:lineRule="exact"/>
        <w:rPr>
          <w:rFonts w:ascii="Courier New" w:cs="Courier New" w:eastAsia="Courier New" w:hAnsi="Courier New"/>
          <w:sz w:val="18"/>
          <w:szCs w:val="18"/>
          <w:color w:val="auto"/>
        </w:rPr>
      </w:pPr>
    </w:p>
    <w:p>
      <w:pPr>
        <w:ind w:right="3039" w:firstLine="8"/>
        <w:spacing w:after="0" w:line="236"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add a risk factor describing an investor`s ability to bring an original action in India to enforce liabilities based upon</w:t>
      </w:r>
    </w:p>
    <w:p>
      <w:pPr>
        <w:spacing w:after="0" w:line="6"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U.S. federal securities laws against you, your operating subsidiaries in India, and the executive officers that reside there.</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Discuss also the limitations in effecting service of process as described on page 89.</w:t>
      </w:r>
    </w:p>
    <w:p>
      <w:pPr>
        <w:spacing w:after="0" w:line="5" w:lineRule="exact"/>
        <w:rPr>
          <w:rFonts w:ascii="Courier New" w:cs="Courier New" w:eastAsia="Courier New" w:hAnsi="Courier New"/>
          <w:sz w:val="18"/>
          <w:szCs w:val="18"/>
          <w:color w:val="auto"/>
        </w:rPr>
      </w:pPr>
    </w:p>
    <w:p>
      <w:pPr>
        <w:ind w:right="3159" w:firstLine="8"/>
        <w:spacing w:after="0" w:line="236"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 risk factor disclosing the number of potentially free trading shares resulting from the registration rights agreement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on page 73 and 74 and the impact those free trading</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would have on the value of your stock.</w:t>
      </w: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adding a risk factor discussing the increase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costs</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becoming a public company and complying with requirements under the Sarbanes-Oxley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limited independent operating history...Page 9</w:t>
      </w:r>
    </w:p>
    <w:p>
      <w:pPr>
        <w:spacing w:after="0" w:line="4" w:lineRule="exact"/>
        <w:rPr>
          <w:sz w:val="20"/>
          <w:szCs w:val="20"/>
          <w:color w:val="auto"/>
        </w:rPr>
      </w:pPr>
    </w:p>
    <w:p>
      <w:pPr>
        <w:ind w:right="2939" w:firstLine="8"/>
        <w:spacing w:after="0" w:line="235" w:lineRule="auto"/>
        <w:tabs>
          <w:tab w:leader="none" w:pos="8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the portion of your revenues derived from Conseco in recent periods, for example, since November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limited number of clients...Page 9</w:t>
      </w:r>
    </w:p>
    <w:p>
      <w:pPr>
        <w:spacing w:after="0" w:line="207" w:lineRule="exact"/>
        <w:rPr>
          <w:sz w:val="20"/>
          <w:szCs w:val="20"/>
          <w:color w:val="auto"/>
        </w:rPr>
      </w:pPr>
    </w:p>
    <w:p>
      <w:pPr>
        <w:ind w:right="3159" w:firstLine="8"/>
        <w:spacing w:after="0" w:line="235"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total percentage of revenues derived from the two major clients in the heading of this risk factor.</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termination dates for your contracts 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Norwich</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Dell and briefly explain their rights to terminate the contracts.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that Norwich is a United Kingdom based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long selling cycle...Page 10</w:t>
      </w:r>
    </w:p>
    <w:p>
      <w:pPr>
        <w:spacing w:after="0" w:line="4" w:lineRule="exact"/>
        <w:rPr>
          <w:sz w:val="20"/>
          <w:szCs w:val="20"/>
          <w:color w:val="auto"/>
        </w:rPr>
      </w:pPr>
    </w:p>
    <w:p>
      <w:pPr>
        <w:ind w:right="3679" w:firstLine="8"/>
        <w:spacing w:after="0" w:line="235" w:lineRule="auto"/>
        <w:tabs>
          <w:tab w:leader="none" w:pos="84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the discussion in the first and second paragraph</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 separate risk factor from that discussed in the third paragraph. Consider separating these two risk factors. In the selling cycle discussion, disclose your success rate with closing a</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 of your services to potential clients given that you have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two major customers.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experience significant</w:t>
      </w:r>
    </w:p>
    <w:p>
      <w:pPr>
        <w:spacing w:after="0" w:line="238" w:lineRule="auto"/>
        <w:rPr>
          <w:sz w:val="20"/>
          <w:szCs w:val="20"/>
          <w:color w:val="auto"/>
        </w:rPr>
      </w:pPr>
      <w:r>
        <w:rPr>
          <w:rFonts w:ascii="Courier New" w:cs="Courier New" w:eastAsia="Courier New" w:hAnsi="Courier New"/>
          <w:sz w:val="18"/>
          <w:szCs w:val="18"/>
          <w:color w:val="auto"/>
        </w:rPr>
        <w:t>variability...Page</w:t>
      </w:r>
    </w:p>
    <w:p>
      <w:pPr>
        <w:spacing w:after="0"/>
        <w:rPr>
          <w:sz w:val="20"/>
          <w:szCs w:val="20"/>
          <w:color w:val="auto"/>
        </w:rPr>
      </w:pPr>
      <w:r>
        <w:rPr>
          <w:rFonts w:ascii="Courier New" w:cs="Courier New" w:eastAsia="Courier New" w:hAnsi="Courier New"/>
          <w:sz w:val="18"/>
          <w:szCs w:val="18"/>
          <w:color w:val="auto"/>
        </w:rPr>
        <w:t>10</w:t>
      </w:r>
    </w:p>
    <w:p>
      <w:pPr>
        <w:ind w:left="860" w:hanging="852"/>
        <w:spacing w:after="0" w:line="237"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the extent to which the factors listed in this risk</w:t>
      </w:r>
    </w:p>
    <w:p>
      <w:pPr>
        <w:spacing w:after="0"/>
        <w:tabs>
          <w:tab w:leader="none" w:pos="3360" w:val="left"/>
        </w:tabs>
        <w:rPr>
          <w:sz w:val="20"/>
          <w:szCs w:val="20"/>
          <w:color w:val="auto"/>
        </w:rPr>
      </w:pPr>
      <w:r>
        <w:rPr>
          <w:rFonts w:ascii="Courier New" w:cs="Courier New" w:eastAsia="Courier New" w:hAnsi="Courier New"/>
          <w:sz w:val="18"/>
          <w:szCs w:val="18"/>
          <w:color w:val="auto"/>
        </w:rPr>
        <w:t>factor have impacted your</w:t>
      </w:r>
      <w:r>
        <w:rPr>
          <w:sz w:val="20"/>
          <w:szCs w:val="20"/>
          <w:color w:val="auto"/>
        </w:rPr>
        <w:tab/>
      </w:r>
      <w:r>
        <w:rPr>
          <w:rFonts w:ascii="Courier New" w:cs="Courier New" w:eastAsia="Courier New" w:hAnsi="Courier New"/>
          <w:sz w:val="16"/>
          <w:szCs w:val="16"/>
          <w:color w:val="auto"/>
        </w:rPr>
        <w:t>operations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inability to effectively manage...page 11</w:t>
      </w:r>
    </w:p>
    <w:p>
      <w:pPr>
        <w:ind w:left="860" w:hanging="852"/>
        <w:spacing w:after="0" w:line="238"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more specifically the impact of the rapid pace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growth on your business to date. For example, disclose any disruptions to your business caused by recruiting, training, and retaining so many employees in the span of four years.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destination of the facility you plan to invest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outside of India. We note also your belief that the new facility will provide higher value to your customers through "risk diversification." Discuss more specifically what "risks" need to be</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diversified and how opening a new facility will address that goal. Also, how are you "committed" to opening the new facility? Have you</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 lease or a contractual agreement? If so, any such commitment should be discussed more fully in the business or MD&amp;A section of your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fail to attract and retain....page 11</w:t>
      </w:r>
    </w:p>
    <w:p>
      <w:pPr>
        <w:spacing w:after="0" w:line="4" w:lineRule="exact"/>
        <w:rPr>
          <w:sz w:val="20"/>
          <w:szCs w:val="20"/>
          <w:color w:val="auto"/>
        </w:rPr>
      </w:pPr>
    </w:p>
    <w:p>
      <w:pPr>
        <w:ind w:right="3779" w:firstLine="8"/>
        <w:spacing w:after="0" w:line="235" w:lineRule="auto"/>
        <w:tabs>
          <w:tab w:leader="none" w:pos="84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the impact of the high turnover rate on your operations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recent periods. For example, disclose the cost of revenues for recent periods.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has the high turnover rate impacted your ability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current clients and obtain new clients? We note that you have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serviced few clients since the company was founded.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Wage increases in India...page 11</w:t>
      </w:r>
    </w:p>
    <w:p>
      <w:pPr>
        <w:spacing w:after="0" w:line="4" w:lineRule="exact"/>
        <w:rPr>
          <w:sz w:val="20"/>
          <w:szCs w:val="20"/>
          <w:color w:val="auto"/>
        </w:rPr>
      </w:pPr>
    </w:p>
    <w:p>
      <w:pPr>
        <w:ind w:right="3359" w:firstLine="8"/>
        <w:spacing w:after="0" w:line="237"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the basis for your belief that wages in India are increasing at a faster pace than those in the United States. For example, are wages in India increasing as a result of recent legislation, or other political factors? If so, disclose. Also, discuss the impact of the declining U.S. dollar on U.S. wages as compared to Indian wages.</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BPO industry may not develop in ways that we...page 12</w:t>
      </w:r>
    </w:p>
    <w:p>
      <w:pPr>
        <w:ind w:left="860" w:hanging="852"/>
        <w:spacing w:after="0" w:line="238"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whether your discussion on restricting federally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funded</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private companies from outsourcing jobs is based on currently proposed legislation, or just a matter of concern more generally. In</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regard, do your clients rely on federal and state contracts for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significant competition...page 13</w:t>
      </w:r>
    </w:p>
    <w:p>
      <w:pPr>
        <w:ind w:left="860" w:hanging="852"/>
        <w:spacing w:after="0" w:line="238"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heading of this risk factor to identify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sources</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your competition specifically rather than stating that they originate from a "variety of sources." Also, it should be clear in</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 that your major source of competition derives from your</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 clients who can perform their own jobs in-house or make their own</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arrangements to outsource jobs abroad. We note, for example, the agreement you have with Norwich that allows for Norwich to assume operations in Pune.</w:t>
      </w:r>
    </w:p>
    <w:p>
      <w:pPr>
        <w:spacing w:after="0" w:line="20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Our client contracts contain certain termination and other provisions...page 13</w:t>
      </w: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to discuss the specific termination provisions that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apply</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your major clients such as Norwich Union and Dell. For example,</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terms under which those clients can terminate your agreement with cause versus without cause? Also, define "little advance notice" (six months?). In this risk factor you should also</w:t>
      </w:r>
    </w:p>
    <w:p>
      <w:pPr>
        <w:spacing w:after="0" w:line="4"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the revenues derived from those clients that materially contribute to your revenue so that investors can better evaluate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risk of loss of those clients.</w:t>
      </w:r>
    </w:p>
    <w:p>
      <w:pPr>
        <w:spacing w:after="0" w:line="4" w:lineRule="exact"/>
        <w:rPr>
          <w:rFonts w:ascii="Courier New" w:cs="Courier New" w:eastAsia="Courier New" w:hAnsi="Courier New"/>
          <w:sz w:val="18"/>
          <w:szCs w:val="18"/>
          <w:color w:val="auto"/>
        </w:rPr>
      </w:pPr>
    </w:p>
    <w:p>
      <w:pPr>
        <w:ind w:right="3159" w:firstLine="8"/>
        <w:spacing w:after="0" w:line="236" w:lineRule="auto"/>
        <w:tabs>
          <w:tab w:leader="none" w:pos="84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also that certain of your contracts with your major clients can be terminated without cause after the initial termination</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as described on page 51, and disclose the initial termination dates.</w:t>
      </w:r>
    </w:p>
    <w:p>
      <w:pPr>
        <w:spacing w:after="0" w:line="5"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limit the use of cross-references here and in the risk factor section in general and revise to include the information necessary to convey the material risk. For example, disclose the effective date of the Pune and Noida agreements and the three and five year term minimums. Discuss also the Pune Agreement non-competition clause mentioned on page 75.</w:t>
      </w:r>
    </w:p>
    <w:p>
      <w:pPr>
        <w:spacing w:after="0" w:line="21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Oakhill Capital Partners, FTVentures, certain of their respective affiliates...page 14</w:t>
      </w:r>
    </w:p>
    <w:p>
      <w:pPr>
        <w:spacing w:after="0" w:line="6" w:lineRule="exact"/>
        <w:rPr>
          <w:sz w:val="20"/>
          <w:szCs w:val="20"/>
          <w:color w:val="auto"/>
        </w:rPr>
      </w:pPr>
    </w:p>
    <w:p>
      <w:pPr>
        <w:ind w:right="2939" w:firstLine="8"/>
        <w:spacing w:after="0" w:line="236" w:lineRule="auto"/>
        <w:tabs>
          <w:tab w:leader="none" w:pos="8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amount and percentage of shares that each of the persons/entities named in this risk factor hold after the offering.</w:t>
      </w:r>
    </w:p>
    <w:p>
      <w:pPr>
        <w:spacing w:after="0" w:line="6" w:lineRule="exact"/>
        <w:rPr>
          <w:rFonts w:ascii="Courier New" w:cs="Courier New" w:eastAsia="Courier New" w:hAnsi="Courier New"/>
          <w:sz w:val="18"/>
          <w:szCs w:val="18"/>
          <w:color w:val="auto"/>
        </w:rPr>
      </w:pPr>
    </w:p>
    <w:p>
      <w:pPr>
        <w:ind w:right="3159" w:firstLine="8"/>
        <w:spacing w:after="0" w:line="237" w:lineRule="auto"/>
        <w:tabs>
          <w:tab w:leader="none" w:pos="8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describe the affiliation, if any, among the entities listed under this risk factor. For example, would the entities be considered a "group" that would have the ability to exercise control</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over matters that come to a vote? In addition, to the extent that the aggregate ownership percentage exceeds 50 percent following the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please revise the risk factor heading and discussion to clarify that they would be able to "control" most matters that come</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board, not merely "exercise significant influence" over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not succeed in identifying suitable acquisitions...page 14</w:t>
      </w:r>
    </w:p>
    <w:p>
      <w:pPr>
        <w:spacing w:after="0" w:line="4" w:lineRule="exact"/>
        <w:rPr>
          <w:sz w:val="20"/>
          <w:szCs w:val="20"/>
          <w:color w:val="auto"/>
        </w:rPr>
      </w:pPr>
    </w:p>
    <w:p>
      <w:pPr>
        <w:ind w:right="3479" w:firstLine="8"/>
        <w:spacing w:after="0" w:line="237" w:lineRule="auto"/>
        <w:tabs>
          <w:tab w:leader="none" w:pos="84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Supplementally advise us whether you have identified an acquisition target and/or are in discussions regarding an acquisition. We note on page 11 your statement that you are committed to investing in an operations center outside of India. We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have further comment.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future sales of shares of our common stock...page 17</w:t>
      </w:r>
    </w:p>
    <w:p>
      <w:pPr>
        <w:spacing w:after="0" w:line="4" w:lineRule="exact"/>
        <w:rPr>
          <w:rFonts w:ascii="Courier New" w:cs="Courier New" w:eastAsia="Courier New" w:hAnsi="Courier New"/>
          <w:sz w:val="18"/>
          <w:szCs w:val="18"/>
          <w:color w:val="auto"/>
        </w:rPr>
      </w:pPr>
    </w:p>
    <w:p>
      <w:pPr>
        <w:ind w:right="2939" w:firstLine="8"/>
        <w:spacing w:after="0" w:line="275" w:lineRule="auto"/>
        <w:tabs>
          <w:tab w:leader="none" w:pos="84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 any conditions under which the parties may waive the lock-up provisions. We note on page 86 that Citigroup and Goldman Sachs may release any of the securities subject to the lock-up agreements at any time without notice in their sole discretion.</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Delaware law and our amended and restated...page 17</w:t>
      </w:r>
    </w:p>
    <w:p>
      <w:pPr>
        <w:spacing w:after="0" w:line="4" w:lineRule="exact"/>
        <w:rPr>
          <w:sz w:val="20"/>
          <w:szCs w:val="20"/>
          <w:color w:val="auto"/>
        </w:rPr>
      </w:pPr>
    </w:p>
    <w:p>
      <w:pPr>
        <w:ind w:right="2939" w:firstLine="8"/>
        <w:spacing w:after="0" w:line="236" w:lineRule="auto"/>
        <w:tabs>
          <w:tab w:leader="none" w:pos="84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Briefly describe the provisions that could delay or prevent a change in control rather than to provide a cross-reference in this risk factor.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Proceeds-Page 19</w:t>
      </w:r>
    </w:p>
    <w:p>
      <w:pPr>
        <w:spacing w:after="0" w:line="4" w:lineRule="exact"/>
        <w:rPr>
          <w:sz w:val="20"/>
          <w:szCs w:val="20"/>
          <w:color w:val="auto"/>
        </w:rPr>
      </w:pPr>
    </w:p>
    <w:p>
      <w:pPr>
        <w:ind w:right="3039" w:firstLine="8"/>
        <w:spacing w:after="0" w:line="236"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amount of accrued dividends in the first bullet point and the amount of accrued interest in the second bullet point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2004.</w:t>
      </w:r>
    </w:p>
    <w:p>
      <w:pPr>
        <w:spacing w:after="0" w:line="4"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this section to provide investors with more details regarding your intended uses for the majority of the net proceeds to be received in this offering. Specifically, we note your</w:t>
      </w:r>
    </w:p>
    <w:p>
      <w:pPr>
        <w:spacing w:after="0" w:line="4" w:lineRule="exact"/>
        <w:rPr>
          <w:rFonts w:ascii="Courier New" w:cs="Courier New" w:eastAsia="Courier New" w:hAnsi="Courier New"/>
          <w:sz w:val="18"/>
          <w:szCs w:val="18"/>
          <w:color w:val="auto"/>
        </w:rPr>
      </w:pPr>
    </w:p>
    <w:p>
      <w:pPr>
        <w:jc w:val="both"/>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plans for hiring up to an additional 350 employees, opening a new facility in India and investing in an operations facility outside of</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India during 2005. Based on your existing cash position, it appears</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proceeds may be used for some or all of these specific purposes.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or advise.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Consolidated Financial Data, page 23</w:t>
      </w:r>
    </w:p>
    <w:p>
      <w:pPr>
        <w:ind w:left="860" w:hanging="852"/>
        <w:spacing w:after="0" w:line="238" w:lineRule="auto"/>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this tabular financial information in a left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 format beginning with the most recent fiscal period for consistency with the audited financial statements included in this registration statement. Refer to SAB Topic 11:E.</w:t>
      </w:r>
    </w:p>
    <w:p>
      <w:pPr>
        <w:spacing w:after="0" w:line="209"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page 29</w:t>
      </w:r>
    </w:p>
    <w:p>
      <w:pPr>
        <w:spacing w:after="0" w:line="4" w:lineRule="exact"/>
        <w:rPr>
          <w:sz w:val="20"/>
          <w:szCs w:val="20"/>
          <w:color w:val="auto"/>
        </w:rPr>
      </w:pPr>
    </w:p>
    <w:p>
      <w:pPr>
        <w:ind w:right="3159" w:firstLine="8"/>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include a discussion of your accounting policy as it relates to your pension plan liability. Specifically, explain your assumptions in calculating the liability for each period and methodology for determining those assumptions. In addition, please</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readers with a quantitative analysis of the impact those assumptions have on your earnings and financial condition. Please supplementally provide us with your basis for the discount rate and</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rate of compensation increase assumptions for the year ended December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page 31</w:t>
      </w:r>
    </w:p>
    <w:p>
      <w:pPr>
        <w:spacing w:after="0" w:line="4" w:lineRule="exact"/>
        <w:rPr>
          <w:sz w:val="20"/>
          <w:szCs w:val="20"/>
          <w:color w:val="auto"/>
        </w:rPr>
      </w:pPr>
    </w:p>
    <w:p>
      <w:pPr>
        <w:ind w:right="3259" w:firstLine="8"/>
        <w:spacing w:after="0" w:line="236"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include a disclosure of the primary reasons for the increase in the income tax provision between the combined year ended</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 2002 and the year ended December 31, 2003, as well as the reasons for the effective tax rate of approximately 262% for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ended December 31, 2003.</w:t>
      </w:r>
    </w:p>
    <w:p>
      <w:pPr>
        <w:spacing w:after="0" w:line="4" w:lineRule="exact"/>
        <w:rPr>
          <w:rFonts w:ascii="Courier New" w:cs="Courier New" w:eastAsia="Courier New" w:hAnsi="Courier New"/>
          <w:sz w:val="18"/>
          <w:szCs w:val="18"/>
          <w:color w:val="auto"/>
        </w:rPr>
      </w:pPr>
    </w:p>
    <w:p>
      <w:pPr>
        <w:ind w:right="3899" w:firstLine="8"/>
        <w:spacing w:after="0" w:line="235"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clarity, please consider including a discussion</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results of operations of the Company, its predecessor and pre-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predecessor for only the following periods:</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Nine-months ended September 30, 2004 compared to the nine-months</w:t>
      </w:r>
    </w:p>
    <w:p>
      <w:pPr>
        <w:spacing w:after="0"/>
        <w:rPr>
          <w:sz w:val="20"/>
          <w:szCs w:val="20"/>
          <w:color w:val="auto"/>
        </w:rPr>
      </w:pPr>
      <w:r>
        <w:rPr>
          <w:rFonts w:ascii="Courier New" w:cs="Courier New" w:eastAsia="Courier New" w:hAnsi="Courier New"/>
          <w:sz w:val="18"/>
          <w:szCs w:val="18"/>
          <w:color w:val="auto"/>
        </w:rPr>
        <w:t>ended September 30, 2003</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b. Year ended December 31, 2003 compared to the combined year ended</w:t>
      </w:r>
    </w:p>
    <w:p>
      <w:pPr>
        <w:spacing w:after="0"/>
        <w:rPr>
          <w:sz w:val="20"/>
          <w:szCs w:val="20"/>
          <w:color w:val="auto"/>
        </w:rPr>
      </w:pPr>
      <w:r>
        <w:rPr>
          <w:rFonts w:ascii="Courier New" w:cs="Courier New" w:eastAsia="Courier New" w:hAnsi="Courier New"/>
          <w:sz w:val="18"/>
          <w:szCs w:val="18"/>
          <w:color w:val="auto"/>
        </w:rPr>
        <w:t>December 31, 2002</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 Combined year Ended December 31, 2002 compared to the combined nine-month period ended December 31, 2001.</w:t>
      </w:r>
    </w:p>
    <w:p>
      <w:pPr>
        <w:spacing w:after="0" w:line="6" w:lineRule="exact"/>
        <w:rPr>
          <w:sz w:val="20"/>
          <w:szCs w:val="20"/>
          <w:color w:val="auto"/>
        </w:rPr>
      </w:pPr>
    </w:p>
    <w:p>
      <w:pPr>
        <w:ind w:left="860" w:hanging="852"/>
        <w:spacing w:after="0"/>
        <w:tabs>
          <w:tab w:leader="none" w:pos="8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the portion and amount of your revenues relating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clients decreased significantly during the nine months ended September 30, 2004 as compared to the nine months ended September 30,</w:t>
      </w:r>
    </w:p>
    <w:p>
      <w:pPr>
        <w:spacing w:after="0" w:line="6"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2003. Please discuss the reasons for this and consider whether this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represents a trend in your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Liquidity-Beginning on page 36</w:t>
      </w:r>
    </w:p>
    <w:p>
      <w:pPr>
        <w:sectPr>
          <w:pgSz w:w="11900" w:h="16838" w:orient="portrait"/>
          <w:cols w:equalWidth="0" w:num="1">
            <w:col w:w="10219"/>
          </w:cols>
          <w:pgMar w:left="240" w:top="339" w:right="1440" w:bottom="0" w:gutter="0" w:footer="0" w:header="0"/>
        </w:sectPr>
      </w:pPr>
    </w:p>
    <w:bookmarkStart w:id="7" w:name="page8"/>
    <w:bookmarkEnd w:id="7"/>
    <w:p>
      <w:pPr>
        <w:ind w:right="3259" w:firstLine="8"/>
        <w:spacing w:after="0" w:line="236"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disclosure to specifically explain what "improvements in working capital management" were made in 2003. In</w:t>
      </w:r>
    </w:p>
    <w:p>
      <w:pPr>
        <w:spacing w:after="0" w:line="6"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 please further explain all underlying drivers contributing</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changes in working capital and in cash flows from operations for</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period. Finally, note that changes in non-cash items, such as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and amortization should have no impact on any changes in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Refer to SEC Release 33-8350 for additional guidance.</w:t>
      </w:r>
    </w:p>
    <w:p>
      <w:pPr>
        <w:ind w:left="860" w:hanging="852"/>
        <w:spacing w:after="0" w:line="238"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liquidity on a long-term (greater than 12 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basis.</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in the fourth paragraph on page 37 tell us how you expect to incur $12 million in capital expenditure in 2005 to open two new facilities (Noida, India and another facility "outside of India") when you incurred $10 million in the nine-months ended September 2004</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open only one new facility. Disclose the location of the facility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intend to open outside of India.</w:t>
      </w:r>
    </w:p>
    <w:p>
      <w:pPr>
        <w:spacing w:after="0" w:line="4" w:lineRule="exact"/>
        <w:rPr>
          <w:rFonts w:ascii="Courier New" w:cs="Courier New" w:eastAsia="Courier New" w:hAnsi="Courier New"/>
          <w:sz w:val="18"/>
          <w:szCs w:val="18"/>
          <w:color w:val="auto"/>
        </w:rPr>
      </w:pPr>
    </w:p>
    <w:p>
      <w:pPr>
        <w:ind w:right="3899" w:firstLine="8"/>
        <w:spacing w:after="0" w:line="235"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your liquidity analysis include the anticipated expenditure</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your compliance with Sarbanes-Oxley given your status as a future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page 38</w:t>
      </w:r>
    </w:p>
    <w:p>
      <w:pPr>
        <w:spacing w:after="0" w:line="4" w:lineRule="exact"/>
        <w:rPr>
          <w:sz w:val="20"/>
          <w:szCs w:val="20"/>
          <w:color w:val="auto"/>
        </w:rPr>
      </w:pPr>
    </w:p>
    <w:p>
      <w:pPr>
        <w:ind w:right="3039" w:firstLine="8"/>
        <w:spacing w:after="0" w:line="236"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expand your disclosure with respect to the incentives received by EXL India, including the amounts and when the incentives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 set to expire.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Structure and Compensation-Beginning on page 59</w:t>
      </w:r>
    </w:p>
    <w:p>
      <w:pPr>
        <w:spacing w:after="0" w:line="4" w:lineRule="exact"/>
        <w:rPr>
          <w:rFonts w:ascii="Courier New" w:cs="Courier New" w:eastAsia="Courier New" w:hAnsi="Courier New"/>
          <w:sz w:val="18"/>
          <w:szCs w:val="18"/>
          <w:color w:val="auto"/>
        </w:rPr>
      </w:pPr>
    </w:p>
    <w:p>
      <w:pPr>
        <w:ind w:right="3259" w:firstLine="8"/>
        <w:spacing w:after="0" w:line="236"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whether the public offering is conditioned on your amending and restating your by-laws to implement the board structure</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identified here. If not, consider adding a risk factor that</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alerts investors to the impact on your company if the board structure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proposed is not implemented.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 page 62</w:t>
      </w:r>
    </w:p>
    <w:p>
      <w:pPr>
        <w:spacing w:after="0" w:line="4" w:lineRule="exact"/>
        <w:rPr>
          <w:sz w:val="20"/>
          <w:szCs w:val="20"/>
          <w:color w:val="auto"/>
        </w:rPr>
      </w:pPr>
    </w:p>
    <w:p>
      <w:pPr>
        <w:ind w:right="3039" w:firstLine="8"/>
        <w:spacing w:after="0" w:line="268"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Messrs. Talwar and Kapoor are each eligible for annual bonuses of up to $100,000; however, it appears that each</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w:t>
      </w:r>
    </w:p>
    <w:p>
      <w:pPr>
        <w:spacing w:after="0" w:line="4"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paid a bonus of $237,500 during 2003. Please advise as to whether a</w:t>
      </w:r>
    </w:p>
    <w:p>
      <w:pPr>
        <w:spacing w:after="0" w:line="5"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portion of this bonus relates to the initial bonus each received upon</w:t>
      </w:r>
    </w:p>
    <w:p>
      <w:pPr>
        <w:spacing w:after="0" w:line="5" w:lineRule="exact"/>
        <w:rPr>
          <w:rFonts w:ascii="Courier New" w:cs="Courier New" w:eastAsia="Courier New" w:hAnsi="Courier New"/>
          <w:sz w:val="16"/>
          <w:szCs w:val="16"/>
          <w:color w:val="auto"/>
        </w:rPr>
      </w:pPr>
    </w:p>
    <w:p>
      <w:pPr>
        <w:ind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entering into the employment agreements in 2002. If not, please explain why the bonuses exceeded the amounts included in the employment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Stockholders-beginning on page 72</w:t>
      </w:r>
    </w:p>
    <w:p>
      <w:pPr>
        <w:spacing w:after="0" w:line="4" w:lineRule="exact"/>
        <w:rPr>
          <w:sz w:val="20"/>
          <w:szCs w:val="20"/>
          <w:color w:val="auto"/>
        </w:rPr>
      </w:pPr>
    </w:p>
    <w:p>
      <w:pPr>
        <w:ind w:right="3159" w:firstLine="8"/>
        <w:spacing w:after="0" w:line="23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in simple terms what you mean by "gross up." Also, disclose whether the termination of the agreement between Mr. Talwar</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TCV is conditioned on completion of the public offering. In addition, please provide greater disclosure as to what you mean by "approval rights and additional equity sales" as referenced in the last sentence under this heading. Finally, please file the agreement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an exhibit to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Stockholder`s Agreement</w:t>
      </w:r>
    </w:p>
    <w:p>
      <w:pPr>
        <w:spacing w:after="0" w:line="4" w:lineRule="exact"/>
        <w:rPr>
          <w:sz w:val="20"/>
          <w:szCs w:val="20"/>
          <w:color w:val="auto"/>
        </w:rPr>
      </w:pPr>
    </w:p>
    <w:p>
      <w:pPr>
        <w:jc w:val="both"/>
        <w:ind w:right="3359" w:firstLine="8"/>
        <w:spacing w:after="0" w:line="236"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to briefly describe the terms of the Stockholder`s agreement and how termination of that agreement upon consummation of</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will impact other shareholders. How many shares does</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involve? Clarify whether the termination of the agreement is conditioned on the public offering going forward and add</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risk factors highlighting the impact on shareholders in any event.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Agreement, page 77</w:t>
      </w:r>
    </w:p>
    <w:p>
      <w:pPr>
        <w:spacing w:after="0" w:line="4" w:lineRule="exact"/>
        <w:rPr>
          <w:sz w:val="20"/>
          <w:szCs w:val="20"/>
          <w:color w:val="auto"/>
        </w:rPr>
      </w:pPr>
    </w:p>
    <w:p>
      <w:pPr>
        <w:ind w:left="860" w:hanging="852"/>
        <w:spacing w:after="0"/>
        <w:tabs>
          <w:tab w:leader="none" w:pos="8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describe the nature of the services performed by Oak</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Hill</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and FTVentures under this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Related Party Transactions-Page 77</w:t>
      </w:r>
    </w:p>
    <w:p>
      <w:pPr>
        <w:spacing w:after="0" w:line="4" w:lineRule="exact"/>
        <w:rPr>
          <w:sz w:val="20"/>
          <w:szCs w:val="20"/>
          <w:color w:val="auto"/>
        </w:rPr>
      </w:pPr>
    </w:p>
    <w:p>
      <w:pPr>
        <w:ind w:right="3039" w:firstLine="8"/>
        <w:spacing w:after="0" w:line="236" w:lineRule="auto"/>
        <w:tabs>
          <w:tab w:leader="none" w:pos="84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why you have not disclosed the relationships between Steven Gruber, Bradford Bernstein, and certain of your beneficial holders/affiliates.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Underwriting-Beginning on Page 86</w:t>
      </w:r>
    </w:p>
    <w:p>
      <w:pPr>
        <w:spacing w:after="0" w:line="207" w:lineRule="exact"/>
        <w:rPr>
          <w:sz w:val="20"/>
          <w:szCs w:val="20"/>
          <w:color w:val="auto"/>
        </w:rPr>
      </w:pPr>
    </w:p>
    <w:p>
      <w:pPr>
        <w:ind w:left="860" w:hanging="852"/>
        <w:spacing w:after="0"/>
        <w:tabs>
          <w:tab w:leader="none" w:pos="8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your disclosure on page 87 that an unspecified number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have been reserved for sale to directors, officers, or employees, or persons "who are otherwise associated with you" at the</w:t>
      </w:r>
    </w:p>
    <w:p>
      <w:pPr>
        <w:spacing w:after="0" w:line="6"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discretion of your management. Please revise to further describe the</w:t>
      </w:r>
    </w:p>
    <w:p>
      <w:pPr>
        <w:spacing w:after="0" w:line="5" w:lineRule="exact"/>
        <w:rPr>
          <w:rFonts w:ascii="Courier New" w:cs="Courier New" w:eastAsia="Courier New" w:hAnsi="Courier New"/>
          <w:sz w:val="16"/>
          <w:szCs w:val="16"/>
          <w:color w:val="auto"/>
        </w:rPr>
      </w:pPr>
    </w:p>
    <w:p>
      <w:pPr>
        <w:ind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persons "who are otherwise associated with you" that may participate</w:t>
      </w:r>
    </w:p>
    <w:p>
      <w:pPr>
        <w:spacing w:after="0" w:line="5"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directed share program. Further, please revise the cover page</w:t>
      </w:r>
    </w:p>
    <w:p>
      <w:pPr>
        <w:spacing w:after="0" w:line="5"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disclose the number of shares reserved and the summary to describe</w:t>
      </w:r>
    </w:p>
    <w:p>
      <w:pPr>
        <w:spacing w:after="0" w:line="5" w:lineRule="exact"/>
        <w:rPr>
          <w:rFonts w:ascii="Courier New" w:cs="Courier New" w:eastAsia="Courier New" w:hAnsi="Courier New"/>
          <w:sz w:val="16"/>
          <w:szCs w:val="16"/>
          <w:color w:val="auto"/>
        </w:rPr>
      </w:pPr>
    </w:p>
    <w:p>
      <w:pPr>
        <w:ind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directed share program. Please supplementally describe the mechanics of how and when these shares are offered and sold to investors in the directed share program. For example, tell us how the prospective recipients and number of reserved shares are determined. Tell us how and when you and the underwriters have notified or will notify the directed share investors, including the</w:t>
      </w:r>
    </w:p>
    <w:p>
      <w:pPr>
        <w:spacing w:after="0" w:line="8" w:lineRule="exact"/>
        <w:rPr>
          <w:rFonts w:ascii="Courier New" w:cs="Courier New" w:eastAsia="Courier New" w:hAnsi="Courier New"/>
          <w:sz w:val="16"/>
          <w:szCs w:val="16"/>
          <w:color w:val="auto"/>
        </w:rPr>
      </w:pPr>
    </w:p>
    <w:p>
      <w:pPr>
        <w:ind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types of communications used or to be used. Discuss the procedures</w:t>
      </w:r>
    </w:p>
    <w:p>
      <w:pPr>
        <w:spacing w:after="0" w:line="5"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these investors must follow in order to purchase the offered securities. Are directed share purchasers required to establish accounts before the effective time, and, if so, what if any funds are</w:t>
      </w:r>
    </w:p>
    <w:p>
      <w:pPr>
        <w:spacing w:after="0" w:line="4"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put in newly established brokerage accounts before the effective date? How do the procedures for the directed share program differ from the procedures for the general offering to the public? In addition, if any of the recipients of the shares or their associates,</w:t>
      </w:r>
    </w:p>
    <w:p>
      <w:pPr>
        <w:spacing w:after="0" w:line="6" w:lineRule="exact"/>
        <w:rPr>
          <w:rFonts w:ascii="Courier New" w:cs="Courier New" w:eastAsia="Courier New" w:hAnsi="Courier New"/>
          <w:sz w:val="16"/>
          <w:szCs w:val="16"/>
          <w:color w:val="auto"/>
        </w:rPr>
      </w:pP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or affiliates are broker-dealers registered with the NASD,</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tell us how you will comply with the NASD`s rules relating to</w:t>
      </w:r>
    </w:p>
    <w:p>
      <w:pPr>
        <w:spacing w:after="0" w:line="5"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"hot" IPOs, if applicable. Please also supplementally provide us with copies of all materials to be used in connection with the directed share program. We may have further comment.</w:t>
      </w:r>
    </w:p>
    <w:p>
      <w:pPr>
        <w:spacing w:after="0" w:line="20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discussion regarding the marketing of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spacing w:after="0" w:line="4" w:lineRule="exact"/>
        <w:rPr>
          <w:rFonts w:ascii="Courier New" w:cs="Courier New" w:eastAsia="Courier New" w:hAnsi="Courier New"/>
          <w:sz w:val="18"/>
          <w:szCs w:val="18"/>
          <w:color w:val="auto"/>
        </w:rPr>
      </w:pPr>
    </w:p>
    <w:p>
      <w:pPr>
        <w:ind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online on page 88. Please identify any members of the underwriting</w:t>
      </w:r>
    </w:p>
    <w:p>
      <w:pPr>
        <w:spacing w:after="0" w:line="5"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 that will make copies of the preliminary prospectus available over the internet or will engage in the electronic offer,</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 or distribution of the shares. Supplementally confirm that their procedures for electronic postings or links to the prospectus</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 electronic distributions have been reviewed and cleared by the</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Division`s Office of Chief Counsel, and that the procedures have not</w:t>
      </w:r>
    </w:p>
    <w:p>
      <w:pPr>
        <w:spacing w:after="0" w:line="5"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changed since such clearance. If you become aware of any additional</w:t>
      </w:r>
    </w:p>
    <w:p>
      <w:pPr>
        <w:spacing w:after="0" w:line="5" w:lineRule="exact"/>
        <w:rPr>
          <w:rFonts w:ascii="Courier New" w:cs="Courier New" w:eastAsia="Courier New" w:hAnsi="Courier New"/>
          <w:sz w:val="18"/>
          <w:szCs w:val="18"/>
          <w:color w:val="auto"/>
        </w:rPr>
      </w:pPr>
    </w:p>
    <w:p>
      <w:pPr>
        <w:ind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underwriting syndicate that may engage in electronic</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offers, sales, or distributions after you respond to this comment, please promptly supplement your response to identify those members.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 may have further comment.</w:t>
      </w:r>
    </w:p>
    <w:p>
      <w:pPr>
        <w:spacing w:after="0" w:line="4" w:lineRule="exact"/>
        <w:rPr>
          <w:rFonts w:ascii="Courier New" w:cs="Courier New" w:eastAsia="Courier New" w:hAnsi="Courier New"/>
          <w:sz w:val="18"/>
          <w:szCs w:val="18"/>
          <w:color w:val="auto"/>
        </w:rPr>
      </w:pPr>
    </w:p>
    <w:p>
      <w:pPr>
        <w:ind w:right="2939" w:firstLine="8"/>
        <w:spacing w:after="0" w:line="268" w:lineRule="auto"/>
        <w:tabs>
          <w:tab w:leader="none" w:pos="84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Tell us whether you or the underwriters have any arrangements with a third party to host or access your preliminary prospectus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w:t>
      </w:r>
    </w:p>
    <w:p>
      <w:pPr>
        <w:spacing w:after="0" w:line="4" w:lineRule="exact"/>
        <w:rPr>
          <w:rFonts w:ascii="Courier New" w:cs="Courier New" w:eastAsia="Courier New" w:hAnsi="Courier New"/>
          <w:sz w:val="16"/>
          <w:szCs w:val="16"/>
          <w:color w:val="auto"/>
        </w:rPr>
      </w:pPr>
    </w:p>
    <w:p>
      <w:pPr>
        <w:ind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Internet. If so, identify the party and the web site, describe</w:t>
      </w:r>
    </w:p>
    <w:p>
      <w:pPr>
        <w:spacing w:after="0" w:line="5" w:lineRule="exact"/>
        <w:rPr>
          <w:rFonts w:ascii="Courier New" w:cs="Courier New" w:eastAsia="Courier New" w:hAnsi="Courier New"/>
          <w:sz w:val="16"/>
          <w:szCs w:val="16"/>
          <w:color w:val="auto"/>
        </w:rPr>
      </w:pPr>
    </w:p>
    <w:p>
      <w:pPr>
        <w:ind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material terms of your agreement and provide us with a copy of any written agreement. Also, provide us with copies of all information concerning your company or prospectus that has appeared</w:t>
      </w:r>
    </w:p>
    <w:p>
      <w:pPr>
        <w:spacing w:after="0" w:line="4" w:lineRule="exact"/>
        <w:rPr>
          <w:rFonts w:ascii="Courier New" w:cs="Courier New" w:eastAsia="Courier New" w:hAnsi="Courier New"/>
          <w:sz w:val="16"/>
          <w:szCs w:val="16"/>
          <w:color w:val="auto"/>
        </w:rPr>
      </w:pPr>
    </w:p>
    <w:p>
      <w:pPr>
        <w:ind w:right="37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their web site. If you subsequently enter into any such arrangements, promptly supplement your response. We may have</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further</w:t>
      </w:r>
    </w:p>
    <w:p>
      <w:pPr>
        <w:spacing w:after="0" w:line="238" w:lineRule="auto"/>
        <w:rPr>
          <w:sz w:val="20"/>
          <w:szCs w:val="20"/>
          <w:color w:val="auto"/>
        </w:rPr>
      </w:pPr>
      <w:r>
        <w:rPr>
          <w:rFonts w:ascii="Courier New" w:cs="Courier New" w:eastAsia="Courier New" w:hAnsi="Courier New"/>
          <w:sz w:val="18"/>
          <w:szCs w:val="18"/>
          <w:color w:val="auto"/>
        </w:rPr>
        <w:t>comment.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Enforceability of Judgments, page 89</w:t>
      </w:r>
    </w:p>
    <w:p>
      <w:pPr>
        <w:ind w:left="860" w:hanging="852"/>
        <w:spacing w:after="0" w:line="238" w:lineRule="auto"/>
        <w:tabs>
          <w:tab w:leader="none" w:pos="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statement regarding advice you have received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Indian counsel and the fact that Indian counsel is named in the "Legal Matters" section of the prospectus. Please tell us why you have not included a consent from Indian counsel regarding this advice.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December 31, 2003</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Note 1- Organization, Basis of Presentation and Business Combinations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by Conseco on July 31, 2001, page F-9</w:t>
      </w:r>
    </w:p>
    <w:p>
      <w:pPr>
        <w:spacing w:after="0" w:line="4" w:lineRule="exact"/>
        <w:rPr>
          <w:sz w:val="20"/>
          <w:szCs w:val="20"/>
          <w:color w:val="auto"/>
        </w:rPr>
      </w:pPr>
    </w:p>
    <w:p>
      <w:pPr>
        <w:ind w:left="860" w:hanging="852"/>
        <w:spacing w:after="0"/>
        <w:tabs>
          <w:tab w:leader="none" w:pos="8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disclose how Conseco`s acquisition of Exl Inc. created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basis of accounting for Exl Inc. Refer to SAB Topic 5.J.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by Exl Holdings on November 14, 2002, page F-9</w:t>
      </w:r>
    </w:p>
    <w:p>
      <w:pPr>
        <w:spacing w:after="0" w:line="4" w:lineRule="exact"/>
        <w:rPr>
          <w:sz w:val="20"/>
          <w:szCs w:val="20"/>
          <w:color w:val="auto"/>
        </w:rPr>
      </w:pPr>
    </w:p>
    <w:p>
      <w:pPr>
        <w:ind w:right="3359" w:firstLine="8"/>
        <w:spacing w:after="0" w:line="236"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in further detail the nature and business reasons for the purchase transaction between the Company and Conseco</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how the Company was able to purchase Exl Inc. for a purchase price ($1) considerably below the fair value of the net assets acquired.</w:t>
      </w:r>
    </w:p>
    <w:p>
      <w:pPr>
        <w:spacing w:after="0" w:line="6" w:lineRule="exact"/>
        <w:rPr>
          <w:rFonts w:ascii="Courier New" w:cs="Courier New" w:eastAsia="Courier New" w:hAnsi="Courier New"/>
          <w:sz w:val="18"/>
          <w:szCs w:val="18"/>
          <w:color w:val="auto"/>
        </w:rPr>
      </w:pPr>
    </w:p>
    <w:p>
      <w:pPr>
        <w:ind w:right="3359" w:firstLine="8"/>
        <w:spacing w:after="0" w:line="236"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to us your purchase price conclusions with respect to Conseco`s waiver of $11,000,000 in advances to Exl Inc.,</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well as the capital contribution of $1,000,000, and whether these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were factored into your purchase price calculation.</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explain in further detail the types of costs included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$1,446,179 in costs capitalized as part of the November 14, 2002</w:t>
      </w:r>
    </w:p>
    <w:p>
      <w:pPr>
        <w:spacing w:after="0" w:line="5"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acquisition, as well as your capitalization conclusions, and refer to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paragraph 24 of SFAS No. 141.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 page F-11</w:t>
      </w:r>
    </w:p>
    <w:p>
      <w:pPr>
        <w:ind w:left="860" w:hanging="852"/>
        <w:spacing w:after="0" w:line="238" w:lineRule="auto"/>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here that you derive revenues from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line="4"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only business process outsourcing (BPO) but also from voice and internet services. Please disclose in further detail the nature of the voice and internet services you provide, whether the voice and internet services comprise a significant portion of your total revenues and how you determined these services did not represent a separate reportable segment as outlined under SFAS No. 131.</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tell us how you have applied the provision of EITF 99-</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0"/>
          <w:numId w:val="49"/>
        </w:numPr>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your "gross" presentation of revenues and expenses associated with your BPO services provided to customers in the context of the "indicators of gross revenue reporting" outlined in paragraphs 7 through 14.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3-Restatement, page F-16</w:t>
      </w:r>
    </w:p>
    <w:p>
      <w:pPr>
        <w:spacing w:after="0" w:line="4" w:lineRule="exact"/>
        <w:rPr>
          <w:sz w:val="20"/>
          <w:szCs w:val="20"/>
          <w:color w:val="auto"/>
        </w:rPr>
      </w:pPr>
    </w:p>
    <w:p>
      <w:pPr>
        <w:ind w:right="3039" w:firstLine="8"/>
        <w:spacing w:after="0" w:line="268" w:lineRule="auto"/>
        <w:tabs>
          <w:tab w:leader="none" w:pos="84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your disclosure to identify the related party, explain the nature of the professional fess and explain why the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fee</w:t>
      </w:r>
    </w:p>
    <w:p>
      <w:pPr>
        <w:spacing w:after="0" w:line="4"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 renegotiated. Please tell us how you evaluated APB 20 in concluding that the renegotiated fee should be restatement of expense. In addition, please tell us how you considered footnote 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APB 26.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7-Capital Structure</w:t>
      </w:r>
    </w:p>
    <w:p>
      <w:pPr>
        <w:spacing w:after="0" w:line="4" w:lineRule="exact"/>
        <w:rPr>
          <w:sz w:val="20"/>
          <w:szCs w:val="20"/>
          <w:color w:val="auto"/>
        </w:rPr>
      </w:pPr>
    </w:p>
    <w:p>
      <w:pPr>
        <w:jc w:val="both"/>
        <w:ind w:right="3259" w:firstLine="8"/>
        <w:spacing w:after="0" w:line="236" w:lineRule="auto"/>
        <w:tabs>
          <w:tab w:leader="none" w:pos="84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in further detail the mandatory redemption events that can cause the holders of the Company`s preferred stock to</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able to redeem and why these mandatory redemption events did not</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preferred stock to be classified as a liability in accordance with paragraphs 9 and 10 of SFAS No. 150.</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Note 8-Employee Benefit Plans, page F-18</w:t>
      </w:r>
    </w:p>
    <w:p>
      <w:pPr>
        <w:ind w:left="860" w:hanging="852"/>
        <w:spacing w:after="0" w:line="238" w:lineRule="auto"/>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amount of contributions the Company has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made</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Government Provident Fund for each period. In addition, please clarify if assets held by the Government Provident Fund are reported on the Company`s balance sheet.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11-Stock Based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Pre-predecessor Stock Option</w:t>
      </w:r>
    </w:p>
    <w:p>
      <w:pPr>
        <w:spacing w:after="0" w:line="4" w:lineRule="exact"/>
        <w:rPr>
          <w:sz w:val="20"/>
          <w:szCs w:val="20"/>
          <w:color w:val="auto"/>
        </w:rPr>
      </w:pPr>
    </w:p>
    <w:p>
      <w:pPr>
        <w:ind w:right="3259" w:firstLine="8"/>
        <w:spacing w:after="0" w:line="236" w:lineRule="auto"/>
        <w:tabs>
          <w:tab w:leader="none" w:pos="84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confirm that the number of shares and the weighted-average exercise prices appearing in this table are properly stated.</w:t>
      </w:r>
    </w:p>
    <w:p>
      <w:pPr>
        <w:spacing w:after="0" w:line="6" w:lineRule="exact"/>
        <w:rPr>
          <w:rFonts w:ascii="Courier New" w:cs="Courier New" w:eastAsia="Courier New" w:hAnsi="Courier New"/>
          <w:sz w:val="18"/>
          <w:szCs w:val="18"/>
          <w:color w:val="auto"/>
        </w:rPr>
      </w:pPr>
    </w:p>
    <w:p>
      <w:pPr>
        <w:jc w:val="both"/>
        <w:ind w:right="3259" w:firstLine="8"/>
        <w:spacing w:after="0" w:line="236" w:lineRule="auto"/>
        <w:tabs>
          <w:tab w:leader="none" w:pos="84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supplementally explain your basis for reversing the unamortized deferred compensation related to Conseco stock options to</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paid-in capital. Tell us how you considered Issue 44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EITF 00-23 and cite any other accounting literature you applied.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September 30,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3-Stock Based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Plan</w:t>
      </w:r>
    </w:p>
    <w:p>
      <w:pPr>
        <w:spacing w:after="0" w:line="4" w:lineRule="exact"/>
        <w:rPr>
          <w:sz w:val="20"/>
          <w:szCs w:val="20"/>
          <w:color w:val="auto"/>
        </w:rPr>
      </w:pPr>
    </w:p>
    <w:p>
      <w:pPr>
        <w:ind w:right="2939" w:firstLine="8"/>
        <w:spacing w:after="0" w:line="236"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stock option grant within the most recent 12 months, please revise to disclose the number of options granted, the exercise</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the fair value of the common stock, and the intrinsic value per option, and the methodology used to determine the fair value and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valuation was contemporaneous or retrospective.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Client Options</w:t>
      </w:r>
    </w:p>
    <w:p>
      <w:pPr>
        <w:spacing w:after="0" w:line="201" w:lineRule="exact"/>
        <w:rPr>
          <w:sz w:val="20"/>
          <w:szCs w:val="20"/>
          <w:color w:val="auto"/>
        </w:rPr>
      </w:pPr>
    </w:p>
    <w:p>
      <w:pPr>
        <w:ind w:left="860" w:hanging="852"/>
        <w:spacing w:after="0"/>
        <w:tabs>
          <w:tab w:leader="none" w:pos="8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in July 2004 you issued options for 115,100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A common stock with an exercise price of $12.50 to a significant client and fair valued those options, using Black Scholes, at $1,792,000 or approximately $15.56 per share. However, we</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note that you also issued 526,316 shares of Class A common stock</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the same time (July 2004) for approximately $23.75 per share. As</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please explain the assumptions used when calculating the fair</w:t>
      </w:r>
    </w:p>
    <w:p>
      <w:pPr>
        <w:spacing w:after="0" w:line="5" w:lineRule="exact"/>
        <w:rPr>
          <w:rFonts w:ascii="Courier New" w:cs="Courier New" w:eastAsia="Courier New" w:hAnsi="Courier New"/>
          <w:sz w:val="18"/>
          <w:szCs w:val="18"/>
          <w:color w:val="auto"/>
        </w:rPr>
      </w:pPr>
    </w:p>
    <w:p>
      <w:pPr>
        <w:ind w:right="7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the options issued. Part II</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copies of the exhibits, including your underwriting agreement, legal and tax opinions, or drafts of such opinions, that you intend to file with the Form S-1. We may have further comment upon our review of these documents.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supplemental information. Detailed cover letters greatly facilitate our review. Please understand that we may have additional comments after reviewing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responses to our comments.</w:t>
      </w:r>
    </w:p>
    <w:p>
      <w:pPr>
        <w:spacing w:after="0" w:line="207" w:lineRule="exact"/>
        <w:rPr>
          <w:sz w:val="20"/>
          <w:szCs w:val="20"/>
          <w:color w:val="auto"/>
        </w:rPr>
      </w:pPr>
    </w:p>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ectPr>
          <w:pgSz w:w="11900" w:h="16838" w:orient="portrait"/>
          <w:cols w:equalWidth="0" w:num="1">
            <w:col w:w="10219"/>
          </w:cols>
          <w:pgMar w:left="240" w:top="339" w:right="1440" w:bottom="0" w:gutter="0" w:footer="0" w:header="0"/>
        </w:sectPr>
      </w:pPr>
    </w:p>
    <w:bookmarkStart w:id="11" w:name="page12"/>
    <w:bookmarkEnd w:id="11"/>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7"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206" w:lineRule="exact"/>
        <w:rPr>
          <w:sz w:val="20"/>
          <w:szCs w:val="20"/>
          <w:color w:val="auto"/>
        </w:rPr>
      </w:pPr>
    </w:p>
    <w:p>
      <w:pPr>
        <w:ind w:right="3679" w:firstLine="8"/>
        <w:spacing w:after="0" w:line="235"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w:t>
      </w:r>
    </w:p>
    <w:p>
      <w:pPr>
        <w:spacing w:after="0" w:line="5" w:lineRule="exact"/>
        <w:rPr>
          <w:rFonts w:ascii="Courier New" w:cs="Courier New" w:eastAsia="Courier New" w:hAnsi="Courier New"/>
          <w:sz w:val="18"/>
          <w:szCs w:val="18"/>
          <w:color w:val="auto"/>
        </w:rPr>
      </w:pPr>
    </w:p>
    <w:p>
      <w:pPr>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authority, declare the filing effective, it does not foreclose the Commission from taking any action with respect to the filing;</w:t>
      </w:r>
    </w:p>
    <w:p>
      <w:pPr>
        <w:spacing w:after="0" w:line="169"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right="3259" w:firstLine="8"/>
        <w:spacing w:after="0" w:line="236"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 proceeding initiated by the Commission or any person under the federal securities laws of the United States.</w:t>
      </w:r>
    </w:p>
    <w:p>
      <w:pPr>
        <w:spacing w:after="0" w:line="209"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will act on the request and, pursuant to delegated authority, grant</w:t>
      </w: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10"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You may contact Jay Spinella at 202-942-7323 or Steven Jacobs,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Senior Accountant, at 202-942-5222 if you have questions regarding comments on the financial statements and related matters. Please contact Charito A. Mittelman at 202-942-2946 or me at 202-942-1971 with any other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Owen Pinkerton</w:t>
      </w:r>
    </w:p>
    <w:p>
      <w:pPr>
        <w:spacing w:after="0" w:line="238" w:lineRule="auto"/>
        <w:rPr>
          <w:sz w:val="20"/>
          <w:szCs w:val="20"/>
          <w:color w:val="auto"/>
        </w:rPr>
      </w:pPr>
      <w:r>
        <w:rPr>
          <w:rFonts w:ascii="Courier New" w:cs="Courier New" w:eastAsia="Courier New" w:hAnsi="Courier New"/>
          <w:sz w:val="18"/>
          <w:szCs w:val="18"/>
          <w:color w:val="auto"/>
        </w:rPr>
        <w:t>Senior Counsel</w:t>
      </w:r>
    </w:p>
    <w:p>
      <w:pPr>
        <w:spacing w:after="0" w:line="207" w:lineRule="exact"/>
        <w:rPr>
          <w:sz w:val="20"/>
          <w:szCs w:val="20"/>
          <w:color w:val="auto"/>
        </w:rPr>
      </w:pPr>
    </w:p>
    <w:p>
      <w:pPr>
        <w:jc w:val="both"/>
        <w:ind w:left="860" w:right="5479" w:hanging="852"/>
        <w:spacing w:after="0" w:line="290" w:lineRule="auto"/>
        <w:tabs>
          <w:tab w:leader="none" w:pos="8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C. Kennedy, Esq. (via facsimile) Valerie DeMont, Esq. (via facsimile)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December 30, 2004</w:t>
      </w:r>
    </w:p>
    <w:p>
      <w:pPr>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136" w:right="1440" w:bottom="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2"/>
    </w:lvl>
  </w:abstractNum>
  <w:abstractNum w:abstractNumId="2">
    <w:nsid w:val="8138641"/>
    <w:multiLevelType w:val="hybridMultilevel"/>
    <w:lvl w:ilvl="0">
      <w:lvlJc w:val="left"/>
      <w:lvlText w:val="%1."/>
      <w:numFmt w:val="decimal"/>
      <w:start w:val="3"/>
    </w:lvl>
  </w:abstractNum>
  <w:abstractNum w:abstractNumId="3">
    <w:nsid w:val="1E7FF521"/>
    <w:multiLevelType w:val="hybridMultilevel"/>
    <w:lvl w:ilvl="0">
      <w:lvlJc w:val="left"/>
      <w:lvlText w:val="%1."/>
      <w:numFmt w:val="decimal"/>
      <w:start w:val="4"/>
    </w:lvl>
  </w:abstractNum>
  <w:abstractNum w:abstractNumId="4">
    <w:nsid w:val="7C3DBD3D"/>
    <w:multiLevelType w:val="hybridMultilevel"/>
    <w:lvl w:ilvl="0">
      <w:lvlJc w:val="left"/>
      <w:lvlText w:val="%1."/>
      <w:numFmt w:val="decimal"/>
      <w:start w:val="5"/>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9"/>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0"/>
    </w:lvl>
  </w:abstractNum>
  <w:abstractNum w:abstractNumId="10">
    <w:nsid w:val="614FD4A1"/>
    <w:multiLevelType w:val="hybridMultilevel"/>
    <w:lvl w:ilvl="0">
      <w:lvlJc w:val="left"/>
      <w:lvlText w:val="%1."/>
      <w:numFmt w:val="decimal"/>
      <w:start w:val="16"/>
    </w:lvl>
  </w:abstractNum>
  <w:abstractNum w:abstractNumId="11">
    <w:nsid w:val="419AC241"/>
    <w:multiLevelType w:val="hybridMultilevel"/>
    <w:lvl w:ilvl="0">
      <w:lvlJc w:val="left"/>
      <w:lvlText w:val="%1."/>
      <w:numFmt w:val="decimal"/>
      <w:start w:val="17"/>
    </w:lvl>
  </w:abstractNum>
  <w:abstractNum w:abstractNumId="12">
    <w:nsid w:val="5577F8E1"/>
    <w:multiLevelType w:val="hybridMultilevel"/>
    <w:lvl w:ilvl="0">
      <w:lvlJc w:val="left"/>
      <w:lvlText w:val="%1."/>
      <w:numFmt w:val="decimal"/>
      <w:start w:val="19"/>
    </w:lvl>
  </w:abstractNum>
  <w:abstractNum w:abstractNumId="13">
    <w:nsid w:val="440BADFC"/>
    <w:multiLevelType w:val="hybridMultilevel"/>
    <w:lvl w:ilvl="0">
      <w:lvlJc w:val="left"/>
      <w:lvlText w:val="%1."/>
      <w:numFmt w:val="decimal"/>
      <w:start w:val="20"/>
    </w:lvl>
  </w:abstractNum>
  <w:abstractNum w:abstractNumId="14">
    <w:nsid w:val="5072367"/>
    <w:multiLevelType w:val="hybridMultilevel"/>
    <w:lvl w:ilvl="0">
      <w:lvlJc w:val="left"/>
      <w:lvlText w:val="%1."/>
      <w:numFmt w:val="decimal"/>
      <w:start w:val="21"/>
    </w:lvl>
  </w:abstractNum>
  <w:abstractNum w:abstractNumId="15">
    <w:nsid w:val="3804823E"/>
    <w:multiLevelType w:val="hybridMultilevel"/>
    <w:lvl w:ilvl="0">
      <w:lvlJc w:val="left"/>
      <w:lvlText w:val="%1"/>
      <w:numFmt w:val="decimal"/>
      <w:start w:val="10"/>
    </w:lvl>
  </w:abstractNum>
  <w:abstractNum w:abstractNumId="16">
    <w:nsid w:val="77465F01"/>
    <w:multiLevelType w:val="hybridMultilevel"/>
    <w:lvl w:ilvl="0">
      <w:lvlJc w:val="left"/>
      <w:lvlText w:val="%1."/>
      <w:numFmt w:val="decimal"/>
      <w:start w:val="22"/>
    </w:lvl>
  </w:abstractNum>
  <w:abstractNum w:abstractNumId="17">
    <w:nsid w:val="7724C67E"/>
    <w:multiLevelType w:val="hybridMultilevel"/>
    <w:lvl w:ilvl="0">
      <w:lvlJc w:val="left"/>
      <w:lvlText w:val="%1."/>
      <w:numFmt w:val="decimal"/>
      <w:start w:val="26"/>
    </w:lvl>
  </w:abstractNum>
  <w:abstractNum w:abstractNumId="18">
    <w:nsid w:val="5C482A97"/>
    <w:multiLevelType w:val="hybridMultilevel"/>
    <w:lvl w:ilvl="0">
      <w:lvlJc w:val="left"/>
      <w:lvlText w:val="%1."/>
      <w:numFmt w:val="decimal"/>
      <w:start w:val="27"/>
    </w:lvl>
  </w:abstractNum>
  <w:abstractNum w:abstractNumId="19">
    <w:nsid w:val="2463B9EA"/>
    <w:multiLevelType w:val="hybridMultilevel"/>
    <w:lvl w:ilvl="0">
      <w:lvlJc w:val="left"/>
      <w:lvlText w:val="%1."/>
      <w:numFmt w:val="decimal"/>
      <w:start w:val="28"/>
    </w:lvl>
  </w:abstractNum>
  <w:abstractNum w:abstractNumId="20">
    <w:nsid w:val="5E884ADC"/>
    <w:multiLevelType w:val="hybridMultilevel"/>
    <w:lvl w:ilvl="0">
      <w:lvlJc w:val="left"/>
      <w:lvlText w:val="%1."/>
      <w:numFmt w:val="decimal"/>
      <w:start w:val="31"/>
    </w:lvl>
  </w:abstractNum>
  <w:abstractNum w:abstractNumId="21">
    <w:nsid w:val="51EAD36B"/>
    <w:multiLevelType w:val="hybridMultilevel"/>
    <w:lvl w:ilvl="0">
      <w:lvlJc w:val="left"/>
      <w:lvlText w:val="%1."/>
      <w:numFmt w:val="decimal"/>
      <w:start w:val="32"/>
    </w:lvl>
  </w:abstractNum>
  <w:abstractNum w:abstractNumId="22">
    <w:nsid w:val="2D517796"/>
    <w:multiLevelType w:val="hybridMultilevel"/>
    <w:lvl w:ilvl="0">
      <w:lvlJc w:val="left"/>
      <w:lvlText w:val="%1."/>
      <w:numFmt w:val="decimal"/>
      <w:start w:val="33"/>
    </w:lvl>
  </w:abstractNum>
  <w:abstractNum w:abstractNumId="23">
    <w:nsid w:val="580BD78F"/>
    <w:multiLevelType w:val="hybridMultilevel"/>
    <w:lvl w:ilvl="0">
      <w:lvlJc w:val="left"/>
      <w:lvlText w:val="%1."/>
      <w:numFmt w:val="decimal"/>
      <w:start w:val="35"/>
    </w:lvl>
  </w:abstractNum>
  <w:abstractNum w:abstractNumId="24">
    <w:nsid w:val="153EA438"/>
    <w:multiLevelType w:val="hybridMultilevel"/>
    <w:lvl w:ilvl="0">
      <w:lvlJc w:val="left"/>
      <w:lvlText w:val="%1."/>
      <w:numFmt w:val="decimal"/>
      <w:start w:val="37"/>
    </w:lvl>
  </w:abstractNum>
  <w:abstractNum w:abstractNumId="25">
    <w:nsid w:val="3855585C"/>
    <w:multiLevelType w:val="hybridMultilevel"/>
    <w:lvl w:ilvl="0">
      <w:lvlJc w:val="left"/>
      <w:lvlText w:val="%1."/>
      <w:numFmt w:val="decimal"/>
      <w:start w:val="38"/>
    </w:lvl>
  </w:abstractNum>
  <w:abstractNum w:abstractNumId="26">
    <w:nsid w:val="70A64E2A"/>
    <w:multiLevelType w:val="hybridMultilevel"/>
    <w:lvl w:ilvl="0">
      <w:lvlJc w:val="left"/>
      <w:lvlText w:val="%1."/>
      <w:numFmt w:val="decimal"/>
      <w:start w:val="39"/>
    </w:lvl>
  </w:abstractNum>
  <w:abstractNum w:abstractNumId="27">
    <w:nsid w:val="6A2342EC"/>
    <w:multiLevelType w:val="hybridMultilevel"/>
    <w:lvl w:ilvl="0">
      <w:lvlJc w:val="left"/>
      <w:lvlText w:val="%1."/>
      <w:numFmt w:val="decimal"/>
      <w:start w:val="40"/>
    </w:lvl>
  </w:abstractNum>
  <w:abstractNum w:abstractNumId="28">
    <w:nsid w:val="2A487CB0"/>
    <w:multiLevelType w:val="hybridMultilevel"/>
    <w:lvl w:ilvl="0">
      <w:lvlJc w:val="left"/>
      <w:lvlText w:val="%1."/>
      <w:numFmt w:val="decimal"/>
      <w:start w:val="43"/>
    </w:lvl>
  </w:abstractNum>
  <w:abstractNum w:abstractNumId="29">
    <w:nsid w:val="1D4ED43B"/>
    <w:multiLevelType w:val="hybridMultilevel"/>
    <w:lvl w:ilvl="0">
      <w:lvlJc w:val="left"/>
      <w:lvlText w:val="%1."/>
      <w:numFmt w:val="decimal"/>
      <w:start w:val="45"/>
    </w:lvl>
  </w:abstractNum>
  <w:abstractNum w:abstractNumId="30">
    <w:nsid w:val="725A06FB"/>
    <w:multiLevelType w:val="hybridMultilevel"/>
    <w:lvl w:ilvl="0">
      <w:lvlJc w:val="left"/>
      <w:lvlText w:val="%1."/>
      <w:numFmt w:val="decimal"/>
      <w:start w:val="47"/>
    </w:lvl>
  </w:abstractNum>
  <w:abstractNum w:abstractNumId="31">
    <w:nsid w:val="2CD89A32"/>
    <w:multiLevelType w:val="hybridMultilevel"/>
    <w:lvl w:ilvl="0">
      <w:lvlJc w:val="left"/>
      <w:lvlText w:val="%1."/>
      <w:numFmt w:val="decimal"/>
      <w:start w:val="48"/>
    </w:lvl>
  </w:abstractNum>
  <w:abstractNum w:abstractNumId="32">
    <w:nsid w:val="57E4CCAF"/>
    <w:multiLevelType w:val="hybridMultilevel"/>
    <w:lvl w:ilvl="0">
      <w:lvlJc w:val="left"/>
      <w:lvlText w:val="%1."/>
      <w:numFmt w:val="decimal"/>
      <w:start w:val="50"/>
    </w:lvl>
  </w:abstractNum>
  <w:abstractNum w:abstractNumId="33">
    <w:nsid w:val="7A6D8D3C"/>
    <w:multiLevelType w:val="hybridMultilevel"/>
    <w:lvl w:ilvl="0">
      <w:lvlJc w:val="left"/>
      <w:lvlText w:val="%1."/>
      <w:numFmt w:val="decimal"/>
      <w:start w:val="51"/>
    </w:lvl>
  </w:abstractNum>
  <w:abstractNum w:abstractNumId="34">
    <w:nsid w:val="4B588F54"/>
    <w:multiLevelType w:val="hybridMultilevel"/>
    <w:lvl w:ilvl="0">
      <w:lvlJc w:val="left"/>
      <w:lvlText w:val="%1."/>
      <w:numFmt w:val="decimal"/>
      <w:start w:val="52"/>
    </w:lvl>
  </w:abstractNum>
  <w:abstractNum w:abstractNumId="35">
    <w:nsid w:val="542289EC"/>
    <w:multiLevelType w:val="hybridMultilevel"/>
    <w:lvl w:ilvl="0">
      <w:lvlJc w:val="left"/>
      <w:lvlText w:val="%1."/>
      <w:numFmt w:val="decimal"/>
      <w:start w:val="54"/>
    </w:lvl>
  </w:abstractNum>
  <w:abstractNum w:abstractNumId="36">
    <w:nsid w:val="6DE91B18"/>
    <w:multiLevelType w:val="hybridMultilevel"/>
    <w:lvl w:ilvl="0">
      <w:lvlJc w:val="left"/>
      <w:lvlText w:val="%1."/>
      <w:numFmt w:val="decimal"/>
      <w:start w:val="55"/>
    </w:lvl>
  </w:abstractNum>
  <w:abstractNum w:abstractNumId="37">
    <w:nsid w:val="38437FDB"/>
    <w:multiLevelType w:val="hybridMultilevel"/>
    <w:lvl w:ilvl="0">
      <w:lvlJc w:val="left"/>
      <w:lvlText w:val="%1."/>
      <w:numFmt w:val="decimal"/>
      <w:start w:val="58"/>
    </w:lvl>
  </w:abstractNum>
  <w:abstractNum w:abstractNumId="38">
    <w:nsid w:val="7644A45C"/>
    <w:multiLevelType w:val="hybridMultilevel"/>
    <w:lvl w:ilvl="0">
      <w:lvlJc w:val="left"/>
      <w:lvlText w:val="%1."/>
      <w:numFmt w:val="decimal"/>
      <w:start w:val="60"/>
    </w:lvl>
  </w:abstractNum>
  <w:abstractNum w:abstractNumId="39">
    <w:nsid w:val="32FFF902"/>
    <w:multiLevelType w:val="hybridMultilevel"/>
    <w:lvl w:ilvl="0">
      <w:lvlJc w:val="left"/>
      <w:lvlText w:val="%1."/>
      <w:numFmt w:val="decimal"/>
      <w:start w:val="61"/>
    </w:lvl>
  </w:abstractNum>
  <w:abstractNum w:abstractNumId="40">
    <w:nsid w:val="684A481A"/>
    <w:multiLevelType w:val="hybridMultilevel"/>
    <w:lvl w:ilvl="0">
      <w:lvlJc w:val="left"/>
      <w:lvlText w:val="%1."/>
      <w:numFmt w:val="decimal"/>
      <w:start w:val="62"/>
    </w:lvl>
  </w:abstractNum>
  <w:abstractNum w:abstractNumId="41">
    <w:nsid w:val="579478FE"/>
    <w:multiLevelType w:val="hybridMultilevel"/>
    <w:lvl w:ilvl="0">
      <w:lvlJc w:val="left"/>
      <w:lvlText w:val="%1."/>
      <w:numFmt w:val="decimal"/>
      <w:start w:val="63"/>
    </w:lvl>
  </w:abstractNum>
  <w:abstractNum w:abstractNumId="42">
    <w:nsid w:val="749ABB43"/>
    <w:multiLevelType w:val="hybridMultilevel"/>
    <w:lvl w:ilvl="0">
      <w:lvlJc w:val="left"/>
      <w:lvlText w:val="%1."/>
      <w:numFmt w:val="decimal"/>
      <w:start w:val="64"/>
    </w:lvl>
  </w:abstractNum>
  <w:abstractNum w:abstractNumId="43">
    <w:nsid w:val="3DC240FB"/>
    <w:multiLevelType w:val="hybridMultilevel"/>
    <w:lvl w:ilvl="0">
      <w:lvlJc w:val="left"/>
      <w:lvlText w:val="%1."/>
      <w:numFmt w:val="decimal"/>
      <w:start w:val="65"/>
    </w:lvl>
  </w:abstractNum>
  <w:abstractNum w:abstractNumId="44">
    <w:nsid w:val="1BA026FA"/>
    <w:multiLevelType w:val="hybridMultilevel"/>
    <w:lvl w:ilvl="0">
      <w:lvlJc w:val="left"/>
      <w:lvlText w:val="%1."/>
      <w:numFmt w:val="decimal"/>
      <w:start w:val="68"/>
    </w:lvl>
  </w:abstractNum>
  <w:abstractNum w:abstractNumId="45">
    <w:nsid w:val="79A1DEAA"/>
    <w:multiLevelType w:val="hybridMultilevel"/>
    <w:lvl w:ilvl="0">
      <w:lvlJc w:val="left"/>
      <w:lvlText w:val="%1."/>
      <w:numFmt w:val="decimal"/>
      <w:start w:val="69"/>
    </w:lvl>
  </w:abstractNum>
  <w:abstractNum w:abstractNumId="46">
    <w:nsid w:val="75C6C33A"/>
    <w:multiLevelType w:val="hybridMultilevel"/>
    <w:lvl w:ilvl="0">
      <w:lvlJc w:val="left"/>
      <w:lvlText w:val="%1."/>
      <w:numFmt w:val="decimal"/>
      <w:start w:val="70"/>
    </w:lvl>
  </w:abstractNum>
  <w:abstractNum w:abstractNumId="47">
    <w:nsid w:val="12E685FB"/>
    <w:multiLevelType w:val="hybridMultilevel"/>
    <w:lvl w:ilvl="0">
      <w:lvlJc w:val="left"/>
      <w:lvlText w:val="%1."/>
      <w:numFmt w:val="decimal"/>
      <w:start w:val="73"/>
    </w:lvl>
  </w:abstractNum>
  <w:abstractNum w:abstractNumId="48">
    <w:nsid w:val="70C6A529"/>
    <w:multiLevelType w:val="hybridMultilevel"/>
    <w:lvl w:ilvl="0">
      <w:lvlJc w:val="left"/>
      <w:lvlText w:val="%1"/>
      <w:numFmt w:val="decimal"/>
      <w:start w:val="19"/>
    </w:lvl>
  </w:abstractNum>
  <w:abstractNum w:abstractNumId="49">
    <w:nsid w:val="520EEDD1"/>
    <w:multiLevelType w:val="hybridMultilevel"/>
    <w:lvl w:ilvl="0">
      <w:lvlJc w:val="left"/>
      <w:lvlText w:val="%1."/>
      <w:numFmt w:val="decimal"/>
      <w:start w:val="75"/>
    </w:lvl>
  </w:abstractNum>
  <w:abstractNum w:abstractNumId="50">
    <w:nsid w:val="374A3FE6"/>
    <w:multiLevelType w:val="hybridMultilevel"/>
    <w:lvl w:ilvl="0">
      <w:lvlJc w:val="left"/>
      <w:lvlText w:val="%1."/>
      <w:numFmt w:val="decimal"/>
      <w:start w:val="76"/>
    </w:lvl>
  </w:abstractNum>
  <w:abstractNum w:abstractNumId="51">
    <w:nsid w:val="4F4EF005"/>
    <w:multiLevelType w:val="hybridMultilevel"/>
    <w:lvl w:ilvl="0">
      <w:lvlJc w:val="left"/>
      <w:lvlText w:val="%1."/>
      <w:numFmt w:val="decimal"/>
      <w:start w:val="77"/>
    </w:lvl>
  </w:abstractNum>
  <w:abstractNum w:abstractNumId="52">
    <w:nsid w:val="23F9C13C"/>
    <w:multiLevelType w:val="hybridMultilevel"/>
    <w:lvl w:ilvl="0">
      <w:lvlJc w:val="left"/>
      <w:lvlText w:val="%1."/>
      <w:numFmt w:val="decimal"/>
      <w:start w:val="78"/>
    </w:lvl>
  </w:abstractNum>
  <w:abstractNum w:abstractNumId="53">
    <w:nsid w:val="649BB77C"/>
    <w:multiLevelType w:val="hybridMultilevel"/>
    <w:lvl w:ilvl="0">
      <w:lvlJc w:val="left"/>
      <w:lvlText w:val="%1."/>
      <w:numFmt w:val="decimal"/>
      <w:start w:val="80"/>
    </w:lvl>
  </w:abstractNum>
  <w:abstractNum w:abstractNumId="54">
    <w:nsid w:val="275AC794"/>
    <w:multiLevelType w:val="hybridMultilevel"/>
    <w:lvl w:ilvl="0">
      <w:lvlJc w:val="left"/>
      <w:lvlText w:val="%1."/>
      <w:numFmt w:val="decimal"/>
      <w:start w:val="8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2019-12-12T04:18:32Z</dcterms:created>
  <dcterms:modified xsi:type="dcterms:W3CDTF">2019-12-12T04:18:32Z</dcterms:modified>
</cp:coreProperties>
</file>