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9"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262"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Pursuant to Sections 13 or 15(d) of the Securities Exchange Act of 1934</w:t>
      </w:r>
    </w:p>
    <w:p>
      <w:pPr>
        <w:spacing w:after="0" w:line="77" w:lineRule="exact"/>
        <w:rPr>
          <w:sz w:val="24"/>
          <w:szCs w:val="24"/>
          <w:color w:val="auto"/>
        </w:rPr>
      </w:pPr>
    </w:p>
    <w:p>
      <w:pPr>
        <w:ind w:left="3460"/>
        <w:spacing w:after="0"/>
        <w:rPr>
          <w:sz w:val="20"/>
          <w:szCs w:val="20"/>
          <w:color w:val="auto"/>
        </w:rPr>
      </w:pPr>
      <w:r>
        <w:rPr>
          <w:rFonts w:ascii="Arial" w:cs="Arial" w:eastAsia="Arial" w:hAnsi="Arial"/>
          <w:sz w:val="16"/>
          <w:szCs w:val="16"/>
          <w:color w:val="auto"/>
        </w:rPr>
        <w:t>Date of Report (Date of earliest event reported): February 23, 2023</w:t>
      </w:r>
    </w:p>
    <w:p>
      <w:pPr>
        <w:spacing w:after="0" w:line="51" w:lineRule="exact"/>
        <w:rPr>
          <w:sz w:val="24"/>
          <w:szCs w:val="24"/>
          <w:color w:val="auto"/>
        </w:rPr>
      </w:pPr>
    </w:p>
    <w:p>
      <w:pPr>
        <w:ind w:left="30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EXLSERVICE HOLDINGS,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8" w:lineRule="exact"/>
        <w:rPr>
          <w:sz w:val="24"/>
          <w:szCs w:val="24"/>
          <w:color w:val="auto"/>
        </w:rPr>
      </w:pPr>
    </w:p>
    <w:p>
      <w:pPr>
        <w:ind w:left="306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1240"/>
          </w:cols>
          <w:pgMar w:left="320" w:top="1174" w:right="339" w:bottom="1440" w:gutter="0" w:footer="0" w:header="0"/>
        </w:sectPr>
      </w:pPr>
    </w:p>
    <w:p>
      <w:pPr>
        <w:spacing w:after="0" w:line="134" w:lineRule="exact"/>
        <w:rPr>
          <w:sz w:val="24"/>
          <w:szCs w:val="24"/>
          <w:color w:val="auto"/>
        </w:rPr>
      </w:pPr>
    </w:p>
    <w:p>
      <w:pPr>
        <w:ind w:left="154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00"/>
        <w:spacing w:after="0"/>
        <w:rPr>
          <w:sz w:val="20"/>
          <w:szCs w:val="20"/>
          <w:color w:val="auto"/>
        </w:rPr>
      </w:pPr>
      <w:r>
        <w:rPr>
          <w:rFonts w:ascii="Arial" w:cs="Arial" w:eastAsia="Arial" w:hAnsi="Arial"/>
          <w:sz w:val="14"/>
          <w:szCs w:val="14"/>
          <w:b w:val="1"/>
          <w:bCs w:val="1"/>
          <w:color w:val="auto"/>
        </w:rPr>
        <w:t>001-33089</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82-0572194</w:t>
      </w:r>
    </w:p>
    <w:p>
      <w:pPr>
        <w:spacing w:after="0" w:line="51" w:lineRule="exact"/>
        <w:rPr>
          <w:sz w:val="24"/>
          <w:szCs w:val="24"/>
          <w:color w:val="auto"/>
        </w:rPr>
      </w:pPr>
    </w:p>
    <w:p>
      <w:pPr>
        <w:sectPr>
          <w:pgSz w:w="11900" w:h="16838" w:orient="portrait"/>
          <w:cols w:equalWidth="0" w:num="3">
            <w:col w:w="4540" w:space="720"/>
            <w:col w:w="3000" w:space="720"/>
            <w:col w:w="2260"/>
          </w:cols>
          <w:pgMar w:left="320" w:top="1174" w:right="339" w:bottom="1440" w:gutter="0" w:footer="0" w:header="0"/>
          <w:type w:val="continuous"/>
        </w:sectPr>
      </w:pPr>
    </w:p>
    <w:p>
      <w:pPr>
        <w:jc w:val="center"/>
        <w:ind w:right="260"/>
        <w:spacing w:after="0"/>
        <w:rPr>
          <w:sz w:val="20"/>
          <w:szCs w:val="20"/>
          <w:color w:val="auto"/>
        </w:rPr>
      </w:pPr>
      <w:r>
        <w:rPr>
          <w:rFonts w:ascii="Arial" w:cs="Arial" w:eastAsia="Arial" w:hAnsi="Arial"/>
          <w:sz w:val="16"/>
          <w:szCs w:val="16"/>
          <w:color w:val="auto"/>
        </w:rPr>
        <w:t>(State or other jurisdiction</w:t>
      </w:r>
    </w:p>
    <w:p>
      <w:pPr>
        <w:jc w:val="center"/>
        <w:ind w:right="2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5"/>
          <w:szCs w:val="15"/>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00" w:lineRule="exact"/>
        <w:rPr>
          <w:sz w:val="24"/>
          <w:szCs w:val="24"/>
          <w:color w:val="auto"/>
        </w:rPr>
      </w:pPr>
    </w:p>
    <w:p>
      <w:pPr>
        <w:sectPr>
          <w:pgSz w:w="11900" w:h="16838" w:orient="portrait"/>
          <w:cols w:equalWidth="0" w:num="3">
            <w:col w:w="4000" w:space="720"/>
            <w:col w:w="3320" w:space="720"/>
            <w:col w:w="2480"/>
          </w:cols>
          <w:pgMar w:left="320" w:top="1174" w:right="339" w:bottom="1440" w:gutter="0" w:footer="0" w:header="0"/>
          <w:type w:val="continuous"/>
        </w:sectPr>
      </w:pPr>
    </w:p>
    <w:p>
      <w:pPr>
        <w:spacing w:after="0" w:line="190"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320 Park Avenue, 29th Floor,</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10022</w:t>
      </w:r>
    </w:p>
    <w:p>
      <w:pPr>
        <w:spacing w:after="0" w:line="55" w:lineRule="exact"/>
        <w:rPr>
          <w:sz w:val="24"/>
          <w:szCs w:val="24"/>
          <w:color w:val="auto"/>
        </w:rPr>
      </w:pPr>
    </w:p>
    <w:p>
      <w:pPr>
        <w:sectPr>
          <w:pgSz w:w="11900" w:h="16838" w:orient="portrait"/>
          <w:cols w:equalWidth="0" w:num="2">
            <w:col w:w="7620" w:space="720"/>
            <w:col w:w="2900"/>
          </w:cols>
          <w:pgMar w:left="320" w:top="1174" w:right="339" w:bottom="1440" w:gutter="0" w:footer="0" w:header="0"/>
          <w:type w:val="continuous"/>
        </w:sectPr>
      </w:pPr>
    </w:p>
    <w:p>
      <w:pPr>
        <w:ind w:left="4960"/>
        <w:spacing w:after="0"/>
        <w:rPr>
          <w:sz w:val="20"/>
          <w:szCs w:val="20"/>
          <w:color w:val="auto"/>
        </w:rPr>
      </w:pPr>
      <w:r>
        <w:rPr>
          <w:rFonts w:ascii="Arial" w:cs="Arial" w:eastAsia="Arial" w:hAnsi="Arial"/>
          <w:sz w:val="15"/>
          <w:szCs w:val="15"/>
          <w:b w:val="1"/>
          <w:bCs w:val="1"/>
          <w:color w:val="auto"/>
        </w:rPr>
        <w:t>New York, New York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(Zip code)</w:t>
      </w:r>
    </w:p>
    <w:p>
      <w:pPr>
        <w:spacing w:after="0" w:line="44" w:lineRule="exact"/>
        <w:rPr>
          <w:sz w:val="24"/>
          <w:szCs w:val="24"/>
          <w:color w:val="auto"/>
        </w:rPr>
      </w:pPr>
    </w:p>
    <w:p>
      <w:pPr>
        <w:sectPr>
          <w:pgSz w:w="11900" w:h="16838" w:orient="portrait"/>
          <w:cols w:equalWidth="0" w:num="2">
            <w:col w:w="7480" w:space="720"/>
            <w:col w:w="3040"/>
          </w:cols>
          <w:pgMar w:left="320" w:top="1174" w:right="339" w:bottom="1440" w:gutter="0" w:footer="0" w:header="0"/>
          <w:type w:val="continuous"/>
        </w:sectPr>
      </w:pPr>
    </w:p>
    <w:p>
      <w:pPr>
        <w:ind w:left="4580"/>
        <w:spacing w:after="0"/>
        <w:rPr>
          <w:sz w:val="20"/>
          <w:szCs w:val="20"/>
          <w:color w:val="auto"/>
        </w:rPr>
      </w:pPr>
      <w:r>
        <w:rPr>
          <w:rFonts w:ascii="Arial" w:cs="Arial" w:eastAsia="Arial" w:hAnsi="Arial"/>
          <w:sz w:val="16"/>
          <w:szCs w:val="16"/>
          <w:color w:val="auto"/>
        </w:rPr>
        <w:t>(Address of principal executive offices)</w:t>
      </w:r>
    </w:p>
    <w:p>
      <w:pPr>
        <w:spacing w:after="0" w:line="163"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(212) 277-7100</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address, if changed since last report)</w:t>
      </w:r>
    </w:p>
    <w:p>
      <w:pPr>
        <w:spacing w:after="0" w:line="8" w:lineRule="exact"/>
        <w:rPr>
          <w:sz w:val="24"/>
          <w:szCs w:val="24"/>
          <w:color w:val="auto"/>
        </w:rPr>
      </w:pPr>
    </w:p>
    <w:p>
      <w:pPr>
        <w:ind w:left="3640"/>
        <w:spacing w:after="0"/>
        <w:rPr>
          <w:sz w:val="20"/>
          <w:szCs w:val="20"/>
          <w:color w:val="auto"/>
        </w:rPr>
      </w:pPr>
      <w:r>
        <w:rPr>
          <w:rFonts w:ascii="Arial" w:cs="Arial" w:eastAsia="Arial" w:hAnsi="Arial"/>
          <w:sz w:val="17"/>
          <w:szCs w:val="17"/>
          <w:b w:val="1"/>
          <w:bCs w:val="1"/>
          <w:color w:val="auto"/>
        </w:rPr>
        <w:t>____________________________________________</w:t>
      </w:r>
    </w:p>
    <w:p>
      <w:pPr>
        <w:sectPr>
          <w:pgSz w:w="11900" w:h="16838" w:orient="portrait"/>
          <w:cols w:equalWidth="0" w:num="1">
            <w:col w:w="11240"/>
          </w:cols>
          <w:pgMar w:left="320" w:top="1174" w:right="339" w:bottom="1440" w:gutter="0" w:footer="0" w:header="0"/>
          <w:type w:val="continuous"/>
        </w:sectPr>
      </w:pP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135" w:lineRule="exact"/>
        <w:rPr>
          <w:sz w:val="24"/>
          <w:szCs w:val="24"/>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Written communication pursuant to Rule 425 under the Securities Act (17 CFR 230.425)</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Soliciting material pursuant to Rule 14a-12 under the Exchange Act (17 CFR 240.14a-12)</w:t>
      </w:r>
    </w:p>
    <w:p>
      <w:pPr>
        <w:spacing w:after="0" w:line="155"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14d-2(b) under the Exchange Act (17 CFR 240.14d-2(b))</w:t>
      </w:r>
    </w:p>
    <w:p>
      <w:pPr>
        <w:spacing w:after="0" w:line="168" w:lineRule="exact"/>
        <w:rPr>
          <w:rFonts w:ascii="MS PGothic" w:cs="MS PGothic" w:eastAsia="MS PGothic" w:hAnsi="MS PGothic"/>
          <w:sz w:val="22"/>
          <w:szCs w:val="22"/>
          <w:color w:val="auto"/>
        </w:rPr>
      </w:pPr>
    </w:p>
    <w:p>
      <w:pPr>
        <w:ind w:left="620" w:hanging="594"/>
        <w:spacing w:after="0"/>
        <w:tabs>
          <w:tab w:leader="none" w:pos="620" w:val="left"/>
        </w:tabs>
        <w:numPr>
          <w:ilvl w:val="0"/>
          <w:numId w:val="1"/>
        </w:numPr>
        <w:rPr>
          <w:rFonts w:ascii="MS PGothic" w:cs="MS PGothic" w:eastAsia="MS PGothic" w:hAnsi="MS PGothic"/>
          <w:sz w:val="22"/>
          <w:szCs w:val="22"/>
          <w:color w:val="auto"/>
        </w:rPr>
      </w:pPr>
      <w:r>
        <w:rPr>
          <w:rFonts w:ascii="Arial" w:cs="Arial" w:eastAsia="Arial" w:hAnsi="Arial"/>
          <w:sz w:val="16"/>
          <w:szCs w:val="16"/>
          <w:color w:val="auto"/>
        </w:rPr>
        <w:t>Pre-commencement communications pursuant to Rule 13e-4(c) under the Exchange Act (17 CFR 240.13e-4(c))</w:t>
      </w:r>
    </w:p>
    <w:p>
      <w:pPr>
        <w:spacing w:after="0" w:line="388"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Emerging growth company</w:t>
      </w:r>
    </w:p>
    <w:p>
      <w:pPr>
        <w:spacing w:after="0" w:line="225" w:lineRule="exact"/>
        <w:rPr>
          <w:rFonts w:ascii="MS PGothic" w:cs="MS PGothic" w:eastAsia="MS PGothic" w:hAnsi="MS PGothic"/>
          <w:sz w:val="22"/>
          <w:szCs w:val="22"/>
          <w:color w:val="auto"/>
        </w:rPr>
      </w:pPr>
    </w:p>
    <w:p>
      <w:pPr>
        <w:ind w:left="620" w:right="480" w:hanging="594"/>
        <w:spacing w:after="0" w:line="217" w:lineRule="auto"/>
        <w:tabs>
          <w:tab w:leader="none" w:pos="620" w:val="left"/>
        </w:tabs>
        <w:numPr>
          <w:ilvl w:val="0"/>
          <w:numId w:val="2"/>
        </w:numPr>
        <w:rPr>
          <w:rFonts w:ascii="MS PGothic" w:cs="MS PGothic" w:eastAsia="MS PGothic" w:hAnsi="MS PGothic"/>
          <w:sz w:val="22"/>
          <w:szCs w:val="22"/>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81280</wp:posOffset>
            </wp:positionV>
            <wp:extent cx="7123430" cy="445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3430" cy="445770"/>
                    </a:xfrm>
                    <a:prstGeom prst="rect">
                      <a:avLst/>
                    </a:prstGeom>
                    <a:noFill/>
                  </pic:spPr>
                </pic:pic>
              </a:graphicData>
            </a:graphic>
          </wp:anchor>
        </w:drawing>
      </w:r>
    </w:p>
    <w:p>
      <w:pPr>
        <w:spacing w:after="0" w:line="1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4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9"/>
        </w:trPr>
        <w:tc>
          <w:tcPr>
            <w:tcW w:w="20" w:type="dxa"/>
            <w:vAlign w:val="bottom"/>
          </w:tcPr>
          <w:p>
            <w:pPr>
              <w:spacing w:after="0"/>
              <w:rPr>
                <w:sz w:val="18"/>
                <w:szCs w:val="18"/>
                <w:color w:val="auto"/>
              </w:rPr>
            </w:pP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$0.001 par value per share</w:t>
            </w: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EXLS</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NASDAQ</w:t>
            </w:r>
          </w:p>
        </w:tc>
      </w:tr>
      <w:tr>
        <w:trPr>
          <w:trHeight w:val="348"/>
        </w:trPr>
        <w:tc>
          <w:tcPr>
            <w:tcW w:w="2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r>
      <w:tr>
        <w:trPr>
          <w:trHeight w:val="34"/>
        </w:trPr>
        <w:tc>
          <w:tcPr>
            <w:tcW w:w="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r>
      <w:tr>
        <w:trPr>
          <w:trHeight w:val="973"/>
        </w:trPr>
        <w:tc>
          <w:tcPr>
            <w:tcW w:w="2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23, 2023, ExlService Holdings, Inc. (the “Company”) reported its results of operations for the fourth quarter and full year ended December 31, 2022.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2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020" w:type="dxa"/>
            <w:vAlign w:val="bottom"/>
            <w:gridSpan w:val="2"/>
          </w:tcPr>
          <w:p>
            <w:pPr>
              <w:ind w:left="160"/>
              <w:spacing w:after="0"/>
              <w:rPr>
                <w:sz w:val="20"/>
                <w:szCs w:val="20"/>
                <w:color w:val="auto"/>
              </w:rPr>
            </w:pPr>
            <w:r>
              <w:rPr>
                <w:rFonts w:ascii="Arial" w:cs="Arial" w:eastAsia="Arial" w:hAnsi="Arial"/>
                <w:sz w:val="18"/>
                <w:szCs w:val="18"/>
                <w:color w:val="auto"/>
              </w:rPr>
              <w:t>(d) Exhibits</w:t>
            </w:r>
          </w:p>
        </w:tc>
        <w:tc>
          <w:tcPr>
            <w:tcW w:w="8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2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2140" w:type="dxa"/>
            <w:vAlign w:val="bottom"/>
          </w:tcPr>
          <w:p>
            <w:pPr>
              <w:spacing w:after="0"/>
              <w:rPr>
                <w:sz w:val="18"/>
                <w:szCs w:val="18"/>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0000FF"/>
              </w:rPr>
              <w:t>Press Release, dated February 23, 2023 (furnished pursuant to Item 2.02).</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300" w:type="dxa"/>
            <w:vAlign w:val="bottom"/>
            <w:gridSpan w:val="2"/>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200" w:type="dxa"/>
            <w:vAlign w:val="bottom"/>
            <w:gridSpan w:val="3"/>
          </w:tcPr>
          <w:p>
            <w:pPr>
              <w:spacing w:after="0" w:line="196" w:lineRule="exact"/>
              <w:rPr>
                <w:sz w:val="20"/>
                <w:szCs w:val="20"/>
                <w:color w:val="auto"/>
              </w:rPr>
            </w:pPr>
            <w:r>
              <w:rPr>
                <w:rFonts w:ascii="Arial" w:cs="Arial" w:eastAsia="Arial" w:hAnsi="Arial"/>
                <w:sz w:val="18"/>
                <w:szCs w:val="18"/>
                <w:color w:val="auto"/>
              </w:rPr>
              <w:t>Cover Page Interactive Data File (the cover page XBRL tags are embedded within the inline</w:t>
            </w:r>
          </w:p>
        </w:tc>
      </w:tr>
      <w:tr>
        <w:trPr>
          <w:trHeight w:val="243"/>
        </w:trPr>
        <w:tc>
          <w:tcPr>
            <w:tcW w:w="9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2140" w:type="dxa"/>
            <w:vAlign w:val="bottom"/>
          </w:tcPr>
          <w:p>
            <w:pPr>
              <w:spacing w:after="0"/>
              <w:rPr>
                <w:sz w:val="21"/>
                <w:szCs w:val="21"/>
                <w:color w:val="auto"/>
              </w:rPr>
            </w:pPr>
          </w:p>
        </w:tc>
        <w:tc>
          <w:tcPr>
            <w:tcW w:w="8200" w:type="dxa"/>
            <w:vAlign w:val="bottom"/>
            <w:gridSpan w:val="3"/>
          </w:tcPr>
          <w:p>
            <w:pPr>
              <w:spacing w:after="0"/>
              <w:rPr>
                <w:sz w:val="20"/>
                <w:szCs w:val="20"/>
                <w:color w:val="auto"/>
              </w:rPr>
            </w:pPr>
            <w:r>
              <w:rPr>
                <w:rFonts w:ascii="Arial" w:cs="Arial" w:eastAsia="Arial" w:hAnsi="Arial"/>
                <w:sz w:val="18"/>
                <w:szCs w:val="18"/>
                <w:color w:val="auto"/>
              </w:rPr>
              <w:t>XBRL document)</w:t>
            </w:r>
          </w:p>
        </w:tc>
      </w:tr>
      <w:tr>
        <w:trPr>
          <w:trHeight w:val="439"/>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806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(Registrant)</w:t>
            </w:r>
          </w:p>
        </w:tc>
        <w:tc>
          <w:tcPr>
            <w:tcW w:w="4960" w:type="dxa"/>
            <w:vAlign w:val="bottom"/>
          </w:tcPr>
          <w:p>
            <w:pPr>
              <w:spacing w:after="0"/>
              <w:rPr>
                <w:sz w:val="20"/>
                <w:szCs w:val="20"/>
                <w:color w:val="auto"/>
              </w:rPr>
            </w:pPr>
          </w:p>
        </w:tc>
      </w:tr>
      <w:tr>
        <w:trPr>
          <w:trHeight w:val="755"/>
        </w:trPr>
        <w:tc>
          <w:tcPr>
            <w:tcW w:w="3160" w:type="dxa"/>
            <w:vAlign w:val="bottom"/>
          </w:tcPr>
          <w:p>
            <w:pPr>
              <w:spacing w:after="0"/>
              <w:rPr>
                <w:sz w:val="20"/>
                <w:szCs w:val="20"/>
                <w:color w:val="auto"/>
              </w:rPr>
            </w:pPr>
            <w:r>
              <w:rPr>
                <w:rFonts w:ascii="Arial" w:cs="Arial" w:eastAsia="Arial" w:hAnsi="Arial"/>
                <w:sz w:val="18"/>
                <w:szCs w:val="18"/>
                <w:color w:val="auto"/>
              </w:rPr>
              <w:t>February 23, 2023</w:t>
            </w:r>
          </w:p>
        </w:tc>
        <w:tc>
          <w:tcPr>
            <w:tcW w:w="3100" w:type="dxa"/>
            <w:vAlign w:val="bottom"/>
          </w:tcPr>
          <w:p>
            <w:pPr>
              <w:ind w:left="1820"/>
              <w:spacing w:after="0"/>
              <w:rPr>
                <w:sz w:val="20"/>
                <w:szCs w:val="20"/>
                <w:color w:val="auto"/>
              </w:rPr>
            </w:pPr>
            <w:r>
              <w:rPr>
                <w:rFonts w:ascii="Arial" w:cs="Arial" w:eastAsia="Arial" w:hAnsi="Arial"/>
                <w:sz w:val="18"/>
                <w:szCs w:val="18"/>
                <w:color w:val="auto"/>
              </w:rPr>
              <w:t>By:</w:t>
            </w:r>
          </w:p>
        </w:tc>
        <w:tc>
          <w:tcPr>
            <w:tcW w:w="4960" w:type="dxa"/>
            <w:vAlign w:val="bottom"/>
          </w:tcPr>
          <w:p>
            <w:pPr>
              <w:ind w:left="20"/>
              <w:spacing w:after="0"/>
              <w:rPr>
                <w:sz w:val="20"/>
                <w:szCs w:val="20"/>
                <w:color w:val="auto"/>
              </w:rPr>
            </w:pPr>
            <w:r>
              <w:rPr>
                <w:rFonts w:ascii="Arial" w:cs="Arial" w:eastAsia="Arial" w:hAnsi="Arial"/>
                <w:sz w:val="18"/>
                <w:szCs w:val="18"/>
                <w:color w:val="auto"/>
              </w:rPr>
              <w:t>/s/ Ajay Ayyappan</w:t>
            </w:r>
          </w:p>
        </w:tc>
      </w:tr>
      <w:tr>
        <w:trPr>
          <w:trHeight w:val="27"/>
        </w:trPr>
        <w:tc>
          <w:tcPr>
            <w:tcW w:w="3160" w:type="dxa"/>
            <w:vAlign w:val="bottom"/>
          </w:tcPr>
          <w:p>
            <w:pPr>
              <w:spacing w:after="0"/>
              <w:rPr>
                <w:sz w:val="2"/>
                <w:szCs w:val="2"/>
                <w:color w:val="auto"/>
              </w:rPr>
            </w:pPr>
          </w:p>
        </w:tc>
        <w:tc>
          <w:tcPr>
            <w:tcW w:w="3100" w:type="dxa"/>
            <w:vAlign w:val="bottom"/>
          </w:tcPr>
          <w:p>
            <w:pPr>
              <w:spacing w:after="0"/>
              <w:rPr>
                <w:sz w:val="2"/>
                <w:szCs w:val="2"/>
                <w:color w:val="auto"/>
              </w:rPr>
            </w:pPr>
          </w:p>
        </w:tc>
        <w:tc>
          <w:tcPr>
            <w:tcW w:w="4960" w:type="dxa"/>
            <w:vAlign w:val="bottom"/>
            <w:tcBorders>
              <w:bottom w:val="single" w:sz="8" w:color="auto"/>
            </w:tcBorders>
          </w:tcPr>
          <w:p>
            <w:pPr>
              <w:spacing w:after="0"/>
              <w:rPr>
                <w:sz w:val="2"/>
                <w:szCs w:val="2"/>
                <w:color w:val="auto"/>
              </w:rPr>
            </w:pPr>
          </w:p>
        </w:tc>
      </w:tr>
      <w:tr>
        <w:trPr>
          <w:trHeight w:val="236"/>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Name:</w:t>
            </w:r>
          </w:p>
        </w:tc>
        <w:tc>
          <w:tcPr>
            <w:tcW w:w="4960" w:type="dxa"/>
            <w:vAlign w:val="bottom"/>
          </w:tcPr>
          <w:p>
            <w:pPr>
              <w:ind w:left="20"/>
              <w:spacing w:after="0"/>
              <w:rPr>
                <w:sz w:val="20"/>
                <w:szCs w:val="20"/>
                <w:color w:val="auto"/>
              </w:rPr>
            </w:pPr>
            <w:r>
              <w:rPr>
                <w:rFonts w:ascii="Arial" w:cs="Arial" w:eastAsia="Arial" w:hAnsi="Arial"/>
                <w:sz w:val="18"/>
                <w:szCs w:val="18"/>
                <w:color w:val="auto"/>
              </w:rPr>
              <w:t>Ajay Ayyappan</w:t>
            </w:r>
          </w:p>
        </w:tc>
      </w:tr>
      <w:tr>
        <w:trPr>
          <w:trHeight w:val="230"/>
        </w:trPr>
        <w:tc>
          <w:tcPr>
            <w:tcW w:w="3160" w:type="dxa"/>
            <w:vAlign w:val="bottom"/>
          </w:tcPr>
          <w:p>
            <w:pPr>
              <w:spacing w:after="0"/>
              <w:rPr>
                <w:sz w:val="20"/>
                <w:szCs w:val="20"/>
                <w:color w:val="auto"/>
              </w:rPr>
            </w:pPr>
          </w:p>
        </w:tc>
        <w:tc>
          <w:tcPr>
            <w:tcW w:w="3100" w:type="dxa"/>
            <w:vAlign w:val="bottom"/>
          </w:tcPr>
          <w:p>
            <w:pPr>
              <w:ind w:left="1820"/>
              <w:spacing w:after="0"/>
              <w:rPr>
                <w:sz w:val="20"/>
                <w:szCs w:val="20"/>
                <w:color w:val="auto"/>
              </w:rPr>
            </w:pPr>
            <w:r>
              <w:rPr>
                <w:rFonts w:ascii="Arial" w:cs="Arial" w:eastAsia="Arial" w:hAnsi="Arial"/>
                <w:sz w:val="18"/>
                <w:szCs w:val="18"/>
                <w:color w:val="auto"/>
              </w:rPr>
              <w:t>Title:</w:t>
            </w:r>
          </w:p>
        </w:tc>
        <w:tc>
          <w:tcPr>
            <w:tcW w:w="4960" w:type="dxa"/>
            <w:vAlign w:val="bottom"/>
          </w:tcPr>
          <w:p>
            <w:pPr>
              <w:ind w:left="20"/>
              <w:spacing w:after="0"/>
              <w:rPr>
                <w:sz w:val="20"/>
                <w:szCs w:val="20"/>
                <w:color w:val="auto"/>
              </w:rPr>
            </w:pPr>
            <w:r>
              <w:rPr>
                <w:rFonts w:ascii="Arial" w:cs="Arial" w:eastAsia="Arial" w:hAnsi="Arial"/>
                <w:sz w:val="18"/>
                <w:szCs w:val="18"/>
                <w:color w:val="auto"/>
              </w:rPr>
              <w:t>General Counsel and Corporate Secretary</w:t>
            </w:r>
          </w:p>
        </w:tc>
      </w:tr>
    </w:tbl>
    <w:p>
      <w:pPr>
        <w:sectPr>
          <w:pgSz w:w="11900" w:h="16838" w:orient="portrait"/>
          <w:cols w:equalWidth="0" w:num="1">
            <w:col w:w="11240"/>
          </w:cols>
          <w:pgMar w:left="320" w:top="68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EXL REPORTS 2022 FOURTH QUARTER AND YEAR-END RESULTS; ISSUES 2023 GUIDANCE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2022 Fourth Quarter Revenue of $374.7 Million, up 26.8% year-over-year</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Q4 Diluted EPS (GAAP) of $0.94, up 13.3% from $0.83 in Q4 of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 xml:space="preserve">Q4 Adjusted Diluted EPS (Non-GAAP) </w:t>
      </w:r>
      <w:r>
        <w:rPr>
          <w:rFonts w:ascii="Arial" w:cs="Arial" w:eastAsia="Arial" w:hAnsi="Arial"/>
          <w:sz w:val="25"/>
          <w:szCs w:val="25"/>
          <w:b w:val="1"/>
          <w:bCs w:val="1"/>
          <w:i w:val="1"/>
          <w:iCs w:val="1"/>
          <w:color w:val="auto"/>
          <w:vertAlign w:val="superscript"/>
        </w:rPr>
        <w:t>(1)</w:t>
      </w:r>
      <w:r>
        <w:rPr>
          <w:rFonts w:ascii="Arial" w:cs="Arial" w:eastAsia="Arial" w:hAnsi="Arial"/>
          <w:sz w:val="20"/>
          <w:szCs w:val="20"/>
          <w:b w:val="1"/>
          <w:bCs w:val="1"/>
          <w:i w:val="1"/>
          <w:iCs w:val="1"/>
          <w:color w:val="auto"/>
        </w:rPr>
        <w:t xml:space="preserve"> of $1.56, up 28.9% from $1.21 in Q4 of 2021</w:t>
      </w:r>
    </w:p>
    <w:p>
      <w:pPr>
        <w:spacing w:after="0" w:line="188" w:lineRule="exact"/>
        <w:rPr>
          <w:sz w:val="20"/>
          <w:szCs w:val="20"/>
          <w:color w:val="auto"/>
        </w:rPr>
      </w:pPr>
    </w:p>
    <w:p>
      <w:pPr>
        <w:ind w:left="3340"/>
        <w:spacing w:after="0"/>
        <w:rPr>
          <w:sz w:val="20"/>
          <w:szCs w:val="20"/>
          <w:color w:val="auto"/>
        </w:rPr>
      </w:pPr>
      <w:r>
        <w:rPr>
          <w:rFonts w:ascii="Arial" w:cs="Arial" w:eastAsia="Arial" w:hAnsi="Arial"/>
          <w:sz w:val="20"/>
          <w:szCs w:val="20"/>
          <w:b w:val="1"/>
          <w:bCs w:val="1"/>
          <w:i w:val="1"/>
          <w:iCs w:val="1"/>
          <w:color w:val="auto"/>
        </w:rPr>
        <w:t>2022 Revenue of $1.41 Billion, up 25.8% year-over-year</w:t>
      </w:r>
    </w:p>
    <w:p>
      <w:pPr>
        <w:spacing w:after="0" w:line="20" w:lineRule="exact"/>
        <w:rPr>
          <w:sz w:val="20"/>
          <w:szCs w:val="20"/>
          <w:color w:val="auto"/>
        </w:rPr>
      </w:pPr>
    </w:p>
    <w:p>
      <w:pPr>
        <w:ind w:left="2960"/>
        <w:spacing w:after="0"/>
        <w:rPr>
          <w:sz w:val="20"/>
          <w:szCs w:val="20"/>
          <w:color w:val="auto"/>
        </w:rPr>
      </w:pPr>
      <w:r>
        <w:rPr>
          <w:rFonts w:ascii="Arial" w:cs="Arial" w:eastAsia="Arial" w:hAnsi="Arial"/>
          <w:sz w:val="20"/>
          <w:szCs w:val="20"/>
          <w:b w:val="1"/>
          <w:bCs w:val="1"/>
          <w:i w:val="1"/>
          <w:iCs w:val="1"/>
          <w:color w:val="auto"/>
        </w:rPr>
        <w:t>2022 Diluted EPS (GAAP) of $4.23, up 26.3% from $3.35 in 2021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 xml:space="preserve">2022 Adjusted Diluted EPS (Non-GAAP) </w:t>
      </w:r>
      <w:r>
        <w:rPr>
          <w:rFonts w:ascii="Arial" w:cs="Arial" w:eastAsia="Arial" w:hAnsi="Arial"/>
          <w:sz w:val="25"/>
          <w:szCs w:val="25"/>
          <w:b w:val="1"/>
          <w:bCs w:val="1"/>
          <w:i w:val="1"/>
          <w:iCs w:val="1"/>
          <w:color w:val="auto"/>
          <w:vertAlign w:val="superscript"/>
        </w:rPr>
        <w:t>(1)</w:t>
      </w:r>
      <w:r>
        <w:rPr>
          <w:rFonts w:ascii="Arial" w:cs="Arial" w:eastAsia="Arial" w:hAnsi="Arial"/>
          <w:sz w:val="20"/>
          <w:szCs w:val="20"/>
          <w:b w:val="1"/>
          <w:bCs w:val="1"/>
          <w:i w:val="1"/>
          <w:iCs w:val="1"/>
          <w:color w:val="auto"/>
        </w:rPr>
        <w:t xml:space="preserve"> of $6.02, up 24.6% from $4.83 in 2021</w:t>
      </w:r>
    </w:p>
    <w:p>
      <w:pPr>
        <w:spacing w:after="0" w:line="200" w:lineRule="exact"/>
        <w:rPr>
          <w:sz w:val="20"/>
          <w:szCs w:val="20"/>
          <w:color w:val="auto"/>
        </w:rPr>
      </w:pPr>
    </w:p>
    <w:p>
      <w:pPr>
        <w:spacing w:after="0" w:line="261" w:lineRule="exact"/>
        <w:rPr>
          <w:sz w:val="20"/>
          <w:szCs w:val="20"/>
          <w:color w:val="auto"/>
        </w:rPr>
      </w:pPr>
    </w:p>
    <w:p>
      <w:pPr>
        <w:jc w:val="both"/>
        <w:spacing w:after="0" w:line="340" w:lineRule="auto"/>
        <w:rPr>
          <w:sz w:val="20"/>
          <w:szCs w:val="20"/>
          <w:color w:val="auto"/>
        </w:rPr>
      </w:pPr>
      <w:r>
        <w:rPr>
          <w:rFonts w:ascii="Arial" w:cs="Arial" w:eastAsia="Arial" w:hAnsi="Arial"/>
          <w:sz w:val="18"/>
          <w:szCs w:val="18"/>
          <w:color w:val="auto"/>
        </w:rPr>
        <w:t>NEW YORK – February 23, 2023 (GLOBE NEWSWIRE) - ExlService Holdings, Inc. (NASDAQ: EXLS), a leading data analytics and digital operations and solutions company, today announced its financial results for the quarter and full year ended December 31, 2022.</w:t>
      </w:r>
    </w:p>
    <w:p>
      <w:pPr>
        <w:spacing w:after="0" w:line="197" w:lineRule="exact"/>
        <w:rPr>
          <w:sz w:val="20"/>
          <w:szCs w:val="20"/>
          <w:color w:val="auto"/>
        </w:rPr>
      </w:pPr>
    </w:p>
    <w:p>
      <w:pPr>
        <w:jc w:val="both"/>
        <w:spacing w:after="0" w:line="342" w:lineRule="auto"/>
        <w:rPr>
          <w:sz w:val="20"/>
          <w:szCs w:val="20"/>
          <w:color w:val="auto"/>
        </w:rPr>
      </w:pPr>
      <w:r>
        <w:rPr>
          <w:rFonts w:ascii="Arial" w:cs="Arial" w:eastAsia="Arial" w:hAnsi="Arial"/>
          <w:sz w:val="17"/>
          <w:szCs w:val="17"/>
          <w:color w:val="auto"/>
        </w:rPr>
        <w:t>Rohit Kapoor, Vice Chairman and Chief Executive Officer, said, “We ended the year strong with fourth quarter revenue and EPS growth of over 25%. Our data-led approach has differentiated us within our industry and expanded our total addressable market. Our proprietary data assets, digital solutions and domain and data expertise, combined with our best-in-class talent, creates value for our clients. This is reflected in the continued growth of our analytics business and the acceleration of growth in our digital operations and solutions business. As we look to 2023, EXL is well positioned with a strong pipeline, differentiated solutions and a growing base of client relationships across industry verticals.”</w:t>
      </w:r>
    </w:p>
    <w:p>
      <w:pPr>
        <w:spacing w:after="0" w:line="200" w:lineRule="exact"/>
        <w:rPr>
          <w:sz w:val="20"/>
          <w:szCs w:val="20"/>
          <w:color w:val="auto"/>
        </w:rPr>
      </w:pPr>
    </w:p>
    <w:p>
      <w:pPr>
        <w:spacing w:after="0" w:line="243" w:lineRule="exact"/>
        <w:rPr>
          <w:sz w:val="20"/>
          <w:szCs w:val="20"/>
          <w:color w:val="auto"/>
        </w:rPr>
      </w:pPr>
    </w:p>
    <w:p>
      <w:pPr>
        <w:jc w:val="both"/>
        <w:spacing w:after="0" w:line="319" w:lineRule="auto"/>
        <w:rPr>
          <w:sz w:val="20"/>
          <w:szCs w:val="20"/>
          <w:color w:val="auto"/>
        </w:rPr>
      </w:pPr>
      <w:r>
        <w:rPr>
          <w:rFonts w:ascii="Arial" w:cs="Arial" w:eastAsia="Arial" w:hAnsi="Arial"/>
          <w:sz w:val="18"/>
          <w:szCs w:val="18"/>
          <w:color w:val="auto"/>
        </w:rPr>
        <w:t>Maurizio Nicolelli, Chief Financial Officer, said, “We ended 2022 with strong momentum in our business, a healthy balance sheet and solid free cash flow. We are mindful of the potential for recessionary headwinds later in the year, but continue to believe we will deliver double-digit revenue and EPS growth in 2023. Our guidance for 2023 revenue is in the range of $1.56 billion to $1.60 billion, representing a 11% to 13% increase year-over-year on a reported basis and 11% to 14% on a constant currency basis. We expect adjusted diluted EPS to be in the range of $6.60 to $6.80, representing a 10% to 13% increase over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__________________________________________________</w:t>
      </w:r>
    </w:p>
    <w:p>
      <w:pPr>
        <w:spacing w:after="0" w:line="285" w:lineRule="exact"/>
        <w:rPr>
          <w:sz w:val="20"/>
          <w:szCs w:val="20"/>
          <w:color w:val="auto"/>
        </w:rPr>
      </w:pPr>
    </w:p>
    <w:p>
      <w:pPr>
        <w:jc w:val="both"/>
        <w:ind w:left="500" w:hanging="330"/>
        <w:spacing w:after="0" w:line="270" w:lineRule="auto"/>
        <w:tabs>
          <w:tab w:leader="none" w:pos="498" w:val="left"/>
        </w:tabs>
        <w:numPr>
          <w:ilvl w:val="0"/>
          <w:numId w:val="3"/>
        </w:numPr>
        <w:rPr>
          <w:rFonts w:ascii="Arial" w:cs="Arial" w:eastAsia="Arial" w:hAnsi="Arial"/>
          <w:sz w:val="14"/>
          <w:szCs w:val="14"/>
          <w:color w:val="auto"/>
        </w:rPr>
      </w:pPr>
      <w:r>
        <w:rPr>
          <w:rFonts w:ascii="Arial" w:cs="Arial" w:eastAsia="Arial" w:hAnsi="Arial"/>
          <w:sz w:val="14"/>
          <w:szCs w:val="14"/>
          <w:color w:val="auto"/>
        </w:rPr>
        <w:t>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sectPr>
          <w:pgSz w:w="11900" w:h="16838" w:orient="portrait"/>
          <w:cols w:equalWidth="0" w:num="1">
            <w:col w:w="11240"/>
          </w:cols>
          <w:pgMar w:left="320" w:top="89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Financial Highlights: Fourth Quarter 2022</w:t>
      </w:r>
    </w:p>
    <w:p>
      <w:pPr>
        <w:spacing w:after="0" w:line="378" w:lineRule="exact"/>
        <w:rPr>
          <w:sz w:val="20"/>
          <w:szCs w:val="20"/>
          <w:color w:val="auto"/>
        </w:rPr>
      </w:pPr>
    </w:p>
    <w:p>
      <w:pPr>
        <w:jc w:val="both"/>
        <w:ind w:left="660" w:hanging="328"/>
        <w:spacing w:after="0" w:line="32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for the quarter ended December 31, 2022 increased to $374.7 million compared to $295.5 million for the fourth quarter of 2021, an increase of 26.8% on a reported basis and 28.6% on a constant currency basis. Revenue increased by 3.7% sequentially on reported basis and constant currency basis, from the third quarter of 2022.</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6"/>
                <w:szCs w:val="16"/>
                <w:b w:val="1"/>
                <w:bCs w:val="1"/>
                <w:color w:val="auto"/>
                <w:w w:val="89"/>
              </w:rPr>
              <w:t>Revenue</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left="194"/>
              <w:spacing w:after="0"/>
              <w:rPr>
                <w:sz w:val="20"/>
                <w:szCs w:val="20"/>
                <w:color w:val="auto"/>
              </w:rPr>
            </w:pPr>
            <w:r>
              <w:rPr>
                <w:rFonts w:ascii="Arial" w:cs="Arial" w:eastAsia="Arial" w:hAnsi="Arial"/>
                <w:sz w:val="16"/>
                <w:szCs w:val="16"/>
                <w:b w:val="1"/>
                <w:bCs w:val="1"/>
                <w:color w:val="auto"/>
                <w:w w:val="93"/>
              </w:rPr>
              <w:t>Gross Margin</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6"/>
          </w:tcPr>
          <w:p>
            <w:pPr>
              <w:jc w:val="center"/>
              <w:ind w:right="113"/>
              <w:spacing w:after="0"/>
              <w:rPr>
                <w:sz w:val="20"/>
                <w:szCs w:val="20"/>
                <w:color w:val="auto"/>
              </w:rPr>
            </w:pPr>
            <w:r>
              <w:rPr>
                <w:rFonts w:ascii="Arial" w:cs="Arial" w:eastAsia="Arial" w:hAnsi="Arial"/>
                <w:sz w:val="16"/>
                <w:szCs w:val="16"/>
                <w:b w:val="1"/>
                <w:bCs w:val="1"/>
                <w:color w:val="auto"/>
                <w:w w:val="90"/>
              </w:rPr>
              <w:t>Three months ended</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Three months ended</w:t>
            </w:r>
          </w:p>
        </w:tc>
        <w:tc>
          <w:tcPr>
            <w:tcW w:w="1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3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100" w:type="dxa"/>
            <w:vAlign w:val="bottom"/>
            <w:gridSpan w:val="2"/>
          </w:tcPr>
          <w:p>
            <w:pPr>
              <w:jc w:val="right"/>
              <w:spacing w:after="0"/>
              <w:rPr>
                <w:sz w:val="20"/>
                <w:szCs w:val="20"/>
                <w:color w:val="auto"/>
              </w:rPr>
            </w:pPr>
            <w:r>
              <w:rPr>
                <w:rFonts w:ascii="Arial" w:cs="Arial" w:eastAsia="Arial" w:hAnsi="Arial"/>
                <w:sz w:val="16"/>
                <w:szCs w:val="16"/>
                <w:b w:val="1"/>
                <w:bCs w:val="1"/>
                <w:color w:val="auto"/>
                <w:w w:val="97"/>
              </w:rPr>
              <w:t>December 31,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3"/>
          </w:tcPr>
          <w:p>
            <w:pPr>
              <w:ind w:left="80"/>
              <w:spacing w:after="0"/>
              <w:rPr>
                <w:sz w:val="20"/>
                <w:szCs w:val="20"/>
                <w:color w:val="auto"/>
              </w:rPr>
            </w:pPr>
            <w:r>
              <w:rPr>
                <w:rFonts w:ascii="Arial" w:cs="Arial" w:eastAsia="Arial" w:hAnsi="Arial"/>
                <w:sz w:val="16"/>
                <w:szCs w:val="16"/>
                <w:b w:val="1"/>
                <w:bCs w:val="1"/>
                <w:color w:val="auto"/>
              </w:rPr>
              <w:t>September 30,</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December 31,</w:t>
            </w:r>
          </w:p>
        </w:tc>
        <w:tc>
          <w:tcPr>
            <w:tcW w:w="200" w:type="dxa"/>
            <w:vAlign w:val="bottom"/>
          </w:tcPr>
          <w:p>
            <w:pPr>
              <w:spacing w:after="0"/>
              <w:rPr>
                <w:sz w:val="21"/>
                <w:szCs w:val="21"/>
                <w:color w:val="auto"/>
              </w:rPr>
            </w:pPr>
          </w:p>
        </w:tc>
        <w:tc>
          <w:tcPr>
            <w:tcW w:w="1240" w:type="dxa"/>
            <w:vAlign w:val="bottom"/>
          </w:tcPr>
          <w:p>
            <w:pPr>
              <w:jc w:val="center"/>
              <w:ind w:left="174"/>
              <w:spacing w:after="0"/>
              <w:rPr>
                <w:sz w:val="20"/>
                <w:szCs w:val="20"/>
                <w:color w:val="auto"/>
              </w:rPr>
            </w:pPr>
            <w:r>
              <w:rPr>
                <w:rFonts w:ascii="Arial" w:cs="Arial" w:eastAsia="Arial" w:hAnsi="Arial"/>
                <w:sz w:val="16"/>
                <w:szCs w:val="16"/>
                <w:b w:val="1"/>
                <w:bCs w:val="1"/>
                <w:color w:val="auto"/>
                <w:w w:val="90"/>
              </w:rPr>
              <w:t>December 31,</w:t>
            </w: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1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2022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center"/>
              <w:ind w:right="13"/>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2"/>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1160" w:type="dxa"/>
            <w:vAlign w:val="bottom"/>
          </w:tcPr>
          <w:p>
            <w:pPr>
              <w:jc w:val="right"/>
              <w:ind w:right="233"/>
              <w:spacing w:after="0"/>
              <w:rPr>
                <w:sz w:val="20"/>
                <w:szCs w:val="20"/>
                <w:color w:val="auto"/>
              </w:rPr>
            </w:pPr>
            <w:r>
              <w:rPr>
                <w:rFonts w:ascii="Arial" w:cs="Arial" w:eastAsia="Arial" w:hAnsi="Arial"/>
                <w:sz w:val="16"/>
                <w:szCs w:val="16"/>
                <w:b w:val="1"/>
                <w:bCs w:val="1"/>
                <w:color w:val="auto"/>
              </w:rPr>
              <w:t>2022</w:t>
            </w:r>
          </w:p>
        </w:tc>
        <w:tc>
          <w:tcPr>
            <w:tcW w:w="200" w:type="dxa"/>
            <w:vAlign w:val="bottom"/>
          </w:tcPr>
          <w:p>
            <w:pPr>
              <w:spacing w:after="0"/>
              <w:rPr>
                <w:sz w:val="18"/>
                <w:szCs w:val="18"/>
                <w:color w:val="auto"/>
              </w:rPr>
            </w:pPr>
          </w:p>
        </w:tc>
        <w:tc>
          <w:tcPr>
            <w:tcW w:w="1240" w:type="dxa"/>
            <w:vAlign w:val="bottom"/>
          </w:tcPr>
          <w:p>
            <w:pPr>
              <w:jc w:val="center"/>
              <w:ind w:left="154"/>
              <w:spacing w:after="0"/>
              <w:rPr>
                <w:sz w:val="20"/>
                <w:szCs w:val="20"/>
                <w:color w:val="auto"/>
              </w:rPr>
            </w:pPr>
            <w:r>
              <w:rPr>
                <w:rFonts w:ascii="Arial" w:cs="Arial" w:eastAsia="Arial" w:hAnsi="Arial"/>
                <w:sz w:val="16"/>
                <w:szCs w:val="16"/>
                <w:b w:val="1"/>
                <w:bCs w:val="1"/>
                <w:color w:val="auto"/>
                <w:w w:val="89"/>
              </w:rPr>
              <w:t>2021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253"/>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auto"/>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gridSpan w:val="5"/>
          </w:tcPr>
          <w:p>
            <w:pPr>
              <w:jc w:val="center"/>
              <w:ind w:right="113"/>
              <w:spacing w:after="0"/>
              <w:rPr>
                <w:sz w:val="20"/>
                <w:szCs w:val="20"/>
                <w:color w:val="auto"/>
              </w:rPr>
            </w:pPr>
            <w:r>
              <w:rPr>
                <w:rFonts w:ascii="Arial" w:cs="Arial" w:eastAsia="Arial" w:hAnsi="Arial"/>
                <w:sz w:val="16"/>
                <w:szCs w:val="16"/>
                <w:b w:val="1"/>
                <w:bCs w:val="1"/>
                <w:color w:val="auto"/>
                <w:w w:val="92"/>
              </w:rPr>
              <w:t>(dollars in millions)</w:t>
            </w:r>
          </w:p>
        </w:tc>
        <w:tc>
          <w:tcPr>
            <w:tcW w:w="92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12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166.3</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8"/>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374.7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36.6 %</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37.8 %</w:t>
            </w:r>
          </w:p>
        </w:tc>
        <w:tc>
          <w:tcPr>
            <w:tcW w:w="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36.2 %</w:t>
            </w: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income margin for the quarter ended December 31, 2022 was 13.6%, compared to 12.2% for the fourth quarter of 2021 and 13.9% for the third quarter of 2022. Adjusted operating income margin for the quarter ended December 31, 2022 was 18.0% compared to 17.0% for the fourth quarter of 2021 and 18.5% for the third quarter of 2022.</w:t>
      </w:r>
    </w:p>
    <w:p>
      <w:pPr>
        <w:spacing w:after="0" w:line="209" w:lineRule="exact"/>
        <w:rPr>
          <w:rFonts w:ascii="Arial" w:cs="Arial" w:eastAsia="Arial" w:hAnsi="Arial"/>
          <w:sz w:val="18"/>
          <w:szCs w:val="18"/>
          <w:color w:val="auto"/>
        </w:rPr>
      </w:pPr>
    </w:p>
    <w:p>
      <w:pPr>
        <w:jc w:val="both"/>
        <w:ind w:left="660" w:hanging="328"/>
        <w:spacing w:after="0" w:line="32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Diluted earnings per share for the quarter ended December 31, 2022 was $0.94 compared to $0.83 for the fourth quarter of 2021 and $1.16 for the third quarter of 2022. Adjusted diluted earnings per share for the quarter ended December 31, 2022 was $1.56 compared to $1.21 for the fourth quarter of 2021 and $1.54 for the third quarter of 2022.</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Financial Highlights: Full Year 2022</w:t>
      </w:r>
    </w:p>
    <w:p>
      <w:pPr>
        <w:spacing w:after="0" w:line="273" w:lineRule="exact"/>
        <w:rPr>
          <w:sz w:val="20"/>
          <w:szCs w:val="20"/>
          <w:color w:val="auto"/>
        </w:rPr>
      </w:pPr>
    </w:p>
    <w:p>
      <w:pPr>
        <w:ind w:left="660" w:hanging="328"/>
        <w:spacing w:after="0" w:line="340"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for the year ended December 31, 2022 increased to $1.41 billion compared to $1.12 billion for the year ended December 31, 2021, an increase of 25.8% on a reported basis and 27.3% on a constant currency basis.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173"/>
              <w:spacing w:after="0"/>
              <w:rPr>
                <w:sz w:val="20"/>
                <w:szCs w:val="20"/>
                <w:color w:val="auto"/>
              </w:rPr>
            </w:pPr>
            <w:r>
              <w:rPr>
                <w:rFonts w:ascii="Arial" w:cs="Arial" w:eastAsia="Arial" w:hAnsi="Arial"/>
                <w:sz w:val="16"/>
                <w:szCs w:val="16"/>
                <w:b w:val="1"/>
                <w:bCs w:val="1"/>
                <w:color w:val="auto"/>
                <w:w w:val="89"/>
              </w:rPr>
              <w:t>Revenue</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6"/>
                <w:szCs w:val="16"/>
                <w:b w:val="1"/>
                <w:bCs w:val="1"/>
                <w:color w:val="auto"/>
              </w:rPr>
              <w:t>Gross Margin</w:t>
            </w:r>
          </w:p>
        </w:tc>
        <w:tc>
          <w:tcPr>
            <w:tcW w:w="180" w:type="dxa"/>
            <w:vAlign w:val="bottom"/>
            <w:tcBorders>
              <w:bottom w:val="single" w:sz="8" w:color="auto"/>
            </w:tcBorders>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center"/>
              <w:ind w:left="153"/>
              <w:spacing w:after="0"/>
              <w:rPr>
                <w:sz w:val="20"/>
                <w:szCs w:val="20"/>
                <w:color w:val="auto"/>
              </w:rPr>
            </w:pPr>
            <w:r>
              <w:rPr>
                <w:rFonts w:ascii="Arial" w:cs="Arial" w:eastAsia="Arial" w:hAnsi="Arial"/>
                <w:sz w:val="16"/>
                <w:szCs w:val="16"/>
                <w:b w:val="1"/>
                <w:bCs w:val="1"/>
                <w:color w:val="auto"/>
                <w:w w:val="90"/>
              </w:rPr>
              <w:t>Year ended</w:t>
            </w: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20" w:type="dxa"/>
            <w:vAlign w:val="bottom"/>
            <w:tcBorders>
              <w:bottom w:val="single" w:sz="8" w:color="auto"/>
            </w:tcBorders>
            <w:gridSpan w:val="4"/>
          </w:tcPr>
          <w:p>
            <w:pPr>
              <w:jc w:val="right"/>
              <w:ind w:right="1052"/>
              <w:spacing w:after="0"/>
              <w:rPr>
                <w:sz w:val="20"/>
                <w:szCs w:val="20"/>
                <w:color w:val="auto"/>
              </w:rPr>
            </w:pPr>
            <w:r>
              <w:rPr>
                <w:rFonts w:ascii="Arial" w:cs="Arial" w:eastAsia="Arial" w:hAnsi="Arial"/>
                <w:sz w:val="16"/>
                <w:szCs w:val="16"/>
                <w:b w:val="1"/>
                <w:bCs w:val="1"/>
                <w:color w:val="auto"/>
              </w:rPr>
              <w:t>Year ended</w:t>
            </w:r>
          </w:p>
        </w:tc>
        <w:tc>
          <w:tcPr>
            <w:tcW w:w="180" w:type="dxa"/>
            <w:vAlign w:val="bottom"/>
            <w:tcBorders>
              <w:bottom w:val="single" w:sz="8" w:color="auto"/>
            </w:tcBorders>
          </w:tcPr>
          <w:p>
            <w:pPr>
              <w:spacing w:after="0"/>
              <w:rPr>
                <w:sz w:val="18"/>
                <w:szCs w:val="18"/>
                <w:color w:val="auto"/>
              </w:rPr>
            </w:pPr>
          </w:p>
        </w:tc>
      </w:tr>
      <w:tr>
        <w:trPr>
          <w:trHeight w:val="466"/>
        </w:trPr>
        <w:tc>
          <w:tcPr>
            <w:tcW w:w="438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1580" w:type="dxa"/>
            <w:vAlign w:val="bottom"/>
            <w:gridSpan w:val="3"/>
          </w:tcPr>
          <w:p>
            <w:pPr>
              <w:ind w:left="100"/>
              <w:spacing w:after="0"/>
              <w:rPr>
                <w:sz w:val="20"/>
                <w:szCs w:val="20"/>
                <w:color w:val="auto"/>
              </w:rPr>
            </w:pPr>
            <w:r>
              <w:rPr>
                <w:rFonts w:ascii="Arial" w:cs="Arial" w:eastAsia="Arial" w:hAnsi="Arial"/>
                <w:sz w:val="16"/>
                <w:szCs w:val="16"/>
                <w:b w:val="1"/>
                <w:bCs w:val="1"/>
                <w:color w:val="auto"/>
              </w:rPr>
              <w:t>December 31, 2022</w:t>
            </w:r>
          </w:p>
        </w:tc>
        <w:tc>
          <w:tcPr>
            <w:tcW w:w="1600" w:type="dxa"/>
            <w:vAlign w:val="bottom"/>
            <w:gridSpan w:val="3"/>
          </w:tcPr>
          <w:p>
            <w:pPr>
              <w:ind w:left="80"/>
              <w:spacing w:after="0"/>
              <w:rPr>
                <w:sz w:val="20"/>
                <w:szCs w:val="20"/>
                <w:color w:val="auto"/>
              </w:rPr>
            </w:pPr>
            <w:r>
              <w:rPr>
                <w:rFonts w:ascii="Arial" w:cs="Arial" w:eastAsia="Arial" w:hAnsi="Arial"/>
                <w:sz w:val="16"/>
                <w:szCs w:val="16"/>
                <w:b w:val="1"/>
                <w:bCs w:val="1"/>
                <w:color w:val="auto"/>
              </w:rPr>
              <w:t>December 31, 2021</w:t>
            </w: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December 31, 2022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6"/>
                <w:szCs w:val="16"/>
                <w:b w:val="1"/>
                <w:bCs w:val="1"/>
                <w:color w:val="auto"/>
              </w:rPr>
              <w:t>December 31, 2021</w:t>
            </w:r>
          </w:p>
        </w:tc>
        <w:tc>
          <w:tcPr>
            <w:tcW w:w="180" w:type="dxa"/>
            <w:vAlign w:val="bottom"/>
          </w:tcPr>
          <w:p>
            <w:pPr>
              <w:spacing w:after="0"/>
              <w:rPr>
                <w:sz w:val="24"/>
                <w:szCs w:val="24"/>
                <w:color w:val="auto"/>
              </w:rPr>
            </w:pPr>
          </w:p>
        </w:tc>
      </w:tr>
      <w:tr>
        <w:trPr>
          <w:trHeight w:val="210"/>
        </w:trPr>
        <w:tc>
          <w:tcPr>
            <w:tcW w:w="4280" w:type="dxa"/>
            <w:vAlign w:val="bottom"/>
            <w:tcBorders>
              <w:top w:val="single" w:sz="8" w:color="auto"/>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860" w:type="dxa"/>
            <w:vAlign w:val="bottom"/>
            <w:tcBorders>
              <w:top w:val="single" w:sz="8" w:color="auto"/>
              <w:bottom w:val="single" w:sz="8" w:color="auto"/>
            </w:tcBorders>
            <w:gridSpan w:val="3"/>
          </w:tcPr>
          <w:p>
            <w:pPr>
              <w:jc w:val="center"/>
              <w:ind w:left="153"/>
              <w:spacing w:after="0"/>
              <w:rPr>
                <w:sz w:val="20"/>
                <w:szCs w:val="20"/>
                <w:color w:val="auto"/>
              </w:rPr>
            </w:pPr>
            <w:r>
              <w:rPr>
                <w:rFonts w:ascii="Arial" w:cs="Arial" w:eastAsia="Arial" w:hAnsi="Arial"/>
                <w:sz w:val="16"/>
                <w:szCs w:val="16"/>
                <w:b w:val="1"/>
                <w:bCs w:val="1"/>
                <w:color w:val="auto"/>
                <w:w w:val="91"/>
              </w:rPr>
              <w:t>(dollars in millions)</w:t>
            </w:r>
          </w:p>
        </w:tc>
        <w:tc>
          <w:tcPr>
            <w:tcW w:w="72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r>
      <w:tr>
        <w:trPr>
          <w:trHeight w:val="226"/>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480" w:type="dxa"/>
            <w:vAlign w:val="bottom"/>
            <w:shd w:val="clear" w:color="auto" w:fill="CCEEFF"/>
          </w:tcPr>
          <w:p>
            <w:pPr>
              <w:jc w:val="right"/>
              <w:ind w:right="273"/>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27.1</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Emerging Business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9"/>
        </w:trPr>
        <w:tc>
          <w:tcPr>
            <w:tcW w:w="4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Analytics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647.3</w:t>
            </w: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Revenue, net</w:t>
            </w: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1,412.0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1,122.3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36.5 %</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38.4 %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hanging="328"/>
        <w:spacing w:after="0" w:line="41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income margin for the year ended December 31, 2022 was 13.6% compared to 13.9% for the year ended December 31, 2021. Adjusted operating income margin for the year ended December 31, 2022 was 18.3% compared to 18.6% for the year ended December 31, 2021.</w:t>
      </w:r>
    </w:p>
    <w:p>
      <w:pPr>
        <w:spacing w:after="0" w:line="151" w:lineRule="exact"/>
        <w:rPr>
          <w:rFonts w:ascii="Arial" w:cs="Arial" w:eastAsia="Arial" w:hAnsi="Arial"/>
          <w:sz w:val="16"/>
          <w:szCs w:val="16"/>
          <w:color w:val="auto"/>
        </w:rPr>
      </w:pPr>
    </w:p>
    <w:p>
      <w:pPr>
        <w:ind w:left="660" w:hanging="328"/>
        <w:spacing w:after="0" w:line="41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color w:val="auto"/>
        </w:rPr>
        <w:t>Diluted earnings per share for the year ended December 31, 2022 was $4.23 compared to $3.35 for the year ended December 31, 2021. Adjusted diluted earnings per share for the year ended December 31, 2022 was $6.02 compared to $4.83 for the year ended December 31, 2021.</w:t>
      </w:r>
    </w:p>
    <w:p>
      <w:pPr>
        <w:sectPr>
          <w:pgSz w:w="11900" w:h="16838" w:orient="portrait"/>
          <w:cols w:equalWidth="0" w:num="1">
            <w:col w:w="11240"/>
          </w:cols>
          <w:pgMar w:left="320" w:top="88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Highlights: Fourth Quarter 2022</w:t>
      </w:r>
    </w:p>
    <w:p>
      <w:pPr>
        <w:spacing w:after="0" w:line="270" w:lineRule="exact"/>
        <w:rPr>
          <w:sz w:val="20"/>
          <w:szCs w:val="20"/>
          <w:color w:val="auto"/>
        </w:rPr>
      </w:pPr>
    </w:p>
    <w:p>
      <w:pPr>
        <w:ind w:left="340" w:hanging="332"/>
        <w:spacing w:after="0" w:line="32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Won 19 new clients in the fourth quarter of 2022, with eight in our digital operations and solutions business and 11 in analytics. For the year, we won 59 new clients, with 31 in our digital operations and solutions business and 28 in analytics.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as a Leader in all four categories in the 2022 ISG Provider Lens™ Digital Finance &amp; Accounting Outsourcing Services.</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Announced alliance with EY to support digital transformation initiatives in insurance, financial services and health care sectors.</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Recognized as ‘Luminary’ in Celent New Business and Underwriting Systems: Global Life Insurance Edition report.</w:t>
      </w:r>
    </w:p>
    <w:p>
      <w:pPr>
        <w:spacing w:after="0" w:line="76"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Named to Newsweek’s 2022 list of America’s Most Responsible Companies.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Guidance</w:t>
      </w:r>
    </w:p>
    <w:p>
      <w:pPr>
        <w:spacing w:after="0" w:line="81" w:lineRule="exact"/>
        <w:rPr>
          <w:sz w:val="20"/>
          <w:szCs w:val="20"/>
          <w:color w:val="auto"/>
        </w:rPr>
      </w:pPr>
    </w:p>
    <w:p>
      <w:pPr>
        <w:jc w:val="both"/>
        <w:ind w:right="20"/>
        <w:spacing w:after="0" w:line="412" w:lineRule="auto"/>
        <w:rPr>
          <w:sz w:val="20"/>
          <w:szCs w:val="20"/>
          <w:color w:val="auto"/>
        </w:rPr>
      </w:pPr>
      <w:r>
        <w:rPr>
          <w:rFonts w:ascii="Arial" w:cs="Arial" w:eastAsia="Arial" w:hAnsi="Arial"/>
          <w:sz w:val="16"/>
          <w:szCs w:val="16"/>
          <w:color w:val="auto"/>
        </w:rPr>
        <w:t>Based on current visibility, and a U.S. dollar to Indian rupee exchange rate of 82.5, U.K. pound sterling to U.S. dollar exchange rate of 1.21, U.S. dollar to the Philippine peso exchange rate of 55.0 and all other currencies at current exchange rates, we are providing the following guidance for the full year 2023:</w:t>
      </w:r>
    </w:p>
    <w:p>
      <w:pPr>
        <w:spacing w:after="0" w:line="151" w:lineRule="exact"/>
        <w:rPr>
          <w:sz w:val="20"/>
          <w:szCs w:val="20"/>
          <w:color w:val="auto"/>
        </w:rPr>
      </w:pPr>
    </w:p>
    <w:p>
      <w:pPr>
        <w:ind w:left="660" w:hanging="328"/>
        <w:spacing w:after="0" w:line="340"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of $1.56 billion to $1.60 billion, representing an increase of 11% to 13% on a reported basis, and 11% to 14% on a constant currency basis, from 2022.</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Adjusted diluted earnings per share of $6.60 to $6.80, representing an increase of 10% to 13% from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293" w:lineRule="exact"/>
        <w:rPr>
          <w:sz w:val="20"/>
          <w:szCs w:val="20"/>
          <w:color w:val="auto"/>
        </w:rPr>
      </w:pPr>
    </w:p>
    <w:p>
      <w:pPr>
        <w:jc w:val="both"/>
        <w:spacing w:after="0" w:line="311" w:lineRule="auto"/>
        <w:rPr>
          <w:sz w:val="20"/>
          <w:szCs w:val="20"/>
          <w:color w:val="auto"/>
        </w:rPr>
      </w:pPr>
      <w:r>
        <w:rPr>
          <w:rFonts w:ascii="Arial" w:cs="Arial" w:eastAsia="Arial" w:hAnsi="Arial"/>
          <w:sz w:val="18"/>
          <w:szCs w:val="18"/>
          <w:color w:val="auto"/>
        </w:rPr>
        <w:t xml:space="preserve">ExlService Holdings, Inc. will host a conference call on Thursday, February 23, 2023 at 10:00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210" w:lineRule="exact"/>
        <w:rPr>
          <w:sz w:val="20"/>
          <w:szCs w:val="20"/>
          <w:color w:val="auto"/>
        </w:rPr>
      </w:pPr>
    </w:p>
    <w:p>
      <w:pPr>
        <w:jc w:val="both"/>
        <w:spacing w:after="0" w:line="310" w:lineRule="auto"/>
        <w:rPr>
          <w:sz w:val="20"/>
          <w:szCs w:val="20"/>
          <w:color w:val="auto"/>
        </w:rPr>
      </w:pPr>
      <w:r>
        <w:rPr>
          <w:rFonts w:ascii="Arial" w:cs="Arial" w:eastAsia="Arial" w:hAnsi="Arial"/>
          <w:sz w:val="18"/>
          <w:szCs w:val="18"/>
          <w:color w:val="auto"/>
        </w:rPr>
        <w:t xml:space="preserve">Please note that there is a new system to access the live call-in order to ask questions. To join the live call, please register </w:t>
      </w:r>
      <w:r>
        <w:rPr>
          <w:rFonts w:ascii="Arial" w:cs="Arial" w:eastAsia="Arial" w:hAnsi="Arial"/>
          <w:sz w:val="18"/>
          <w:szCs w:val="18"/>
          <w:u w:val="single" w:color="auto"/>
          <w:color w:val="0000FF"/>
        </w:rPr>
        <w:t>here</w:t>
      </w:r>
      <w:r>
        <w:rPr>
          <w:rFonts w:ascii="Arial" w:cs="Arial" w:eastAsia="Arial" w:hAnsi="Arial"/>
          <w:sz w:val="18"/>
          <w:szCs w:val="18"/>
          <w:color w:val="auto"/>
        </w:rPr>
        <w:t xml:space="preserve">. A dial-in and unique PIN will be provided to join the call. For those who cannot access the live broadcast, a replay will be available on the EXL website </w:t>
      </w:r>
      <w:r>
        <w:rPr>
          <w:rFonts w:ascii="Arial" w:cs="Arial" w:eastAsia="Arial" w:hAnsi="Arial"/>
          <w:sz w:val="18"/>
          <w:szCs w:val="18"/>
          <w:u w:val="single" w:color="auto"/>
          <w:color w:val="0000FF"/>
        </w:rPr>
        <w:t>ir.exlservice.com</w:t>
      </w:r>
      <w:r>
        <w:rPr>
          <w:rFonts w:ascii="Arial" w:cs="Arial" w:eastAsia="Arial" w:hAnsi="Arial"/>
          <w:sz w:val="18"/>
          <w:szCs w:val="18"/>
          <w:color w:val="auto"/>
        </w:rPr>
        <w:t xml:space="preserve"> for a period of twelve months.</w:t>
      </w:r>
    </w:p>
    <w:p>
      <w:pPr>
        <w:sectPr>
          <w:pgSz w:w="11900" w:h="16838" w:orient="portrait"/>
          <w:cols w:equalWidth="0" w:num="1">
            <w:col w:w="11240"/>
          </w:cols>
          <w:pgMar w:left="320" w:top="89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02" w:lineRule="exact"/>
        <w:rPr>
          <w:sz w:val="20"/>
          <w:szCs w:val="20"/>
          <w:color w:val="auto"/>
        </w:rPr>
      </w:pPr>
    </w:p>
    <w:p>
      <w:pPr>
        <w:jc w:val="both"/>
        <w:spacing w:after="0" w:line="363" w:lineRule="auto"/>
        <w:rPr>
          <w:sz w:val="20"/>
          <w:szCs w:val="20"/>
          <w:color w:val="auto"/>
        </w:rPr>
      </w:pPr>
      <w:r>
        <w:rPr>
          <w:rFonts w:ascii="Arial" w:cs="Arial" w:eastAsia="Arial" w:hAnsi="Arial"/>
          <w:sz w:val="17"/>
          <w:szCs w:val="17"/>
          <w:color w:val="auto"/>
        </w:rPr>
        <w:t xml:space="preserve">EXL (NASDAQ: EXLS) is a leading data analytics and digital operations and solutions company that partners with clients to improve business outcomes and unlock growth. By bringing together deep domain expertise with robust data, powerful analytics, cloud, artificial intelligence (“AI”) and machine learning (“ML”), we create agile, scalable solutions and execute complex operations for the world’s leading corporations in industries including insurance, healthcare, banking and financial services, media, and retail, among others. Focused on driving faster decision-making and transforming operating models, EXL was founded on the core values of innovation, collaboration, excellence, integrity and respect. Headquartered in New York, our team is over 45,400 strong, with more than 50 offices spanning six continents. For more information, visit </w:t>
      </w:r>
      <w:r>
        <w:rPr>
          <w:rFonts w:ascii="Arial" w:cs="Arial" w:eastAsia="Arial" w:hAnsi="Arial"/>
          <w:sz w:val="17"/>
          <w:szCs w:val="17"/>
          <w:u w:val="single" w:color="auto"/>
          <w:color w:val="0000FF"/>
        </w:rPr>
        <w:t>www.exlservice.com.</w:t>
      </w:r>
    </w:p>
    <w:p>
      <w:pPr>
        <w:spacing w:after="0" w:line="288" w:lineRule="exact"/>
        <w:rPr>
          <w:sz w:val="20"/>
          <w:szCs w:val="20"/>
          <w:color w:val="auto"/>
        </w:rPr>
      </w:pPr>
    </w:p>
    <w:p>
      <w:pPr>
        <w:jc w:val="both"/>
        <w:spacing w:after="0" w:line="321" w:lineRule="auto"/>
        <w:rPr>
          <w:sz w:val="20"/>
          <w:szCs w:val="20"/>
          <w:color w:val="auto"/>
        </w:rPr>
      </w:pPr>
      <w:r>
        <w:rPr>
          <w:rFonts w:ascii="Arial" w:cs="Arial" w:eastAsia="Arial" w:hAnsi="Arial"/>
          <w:sz w:val="17"/>
          <w:szCs w:val="17"/>
          <w:b w:val="1"/>
          <w:bCs w:val="1"/>
          <w:color w:val="auto"/>
        </w:rPr>
        <w:t xml:space="preserve">Cautionary Statement Regarding Forward-Looking Statements </w:t>
      </w:r>
      <w:r>
        <w:rPr>
          <w:rFonts w:ascii="Arial" w:cs="Arial" w:eastAsia="Arial" w:hAnsi="Arial"/>
          <w:sz w:val="17"/>
          <w:szCs w:val="17"/>
          <w:i w:val="1"/>
          <w:iCs w:val="1"/>
          <w:color w:val="auto"/>
        </w:rPr>
        <w:t>This press release contains forward-looking statements within the meaning of the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and recessionary economic trends,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240"/>
          </w:cols>
          <w:pgMar w:left="320" w:top="945" w:right="339" w:bottom="1440" w:gutter="0" w:footer="0" w:header="0"/>
        </w:sectPr>
      </w:pPr>
    </w:p>
    <w:bookmarkStart w:id="8" w:name="page9"/>
    <w:bookmarkEnd w:id="8"/>
    <w:p>
      <w:pPr>
        <w:ind w:left="4160"/>
        <w:spacing w:after="0"/>
        <w:rPr>
          <w:sz w:val="20"/>
          <w:szCs w:val="20"/>
          <w:color w:val="auto"/>
        </w:rPr>
      </w:pPr>
      <w:r>
        <w:rPr>
          <w:rFonts w:ascii="Arial" w:cs="Arial" w:eastAsia="Arial" w:hAnsi="Arial"/>
          <w:sz w:val="18"/>
          <w:szCs w:val="18"/>
          <w:b w:val="1"/>
          <w:bCs w:val="1"/>
          <w:color w:val="auto"/>
        </w:rPr>
        <w:t>EXLSERVICE HOLDINGS, INC.</w:t>
      </w:r>
    </w:p>
    <w:p>
      <w:pPr>
        <w:spacing w:after="0" w:line="10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16"/>
                <w:szCs w:val="16"/>
                <w:color w:val="auto"/>
              </w:rPr>
            </w:pPr>
          </w:p>
        </w:tc>
      </w:tr>
      <w:tr>
        <w:trPr>
          <w:trHeight w:val="26"/>
        </w:trPr>
        <w:tc>
          <w:tcPr>
            <w:tcW w:w="5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2520" w:type="dxa"/>
            <w:vAlign w:val="bottom"/>
            <w:gridSpan w:val="4"/>
          </w:tcPr>
          <w:p>
            <w:pPr>
              <w:spacing w:after="0"/>
              <w:rPr>
                <w:sz w:val="2"/>
                <w:szCs w:val="2"/>
                <w:color w:val="auto"/>
              </w:rPr>
            </w:pPr>
          </w:p>
        </w:tc>
      </w:tr>
      <w:tr>
        <w:trPr>
          <w:trHeight w:val="189"/>
        </w:trPr>
        <w:tc>
          <w:tcPr>
            <w:tcW w:w="536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2500" w:type="dxa"/>
            <w:vAlign w:val="bottom"/>
            <w:tcBorders>
              <w:top w:val="single" w:sz="8" w:color="auto"/>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2520" w:type="dxa"/>
            <w:vAlign w:val="bottom"/>
            <w:tcBorders>
              <w:top w:val="single" w:sz="8" w:color="auto"/>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196"/>
        </w:trPr>
        <w:tc>
          <w:tcPr>
            <w:tcW w:w="53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2021</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1,412,044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295,489</w:t>
            </w:r>
          </w:p>
        </w:tc>
      </w:tr>
      <w:tr>
        <w:trPr>
          <w:trHeight w:val="229"/>
        </w:trPr>
        <w:tc>
          <w:tcPr>
            <w:tcW w:w="53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896,595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690,934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237,410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183,669</w:t>
            </w:r>
          </w:p>
        </w:tc>
      </w:tr>
      <w:tr>
        <w:trPr>
          <w:trHeight w:val="223"/>
        </w:trPr>
        <w:tc>
          <w:tcPr>
            <w:tcW w:w="53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3"/>
                <w:szCs w:val="23"/>
                <w:b w:val="1"/>
                <w:bCs w:val="1"/>
                <w:color w:val="auto"/>
                <w:vertAlign w:val="superscript"/>
              </w:rPr>
              <w:t>(1)</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515,449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431,359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137,293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111,820</w:t>
            </w:r>
          </w:p>
        </w:tc>
      </w:tr>
      <w:tr>
        <w:trPr>
          <w:trHeight w:val="210"/>
        </w:trPr>
        <w:tc>
          <w:tcPr>
            <w:tcW w:w="53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9"/>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38,671</w:t>
            </w:r>
          </w:p>
        </w:tc>
      </w:tr>
      <w:tr>
        <w:trPr>
          <w:trHeight w:val="230"/>
        </w:trPr>
        <w:tc>
          <w:tcPr>
            <w:tcW w:w="536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97,989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25,955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24,675</w:t>
            </w:r>
          </w:p>
        </w:tc>
      </w:tr>
      <w:tr>
        <w:trPr>
          <w:trHeight w:val="229"/>
        </w:trPr>
        <w:tc>
          <w:tcPr>
            <w:tcW w:w="5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14,225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12,416</w:t>
            </w:r>
          </w:p>
        </w:tc>
      </w:tr>
      <w:tr>
        <w:trPr>
          <w:trHeight w:val="22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75,762</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192,162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155,881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36,058</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Foreign exchange gain,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Other income/(loss), net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(4,508)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settlement of convertible notes</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w w:val="89"/>
              </w:rPr>
              <w:t>Income before income tax expense and earnings from equity affiliates</w:t>
            </w: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190,099</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146,561</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44,571</w:t>
            </w:r>
          </w:p>
        </w:tc>
        <w:tc>
          <w:tcPr>
            <w:tcW w:w="1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38,083</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9,831</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Income before earnings from equity affiliates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142,534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114,711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31,780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28,252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from equity-method investment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w w:val="95"/>
              </w:rPr>
              <w:t>Net income attributable to ExlService Holdings, Inc. stockholders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142,968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114,758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31,849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28,299</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5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1"/>
              </w:rPr>
              <w:t>Earnings per share attributable to ExlService Holdings, Inc. stockholders: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0.96</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0.85</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r>
      <w:tr>
        <w:trPr>
          <w:trHeight w:val="176"/>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w w:val="88"/>
              </w:rPr>
              <w:t>Weighted-average number of shares used in computing earnings per share</w:t>
            </w: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attributable to ExlService Holdings, Inc. stockholders:</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33,330,317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33,549,275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33,241,208</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33,446,852</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33,833,858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34,244,478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33,835,497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33,968,189</w:t>
            </w:r>
          </w:p>
        </w:tc>
      </w:tr>
    </w:tbl>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Exclusive of depreciation and amortization expense.</w:t>
      </w:r>
    </w:p>
    <w:p>
      <w:pPr>
        <w:sectPr>
          <w:pgSz w:w="11900" w:h="16838" w:orient="portrait"/>
          <w:cols w:equalWidth="0" w:num="1">
            <w:col w:w="10960"/>
          </w:cols>
          <w:pgMar w:left="460" w:top="1107"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 and share count)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Arial" w:cs="Arial" w:eastAsia="Arial" w:hAnsi="Arial"/>
                <w:sz w:val="15"/>
                <w:szCs w:val="15"/>
                <w:b w:val="1"/>
                <w:bCs w:val="1"/>
                <w:color w:val="auto"/>
              </w:rPr>
              <w:t>As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2022</w:t>
            </w:r>
          </w:p>
        </w:tc>
        <w:tc>
          <w:tcPr>
            <w:tcW w:w="140" w:type="dxa"/>
            <w:vAlign w:val="bottom"/>
          </w:tcPr>
          <w:p>
            <w:pPr>
              <w:spacing w:after="0"/>
              <w:rPr>
                <w:sz w:val="19"/>
                <w:szCs w:val="19"/>
                <w:color w:val="auto"/>
              </w:rPr>
            </w:pPr>
          </w:p>
        </w:tc>
        <w:tc>
          <w:tcPr>
            <w:tcW w:w="1500" w:type="dxa"/>
            <w:vAlign w:val="bottom"/>
          </w:tcPr>
          <w:p>
            <w:pPr>
              <w:jc w:val="right"/>
              <w:ind w:right="70"/>
              <w:spacing w:after="0"/>
              <w:rPr>
                <w:sz w:val="20"/>
                <w:szCs w:val="20"/>
                <w:color w:val="auto"/>
              </w:rPr>
            </w:pPr>
            <w:r>
              <w:rPr>
                <w:rFonts w:ascii="Arial" w:cs="Arial" w:eastAsia="Arial" w:hAnsi="Arial"/>
                <w:sz w:val="16"/>
                <w:szCs w:val="16"/>
                <w:b w:val="1"/>
                <w:bCs w:val="1"/>
                <w:color w:val="auto"/>
                <w:w w:val="91"/>
              </w:rPr>
              <w:t>December 31, 2021</w:t>
            </w:r>
          </w:p>
        </w:tc>
        <w:tc>
          <w:tcPr>
            <w:tcW w:w="0" w:type="dxa"/>
            <w:vAlign w:val="bottom"/>
          </w:tcPr>
          <w:p>
            <w:pPr>
              <w:spacing w:after="0"/>
              <w:rPr>
                <w:sz w:val="1"/>
                <w:szCs w:val="1"/>
                <w:color w:val="auto"/>
              </w:rPr>
            </w:pPr>
          </w:p>
        </w:tc>
      </w:tr>
      <w:tr>
        <w:trPr>
          <w:trHeight w:val="199"/>
        </w:trPr>
        <w:tc>
          <w:tcPr>
            <w:tcW w:w="7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135,337</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179,027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179,430</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259,222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194,232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62,971</w:t>
            </w:r>
          </w:p>
        </w:tc>
        <w:tc>
          <w:tcPr>
            <w:tcW w:w="0" w:type="dxa"/>
            <w:vAlign w:val="bottom"/>
          </w:tcPr>
          <w:p>
            <w:pPr>
              <w:spacing w:after="0"/>
              <w:rPr>
                <w:sz w:val="1"/>
                <w:szCs w:val="1"/>
                <w:color w:val="auto"/>
              </w:rPr>
            </w:pPr>
          </w:p>
        </w:tc>
      </w:tr>
      <w:tr>
        <w:trPr>
          <w:trHeight w:val="223"/>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612,794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578,144</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86,008</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55,347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76,692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55,791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21,404</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81,082</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405,637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403,902</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30,183</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1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7,789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long-term borrowings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260,016</w:t>
            </w:r>
          </w:p>
        </w:tc>
        <w:tc>
          <w:tcPr>
            <w:tcW w:w="0" w:type="dxa"/>
            <w:vAlign w:val="bottom"/>
          </w:tcPr>
          <w:p>
            <w:pPr>
              <w:spacing w:after="0"/>
              <w:rPr>
                <w:sz w:val="1"/>
                <w:szCs w:val="1"/>
                <w:color w:val="auto"/>
              </w:rPr>
            </w:pPr>
          </w:p>
        </w:tc>
      </w:tr>
      <w:tr>
        <w:trPr>
          <w:trHeight w:val="229"/>
        </w:trPr>
        <w:tc>
          <w:tcPr>
            <w:tcW w:w="7120" w:type="dxa"/>
            <w:vAlign w:val="bottom"/>
          </w:tcPr>
          <w:p>
            <w:pPr>
              <w:ind w:left="340"/>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18,782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employee costs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114,285</w:t>
            </w:r>
          </w:p>
        </w:tc>
        <w:tc>
          <w:tcPr>
            <w:tcW w:w="0" w:type="dxa"/>
            <w:vAlign w:val="bottom"/>
          </w:tcPr>
          <w:p>
            <w:pPr>
              <w:spacing w:after="0"/>
              <w:rPr>
                <w:sz w:val="1"/>
                <w:szCs w:val="1"/>
                <w:color w:val="auto"/>
              </w:rPr>
            </w:pPr>
          </w:p>
        </w:tc>
      </w:tr>
      <w:tr>
        <w:trPr>
          <w:trHeight w:val="230"/>
        </w:trPr>
        <w:tc>
          <w:tcPr>
            <w:tcW w:w="7120" w:type="dxa"/>
            <w:vAlign w:val="bottom"/>
          </w:tcPr>
          <w:p>
            <w:pPr>
              <w:ind w:left="340"/>
              <w:spacing w:after="0"/>
              <w:rPr>
                <w:sz w:val="20"/>
                <w:szCs w:val="20"/>
                <w:color w:val="auto"/>
              </w:rPr>
            </w:pPr>
            <w:r>
              <w:rPr>
                <w:rFonts w:ascii="Arial" w:cs="Arial" w:eastAsia="Arial" w:hAnsi="Arial"/>
                <w:sz w:val="16"/>
                <w:szCs w:val="16"/>
                <w:color w:val="auto"/>
              </w:rPr>
              <w:t>Accrued expenses and other current liabilities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95,352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76,350</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18,487</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Income taxes payable, net</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23"/>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277,946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495,686</w:t>
            </w: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6"/>
                <w:szCs w:val="16"/>
                <w:color w:val="auto"/>
              </w:rPr>
              <w:t>Long-term borrowings, less current portion</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 less current portion</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68,506</w:t>
            </w:r>
          </w:p>
        </w:tc>
        <w:tc>
          <w:tcPr>
            <w:tcW w:w="0" w:type="dxa"/>
            <w:vAlign w:val="bottom"/>
          </w:tcPr>
          <w:p>
            <w:pPr>
              <w:spacing w:after="0"/>
              <w:rPr>
                <w:sz w:val="1"/>
                <w:szCs w:val="1"/>
                <w:color w:val="auto"/>
              </w:rPr>
            </w:pPr>
          </w:p>
        </w:tc>
      </w:tr>
      <w:tr>
        <w:trPr>
          <w:trHeight w:val="230"/>
        </w:trPr>
        <w:tc>
          <w:tcPr>
            <w:tcW w:w="7120" w:type="dxa"/>
            <w:vAlign w:val="bottom"/>
          </w:tcPr>
          <w:p>
            <w:pPr>
              <w:ind w:left="20"/>
              <w:spacing w:after="0"/>
              <w:rPr>
                <w:sz w:val="20"/>
                <w:szCs w:val="20"/>
                <w:color w:val="auto"/>
              </w:rPr>
            </w:pPr>
            <w:r>
              <w:rPr>
                <w:rFonts w:ascii="Arial" w:cs="Arial" w:eastAsia="Arial" w:hAnsi="Arial"/>
                <w:sz w:val="16"/>
                <w:szCs w:val="16"/>
                <w:color w:val="auto"/>
              </w:rPr>
              <w:t>Deferred tax liabilities, net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24,591</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587,940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589,748</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b w:val="1"/>
                <w:bCs w:val="1"/>
                <w:color w:val="auto"/>
              </w:rPr>
              <w:t>ExlService Holdings, Inc. Stockholders’ equity:</w:t>
            </w: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6"/>
        </w:trPr>
        <w:tc>
          <w:tcPr>
            <w:tcW w:w="7120" w:type="dxa"/>
            <w:vAlign w:val="bottom"/>
          </w:tcPr>
          <w:p>
            <w:pPr>
              <w:ind w:left="440"/>
              <w:spacing w:after="0" w:line="166" w:lineRule="exact"/>
              <w:rPr>
                <w:sz w:val="20"/>
                <w:szCs w:val="20"/>
                <w:color w:val="auto"/>
              </w:rPr>
            </w:pPr>
            <w:r>
              <w:rPr>
                <w:rFonts w:ascii="Arial" w:cs="Arial" w:eastAsia="Arial" w:hAnsi="Arial"/>
                <w:sz w:val="16"/>
                <w:szCs w:val="16"/>
                <w:color w:val="auto"/>
                <w:w w:val="96"/>
              </w:rPr>
              <w:t>Common stock, $0.001 par value; 100,000,000 shares authorized, 39,987,976 shares issued and</w:t>
            </w: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20" w:type="dxa"/>
            <w:vAlign w:val="bottom"/>
          </w:tcPr>
          <w:p>
            <w:pPr>
              <w:ind w:left="440"/>
              <w:spacing w:after="0" w:line="162" w:lineRule="exact"/>
              <w:rPr>
                <w:sz w:val="20"/>
                <w:szCs w:val="20"/>
                <w:color w:val="auto"/>
              </w:rPr>
            </w:pPr>
            <w:r>
              <w:rPr>
                <w:rFonts w:ascii="Arial" w:cs="Arial" w:eastAsia="Arial" w:hAnsi="Arial"/>
                <w:sz w:val="16"/>
                <w:szCs w:val="16"/>
                <w:color w:val="auto"/>
              </w:rPr>
              <w:t>33,234,444 shares outstanding as of December 31, 2022 and 39,508,340 shares issued and</w:t>
            </w:r>
          </w:p>
        </w:tc>
        <w:tc>
          <w:tcPr>
            <w:tcW w:w="14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2"/>
        </w:trPr>
        <w:tc>
          <w:tcPr>
            <w:tcW w:w="7120" w:type="dxa"/>
            <w:vAlign w:val="bottom"/>
          </w:tcPr>
          <w:p>
            <w:pPr>
              <w:ind w:left="440"/>
              <w:spacing w:after="0"/>
              <w:rPr>
                <w:sz w:val="20"/>
                <w:szCs w:val="20"/>
                <w:color w:val="auto"/>
              </w:rPr>
            </w:pPr>
            <w:r>
              <w:rPr>
                <w:rFonts w:ascii="Arial" w:cs="Arial" w:eastAsia="Arial" w:hAnsi="Arial"/>
                <w:sz w:val="16"/>
                <w:szCs w:val="16"/>
                <w:color w:val="auto"/>
              </w:rPr>
              <w:t>33,291,482 shares outstanding as of December 31, 2021</w:t>
            </w:r>
          </w:p>
        </w:tc>
        <w:tc>
          <w:tcPr>
            <w:tcW w:w="14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395,742</w:t>
            </w:r>
          </w:p>
        </w:tc>
        <w:tc>
          <w:tcPr>
            <w:tcW w:w="0" w:type="dxa"/>
            <w:vAlign w:val="bottom"/>
          </w:tcPr>
          <w:p>
            <w:pPr>
              <w:spacing w:after="0"/>
              <w:rPr>
                <w:sz w:val="1"/>
                <w:szCs w:val="1"/>
                <w:color w:val="auto"/>
              </w:rPr>
            </w:pPr>
          </w:p>
        </w:tc>
      </w:tr>
      <w:tr>
        <w:trPr>
          <w:trHeight w:val="230"/>
        </w:trPr>
        <w:tc>
          <w:tcPr>
            <w:tcW w:w="7120" w:type="dxa"/>
            <w:vAlign w:val="bottom"/>
          </w:tcPr>
          <w:p>
            <w:pPr>
              <w:ind w:left="4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899,105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756,137</w:t>
            </w:r>
          </w:p>
        </w:tc>
        <w:tc>
          <w:tcPr>
            <w:tcW w:w="0" w:type="dxa"/>
            <w:vAlign w:val="bottom"/>
          </w:tcPr>
          <w:p>
            <w:pPr>
              <w:spacing w:after="0"/>
              <w:rPr>
                <w:sz w:val="1"/>
                <w:szCs w:val="1"/>
                <w:color w:val="auto"/>
              </w:rPr>
            </w:pPr>
          </w:p>
        </w:tc>
      </w:tr>
      <w:tr>
        <w:trPr>
          <w:trHeight w:val="229"/>
        </w:trPr>
        <w:tc>
          <w:tcPr>
            <w:tcW w:w="7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(89,474)</w:t>
            </w: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40"/>
              <w:spacing w:after="0"/>
              <w:rPr>
                <w:sz w:val="20"/>
                <w:szCs w:val="20"/>
                <w:color w:val="auto"/>
              </w:rPr>
            </w:pPr>
            <w:r>
              <w:rPr>
                <w:rFonts w:ascii="Arial" w:cs="Arial" w:eastAsia="Arial" w:hAnsi="Arial"/>
                <w:sz w:val="16"/>
                <w:szCs w:val="16"/>
                <w:b w:val="1"/>
                <w:bCs w:val="1"/>
                <w:color w:val="auto"/>
              </w:rPr>
              <w:t>Total including shares held in treasury</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1,200,110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1,062,445</w:t>
            </w:r>
          </w:p>
        </w:tc>
        <w:tc>
          <w:tcPr>
            <w:tcW w:w="0" w:type="dxa"/>
            <w:vAlign w:val="bottom"/>
          </w:tcPr>
          <w:p>
            <w:pPr>
              <w:spacing w:after="0"/>
              <w:rPr>
                <w:sz w:val="1"/>
                <w:szCs w:val="1"/>
                <w:color w:val="auto"/>
              </w:rPr>
            </w:pPr>
          </w:p>
        </w:tc>
      </w:tr>
      <w:tr>
        <w:trPr>
          <w:trHeight w:val="146"/>
        </w:trPr>
        <w:tc>
          <w:tcPr>
            <w:tcW w:w="7120" w:type="dxa"/>
            <w:vAlign w:val="bottom"/>
            <w:shd w:val="clear" w:color="auto" w:fill="CCEEFF"/>
          </w:tcPr>
          <w:p>
            <w:pPr>
              <w:ind w:left="240"/>
              <w:spacing w:after="0" w:line="146" w:lineRule="exact"/>
              <w:rPr>
                <w:sz w:val="20"/>
                <w:szCs w:val="20"/>
                <w:color w:val="auto"/>
              </w:rPr>
            </w:pPr>
            <w:r>
              <w:rPr>
                <w:rFonts w:ascii="Arial" w:cs="Arial" w:eastAsia="Arial" w:hAnsi="Arial"/>
                <w:sz w:val="16"/>
                <w:szCs w:val="16"/>
                <w:color w:val="auto"/>
                <w:w w:val="91"/>
              </w:rPr>
              <w:t>Less: 6,753,532 shares as of December 31, 2022 and 6,216,858 shares as of December 31, 2021, held in</w:t>
            </w:r>
          </w:p>
        </w:tc>
        <w:tc>
          <w:tcPr>
            <w:tcW w:w="14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(441,931)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(369,289)</w:t>
            </w:r>
          </w:p>
        </w:tc>
        <w:tc>
          <w:tcPr>
            <w:tcW w:w="0" w:type="dxa"/>
            <w:vAlign w:val="bottom"/>
          </w:tcPr>
          <w:p>
            <w:pPr>
              <w:spacing w:after="0"/>
              <w:rPr>
                <w:sz w:val="1"/>
                <w:szCs w:val="1"/>
                <w:color w:val="auto"/>
              </w:rPr>
            </w:pPr>
          </w:p>
        </w:tc>
      </w:tr>
      <w:tr>
        <w:trPr>
          <w:trHeight w:val="212"/>
        </w:trPr>
        <w:tc>
          <w:tcPr>
            <w:tcW w:w="71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treasury, at cost</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758,179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693,156</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1,346,119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1,282,904</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520"/>
          </w:cols>
          <w:pgMar w:left="680" w:top="891" w:right="6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83" w:lineRule="exact"/>
        <w:rPr>
          <w:sz w:val="20"/>
          <w:szCs w:val="20"/>
          <w:color w:val="auto"/>
        </w:rPr>
      </w:pPr>
    </w:p>
    <w:p>
      <w:pPr>
        <w:ind w:firstLine="405"/>
        <w:spacing w:after="0" w:line="324" w:lineRule="auto"/>
        <w:rPr>
          <w:sz w:val="20"/>
          <w:szCs w:val="20"/>
          <w:color w:val="auto"/>
        </w:rPr>
      </w:pPr>
      <w:r>
        <w:rPr>
          <w:rFonts w:ascii="Arial" w:cs="Arial" w:eastAsia="Arial" w:hAnsi="Arial"/>
          <w:sz w:val="18"/>
          <w:szCs w:val="18"/>
          <w:color w:val="auto"/>
        </w:rPr>
        <w:t>In addition to its reported operating results in accordance with U.S. generally accepted accounting principles (GAAP), EXL has included in this release certain financial measures that are considered non-GAAP financial measures, including the following:</w:t>
      </w:r>
    </w:p>
    <w:p>
      <w:pPr>
        <w:spacing w:after="0" w:line="103" w:lineRule="exact"/>
        <w:rPr>
          <w:sz w:val="20"/>
          <w:szCs w:val="20"/>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operating income and adjusted operating income margin;</w:t>
      </w:r>
    </w:p>
    <w:p>
      <w:pPr>
        <w:spacing w:after="0" w:line="76"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EBITDA and adjusted EBITDA margin;</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Adjusted net income and adjusted diluted earnings per share; and</w:t>
      </w:r>
    </w:p>
    <w:p>
      <w:pPr>
        <w:spacing w:after="0" w:line="49" w:lineRule="exact"/>
        <w:rPr>
          <w:rFonts w:ascii="Arial" w:cs="Arial" w:eastAsia="Arial" w:hAnsi="Arial"/>
          <w:sz w:val="18"/>
          <w:szCs w:val="18"/>
          <w:color w:val="auto"/>
        </w:rPr>
      </w:pPr>
    </w:p>
    <w:p>
      <w:pPr>
        <w:ind w:left="1300" w:hanging="320"/>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growth on an organic constant currency basis.</w:t>
      </w:r>
    </w:p>
    <w:p>
      <w:pPr>
        <w:spacing w:after="0" w:line="293" w:lineRule="exact"/>
        <w:rPr>
          <w:sz w:val="20"/>
          <w:szCs w:val="20"/>
          <w:color w:val="auto"/>
        </w:rPr>
      </w:pPr>
    </w:p>
    <w:p>
      <w:pPr>
        <w:jc w:val="both"/>
        <w:ind w:firstLine="405"/>
        <w:spacing w:after="0" w:line="343" w:lineRule="auto"/>
        <w:rPr>
          <w:sz w:val="20"/>
          <w:szCs w:val="20"/>
          <w:color w:val="auto"/>
        </w:rPr>
      </w:pPr>
      <w:r>
        <w:rPr>
          <w:rFonts w:ascii="Arial" w:cs="Arial" w:eastAsia="Arial" w:hAnsi="Arial"/>
          <w:sz w:val="16"/>
          <w:szCs w:val="16"/>
          <w:color w:val="auto"/>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further acquisitions and the currency fluctuations and associated tax impacts. As such, the Company presents guidance with respect to adjusted diluted earnings per share. The Company also incurs significant non-cash charges for depreciation that may not be indicative of the Company’s ability to generate cash flow.</w:t>
      </w:r>
    </w:p>
    <w:p>
      <w:pPr>
        <w:spacing w:after="0" w:line="206" w:lineRule="exact"/>
        <w:rPr>
          <w:sz w:val="20"/>
          <w:szCs w:val="20"/>
          <w:color w:val="auto"/>
        </w:rPr>
      </w:pPr>
    </w:p>
    <w:p>
      <w:pPr>
        <w:jc w:val="both"/>
        <w:ind w:firstLine="405"/>
        <w:spacing w:after="0" w:line="303" w:lineRule="auto"/>
        <w:rPr>
          <w:sz w:val="20"/>
          <w:szCs w:val="20"/>
          <w:color w:val="auto"/>
        </w:rPr>
      </w:pPr>
      <w:r>
        <w:rPr>
          <w:rFonts w:ascii="Arial" w:cs="Arial" w:eastAsia="Arial" w:hAnsi="Arial"/>
          <w:sz w:val="18"/>
          <w:szCs w:val="18"/>
          <w:color w:val="auto"/>
        </w:rPr>
        <w:t>EXL non-GAAP financial measures exclude, where applicable, stock-based compensation expense, amortization of acquisition-related intangible assets, provision for litigation settlement, non-cash interest expense on convertible senior notes, impairment charges on acquired long-lived and intangible assets including goodwill, gains or losses on settlement of convertible notes, restructuring charges, effects of termination of leases, certain defined social security contributions,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spacing w:after="0" w:line="21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8"/>
          <w:szCs w:val="18"/>
          <w:color w:val="auto"/>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spacing w:after="0" w:line="211" w:lineRule="exact"/>
        <w:rPr>
          <w:sz w:val="20"/>
          <w:szCs w:val="20"/>
          <w:color w:val="auto"/>
        </w:rPr>
      </w:pPr>
    </w:p>
    <w:p>
      <w:pPr>
        <w:jc w:val="both"/>
        <w:ind w:firstLine="405"/>
        <w:spacing w:after="0" w:line="350" w:lineRule="auto"/>
        <w:rPr>
          <w:sz w:val="20"/>
          <w:szCs w:val="20"/>
          <w:color w:val="auto"/>
        </w:rPr>
      </w:pPr>
      <w:r>
        <w:rPr>
          <w:rFonts w:ascii="Arial" w:cs="Arial" w:eastAsia="Arial" w:hAnsi="Arial"/>
          <w:sz w:val="16"/>
          <w:szCs w:val="16"/>
          <w:color w:val="auto"/>
        </w:rPr>
        <w:t>The information provided on an organic constant currency basis reflects a comparison of current period results translated at the prior period currency rates and exclude the impact from an acquisition for a twelve-month period from the date of the acquisition. This information is provided because EXL believes that it provides useful comparative incremental information to investors regarding EXL’s true operating performance. EXL’s primary exchange rate exposure is with the Indian rupee, the U.K. pound sterling and the Philippine peso. The average exchange rate of the U.S. dollar against the Indian rupee increased from 74.79 during the quarter ended December 31, 2021 to 82.31 during the quarter ended December 31, 2022, representing a depreciation of 10.1% against the U.S. dollar. The average exchange rate of the U.S. dollar against the Philippine peso increased</w:t>
      </w:r>
    </w:p>
    <w:p>
      <w:pPr>
        <w:sectPr>
          <w:pgSz w:w="11900" w:h="16838" w:orient="portrait"/>
          <w:cols w:equalWidth="0" w:num="1">
            <w:col w:w="11240"/>
          </w:cols>
          <w:pgMar w:left="320" w:top="985" w:right="339" w:bottom="1440" w:gutter="0" w:footer="0" w:header="0"/>
        </w:sectPr>
      </w:pPr>
    </w:p>
    <w:bookmarkStart w:id="11" w:name="page12"/>
    <w:bookmarkEnd w:id="11"/>
    <w:p>
      <w:pPr>
        <w:jc w:val="both"/>
        <w:spacing w:after="0" w:line="336" w:lineRule="auto"/>
        <w:rPr>
          <w:sz w:val="20"/>
          <w:szCs w:val="20"/>
          <w:color w:val="auto"/>
        </w:rPr>
      </w:pPr>
      <w:r>
        <w:rPr>
          <w:rFonts w:ascii="Arial" w:cs="Arial" w:eastAsia="Arial" w:hAnsi="Arial"/>
          <w:sz w:val="17"/>
          <w:szCs w:val="17"/>
          <w:color w:val="auto"/>
        </w:rPr>
        <w:t>from 50.60 during the quarter ended December 31, 2021 to 56.76 during the quarter ended December 31, 2022, representing a depreciation of 12.2% against the U.S. dollar. The average exchange rate of the U.K. pound sterling against the U.S. dollar decreased from 1.35 during the quarter ended December 31, 2021 to 1.19 during the quarter ended December 31, 2022, representing a depreciation of 12.0% against the U.S. dollar.</w:t>
      </w:r>
    </w:p>
    <w:p>
      <w:pPr>
        <w:spacing w:after="0" w:line="205" w:lineRule="exact"/>
        <w:rPr>
          <w:sz w:val="20"/>
          <w:szCs w:val="20"/>
          <w:color w:val="auto"/>
        </w:rPr>
      </w:pPr>
    </w:p>
    <w:p>
      <w:pPr>
        <w:jc w:val="both"/>
        <w:ind w:firstLine="405"/>
        <w:spacing w:after="0" w:line="324" w:lineRule="auto"/>
        <w:rPr>
          <w:sz w:val="20"/>
          <w:szCs w:val="20"/>
          <w:color w:val="auto"/>
        </w:rPr>
      </w:pPr>
      <w:r>
        <w:rPr>
          <w:rFonts w:ascii="Arial" w:cs="Arial" w:eastAsia="Arial" w:hAnsi="Arial"/>
          <w:sz w:val="18"/>
          <w:szCs w:val="18"/>
          <w:color w:val="auto"/>
        </w:rPr>
        <w:t>The following table shows the reconciliation of these non-GAAP financial measures for the year ended December 31, 2022 and 2021, the three months ended December 31, 2022 and 2021 and the three months ended September 30, 2022:</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11" w:lineRule="exact"/>
        <w:rPr>
          <w:sz w:val="20"/>
          <w:szCs w:val="20"/>
          <w:color w:val="auto"/>
        </w:rPr>
      </w:pPr>
    </w:p>
    <w:tbl>
      <w:tblPr>
        <w:tblLayout w:type="fixed"/>
        <w:tblInd w:w="60" w:type="dxa"/>
        <w:tblCellMar>
          <w:top w:w="0" w:type="dxa"/>
          <w:left w:w="0" w:type="dxa"/>
          <w:bottom w:w="0" w:type="dxa"/>
          <w:right w:w="0" w:type="dxa"/>
        </w:tblCellMar>
      </w:tblPr>
      <w:tr>
        <w:trPr>
          <w:trHeight w:val="227"/>
        </w:trPr>
        <w:tc>
          <w:tcPr>
            <w:tcW w:w="4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Year ended</w:t>
            </w:r>
          </w:p>
        </w:tc>
        <w:tc>
          <w:tcPr>
            <w:tcW w:w="7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1"/>
              </w:rPr>
              <w:t>Three months ended</w:t>
            </w:r>
          </w:p>
        </w:tc>
        <w:tc>
          <w:tcPr>
            <w:tcW w:w="12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3"/>
              </w:rPr>
              <w:t>September 30,</w:t>
            </w:r>
          </w:p>
        </w:tc>
        <w:tc>
          <w:tcPr>
            <w:tcW w:w="0" w:type="dxa"/>
            <w:vAlign w:val="bottom"/>
          </w:tcPr>
          <w:p>
            <w:pPr>
              <w:spacing w:after="0"/>
              <w:rPr>
                <w:sz w:val="1"/>
                <w:szCs w:val="1"/>
                <w:color w:val="auto"/>
              </w:rPr>
            </w:pPr>
          </w:p>
        </w:tc>
      </w:tr>
      <w:tr>
        <w:trPr>
          <w:trHeight w:val="209"/>
        </w:trPr>
        <w:tc>
          <w:tcPr>
            <w:tcW w:w="4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4"/>
              </w:rPr>
              <w:t>2021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142,968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6"/>
              </w:rPr>
              <w:t>114,758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31,849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28,299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39,095</w:t>
            </w:r>
          </w:p>
        </w:tc>
        <w:tc>
          <w:tcPr>
            <w:tcW w:w="0" w:type="dxa"/>
            <w:vAlign w:val="bottom"/>
          </w:tcPr>
          <w:p>
            <w:pPr>
              <w:spacing w:after="0"/>
              <w:rPr>
                <w:sz w:val="1"/>
                <w:szCs w:val="1"/>
                <w:color w:val="auto"/>
              </w:rPr>
            </w:pPr>
          </w:p>
        </w:tc>
      </w:tr>
      <w:tr>
        <w:trPr>
          <w:trHeight w:val="213"/>
        </w:trPr>
        <w:tc>
          <w:tcPr>
            <w:tcW w:w="4400" w:type="dxa"/>
            <w:vAlign w:val="bottom"/>
          </w:tcPr>
          <w:p>
            <w:pPr>
              <w:ind w:left="340"/>
              <w:spacing w:after="0"/>
              <w:rPr>
                <w:sz w:val="20"/>
                <w:szCs w:val="20"/>
                <w:color w:val="auto"/>
              </w:rPr>
            </w:pPr>
            <w:r>
              <w:rPr>
                <w:rFonts w:ascii="Arial" w:cs="Arial" w:eastAsia="Arial" w:hAnsi="Arial"/>
                <w:sz w:val="16"/>
                <w:szCs w:val="16"/>
                <w:color w:val="auto"/>
              </w:rPr>
              <w:t>add: Income tax expense</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47,565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31,850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12,791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9,831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12,447</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add/(subtract): Other income/(expense) (a)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1,629</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9,273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6,355</w:t>
            </w:r>
          </w:p>
        </w:tc>
        <w:tc>
          <w:tcPr>
            <w:tcW w:w="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(2,072)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(1,431)</w:t>
            </w:r>
          </w:p>
        </w:tc>
        <w:tc>
          <w:tcPr>
            <w:tcW w:w="0" w:type="dxa"/>
            <w:vAlign w:val="bottom"/>
          </w:tcPr>
          <w:p>
            <w:pPr>
              <w:spacing w:after="0"/>
              <w:rPr>
                <w:sz w:val="1"/>
                <w:szCs w:val="1"/>
                <w:color w:val="auto"/>
              </w:rPr>
            </w:pPr>
          </w:p>
        </w:tc>
      </w:tr>
      <w:tr>
        <w:trPr>
          <w:trHeight w:val="207"/>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ind w:right="119"/>
              <w:spacing w:after="0"/>
              <w:rPr>
                <w:sz w:val="20"/>
                <w:szCs w:val="20"/>
                <w:color w:val="auto"/>
              </w:rPr>
            </w:pPr>
            <w:r>
              <w:rPr>
                <w:rFonts w:ascii="Arial" w:cs="Arial" w:eastAsia="Arial" w:hAnsi="Arial"/>
                <w:sz w:val="16"/>
                <w:szCs w:val="16"/>
                <w:b w:val="1"/>
                <w:bCs w:val="1"/>
                <w:color w:val="auto"/>
              </w:rPr>
              <w:t>192,162</w:t>
            </w:r>
          </w:p>
        </w:tc>
        <w:tc>
          <w:tcPr>
            <w:tcW w:w="100" w:type="dxa"/>
            <w:vAlign w:val="bottom"/>
          </w:tcPr>
          <w:p>
            <w:pPr>
              <w:spacing w:after="0"/>
              <w:rPr>
                <w:sz w:val="17"/>
                <w:szCs w:val="17"/>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w w:val="96"/>
              </w:rPr>
              <w:t>155,881</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139"/>
              <w:spacing w:after="0"/>
              <w:rPr>
                <w:sz w:val="20"/>
                <w:szCs w:val="20"/>
                <w:color w:val="auto"/>
              </w:rPr>
            </w:pPr>
            <w:r>
              <w:rPr>
                <w:rFonts w:ascii="Arial" w:cs="Arial" w:eastAsia="Arial" w:hAnsi="Arial"/>
                <w:sz w:val="16"/>
                <w:szCs w:val="16"/>
                <w:b w:val="1"/>
                <w:bCs w:val="1"/>
                <w:color w:val="auto"/>
              </w:rPr>
              <w:t>50,995</w:t>
            </w:r>
          </w:p>
        </w:tc>
        <w:tc>
          <w:tcPr>
            <w:tcW w:w="80" w:type="dxa"/>
            <w:vAlign w:val="bottom"/>
          </w:tcPr>
          <w:p>
            <w:pPr>
              <w:spacing w:after="0"/>
              <w:rPr>
                <w:sz w:val="17"/>
                <w:szCs w:val="17"/>
                <w:color w:val="auto"/>
              </w:rPr>
            </w:pPr>
          </w:p>
        </w:tc>
        <w:tc>
          <w:tcPr>
            <w:tcW w:w="44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119"/>
              <w:spacing w:after="0"/>
              <w:rPr>
                <w:sz w:val="20"/>
                <w:szCs w:val="20"/>
                <w:color w:val="auto"/>
              </w:rPr>
            </w:pPr>
            <w:r>
              <w:rPr>
                <w:rFonts w:ascii="Arial" w:cs="Arial" w:eastAsia="Arial" w:hAnsi="Arial"/>
                <w:sz w:val="16"/>
                <w:szCs w:val="16"/>
                <w:b w:val="1"/>
                <w:bCs w:val="1"/>
                <w:color w:val="auto"/>
              </w:rPr>
              <w:t>36,058</w:t>
            </w: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50,111</w:t>
            </w:r>
          </w:p>
        </w:tc>
        <w:tc>
          <w:tcPr>
            <w:tcW w:w="0" w:type="dxa"/>
            <w:vAlign w:val="bottom"/>
          </w:tcPr>
          <w:p>
            <w:pPr>
              <w:spacing w:after="0"/>
              <w:rPr>
                <w:sz w:val="1"/>
                <w:szCs w:val="1"/>
                <w:color w:val="auto"/>
              </w:rPr>
            </w:pPr>
          </w:p>
        </w:tc>
      </w:tr>
      <w:tr>
        <w:trPr>
          <w:trHeight w:val="219"/>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49,366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12,616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9,825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12,186</w:t>
            </w:r>
          </w:p>
        </w:tc>
        <w:tc>
          <w:tcPr>
            <w:tcW w:w="0" w:type="dxa"/>
            <w:vAlign w:val="bottom"/>
          </w:tcPr>
          <w:p>
            <w:pPr>
              <w:spacing w:after="0"/>
              <w:rPr>
                <w:sz w:val="1"/>
                <w:szCs w:val="1"/>
                <w:color w:val="auto"/>
              </w:rPr>
            </w:pPr>
          </w:p>
        </w:tc>
      </w:tr>
      <w:tr>
        <w:trPr>
          <w:trHeight w:val="213"/>
        </w:trPr>
        <w:tc>
          <w:tcPr>
            <w:tcW w:w="4400" w:type="dxa"/>
            <w:vAlign w:val="bottom"/>
          </w:tcPr>
          <w:p>
            <w:pPr>
              <w:ind w:left="340"/>
              <w:spacing w:after="0"/>
              <w:rPr>
                <w:sz w:val="20"/>
                <w:szCs w:val="20"/>
                <w:color w:val="auto"/>
              </w:rPr>
            </w:pPr>
            <w:r>
              <w:rPr>
                <w:rFonts w:ascii="Arial" w:cs="Arial" w:eastAsia="Arial" w:hAnsi="Arial"/>
                <w:sz w:val="16"/>
                <w:szCs w:val="16"/>
                <w:color w:val="auto"/>
              </w:rPr>
              <w:t>add: Amortization of acquisition-related intangibles</w:t>
            </w:r>
          </w:p>
        </w:tc>
        <w:tc>
          <w:tcPr>
            <w:tcW w:w="28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17,109</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12,778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39"/>
              <w:spacing w:after="0"/>
              <w:rPr>
                <w:sz w:val="20"/>
                <w:szCs w:val="20"/>
                <w:color w:val="auto"/>
              </w:rPr>
            </w:pPr>
            <w:r>
              <w:rPr>
                <w:rFonts w:ascii="Arial" w:cs="Arial" w:eastAsia="Arial" w:hAnsi="Arial"/>
                <w:sz w:val="16"/>
                <w:szCs w:val="16"/>
                <w:color w:val="auto"/>
              </w:rPr>
              <w:t>4,234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ind w:right="119"/>
              <w:spacing w:after="0"/>
              <w:rPr>
                <w:sz w:val="20"/>
                <w:szCs w:val="20"/>
                <w:color w:val="auto"/>
              </w:rPr>
            </w:pPr>
            <w:r>
              <w:rPr>
                <w:rFonts w:ascii="Arial" w:cs="Arial" w:eastAsia="Arial" w:hAnsi="Arial"/>
                <w:sz w:val="16"/>
                <w:szCs w:val="16"/>
                <w:color w:val="auto"/>
              </w:rPr>
              <w:t>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add/(subtract): Other expenses (b)</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(560)</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212"/>
        </w:trPr>
        <w:tc>
          <w:tcPr>
            <w:tcW w:w="4400" w:type="dxa"/>
            <w:vAlign w:val="bottom"/>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258,597</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208,592</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67,285</w:t>
            </w:r>
          </w:p>
        </w:tc>
        <w:tc>
          <w:tcPr>
            <w:tcW w:w="8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50,193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66,709</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400" w:type="dxa"/>
            <w:vAlign w:val="bottom"/>
            <w:shd w:val="clear" w:color="auto" w:fill="CCEEFF"/>
          </w:tcPr>
          <w:p>
            <w:pPr>
              <w:ind w:left="20"/>
              <w:spacing w:after="0" w:line="133" w:lineRule="exact"/>
              <w:rPr>
                <w:sz w:val="20"/>
                <w:szCs w:val="20"/>
                <w:color w:val="auto"/>
              </w:rPr>
            </w:pPr>
            <w:r>
              <w:rPr>
                <w:rFonts w:ascii="Arial" w:cs="Arial" w:eastAsia="Arial" w:hAnsi="Arial"/>
                <w:sz w:val="15"/>
                <w:szCs w:val="15"/>
                <w:i w:val="1"/>
                <w:iCs w:val="1"/>
                <w:color w:val="auto"/>
              </w:rPr>
              <w:t>Adjusted operating income margin as a % of Revenue (Non-</w:t>
            </w:r>
          </w:p>
        </w:tc>
        <w:tc>
          <w:tcPr>
            <w:tcW w:w="28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18.3 %</w:t>
            </w: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18.6 %</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18.0 %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17.0 %</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i w:val="1"/>
                <w:iCs w:val="1"/>
                <w:color w:val="auto"/>
              </w:rPr>
              <w:t>18.5 %</w:t>
            </w: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GAAP)</w:t>
            </w:r>
          </w:p>
        </w:tc>
        <w:tc>
          <w:tcPr>
            <w:tcW w:w="2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add: Depreciation on long-lived assets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38,869</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36,354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9,687</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10,137</w:t>
            </w:r>
          </w:p>
        </w:tc>
        <w:tc>
          <w:tcPr>
            <w:tcW w:w="0" w:type="dxa"/>
            <w:vAlign w:val="bottom"/>
          </w:tcPr>
          <w:p>
            <w:pPr>
              <w:spacing w:after="0"/>
              <w:rPr>
                <w:sz w:val="1"/>
                <w:szCs w:val="1"/>
                <w:color w:val="auto"/>
              </w:rPr>
            </w:pPr>
          </w:p>
        </w:tc>
      </w:tr>
      <w:tr>
        <w:trPr>
          <w:trHeight w:val="23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297,466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96"/>
              </w:rPr>
              <w:t>244,946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76,972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59,611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76,846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EBITDA margin as a % of revenue (Non-GAAP)</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4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i w:val="1"/>
                <w:iCs w:val="1"/>
                <w:color w:val="auto"/>
              </w:rPr>
              <w:t>21.1 %</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i w:val="1"/>
                <w:iCs w:val="1"/>
                <w:color w:val="auto"/>
              </w:rPr>
              <w:t>20.5 %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i w:val="1"/>
                <w:iCs w:val="1"/>
                <w:color w:val="auto"/>
              </w:rPr>
              <w:t>20.2 %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21.3 %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80" w:hanging="229"/>
        <w:spacing w:after="0"/>
        <w:tabs>
          <w:tab w:leader="none" w:pos="480"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Include foreign exchange gain/(loss), interest expense, loss on settlement of convertible notes, gain/(loss) from equity-method investment and other income/(loss), net.</w:t>
      </w:r>
    </w:p>
    <w:p>
      <w:pPr>
        <w:spacing w:after="0" w:line="257" w:lineRule="exact"/>
        <w:rPr>
          <w:rFonts w:ascii="Arial" w:cs="Arial" w:eastAsia="Arial" w:hAnsi="Arial"/>
          <w:sz w:val="14"/>
          <w:szCs w:val="14"/>
          <w:i w:val="1"/>
          <w:iCs w:val="1"/>
          <w:color w:val="auto"/>
        </w:rPr>
      </w:pPr>
    </w:p>
    <w:p>
      <w:pPr>
        <w:jc w:val="both"/>
        <w:ind w:left="500" w:hanging="249"/>
        <w:spacing w:after="0" w:line="256" w:lineRule="auto"/>
        <w:tabs>
          <w:tab w:leader="none" w:pos="486"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acquisition-related expenses of Clairvoyant of $134 and $761, expenses related to defined social security contribution plan in India for historical periods of $386 and $nil and effects of lease termination of ($560) and $551 for the year ended December 31, 2022 and 2021, respectively. To exclude effects of lease termination of ($560) and $551 and acquisition-related expenses of Clairvoyant of $nil and $761 for the three months ended December 31, 2022 and 2021, respectively</w:t>
      </w:r>
      <w:r>
        <w:rPr>
          <w:rFonts w:ascii="Arial" w:cs="Arial" w:eastAsia="Arial" w:hAnsi="Arial"/>
          <w:sz w:val="16"/>
          <w:szCs w:val="16"/>
          <w:color w:val="auto"/>
        </w:rPr>
        <w:t>.</w:t>
      </w:r>
    </w:p>
    <w:p>
      <w:pPr>
        <w:sectPr>
          <w:pgSz w:w="11900" w:h="16838" w:orient="portrait"/>
          <w:cols w:equalWidth="0" w:num="1">
            <w:col w:w="11240"/>
          </w:cols>
          <w:pgMar w:left="320" w:top="9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per share data)</w:t>
      </w:r>
    </w:p>
    <w:p>
      <w:pPr>
        <w:spacing w:after="0" w:line="111" w:lineRule="exact"/>
        <w:rPr>
          <w:sz w:val="20"/>
          <w:szCs w:val="20"/>
          <w:color w:val="auto"/>
        </w:rPr>
      </w:pPr>
    </w:p>
    <w:tbl>
      <w:tblPr>
        <w:tblLayout w:type="fixed"/>
        <w:tblInd w:w="40" w:type="dxa"/>
        <w:tblCellMar>
          <w:top w:w="0" w:type="dxa"/>
          <w:left w:w="0" w:type="dxa"/>
          <w:bottom w:w="0" w:type="dxa"/>
          <w:right w:w="0" w:type="dxa"/>
        </w:tblCellMar>
      </w:tblPr>
      <w:tr>
        <w:trPr>
          <w:trHeight w:val="227"/>
        </w:trPr>
        <w:tc>
          <w:tcPr>
            <w:tcW w:w="48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Year ended</w:t>
            </w:r>
          </w:p>
        </w:tc>
        <w:tc>
          <w:tcPr>
            <w:tcW w:w="7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4"/>
              </w:rPr>
              <w:t>Three months ended</w:t>
            </w:r>
          </w:p>
        </w:tc>
        <w:tc>
          <w:tcPr>
            <w:tcW w:w="12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ind w:left="460"/>
              <w:spacing w:after="0"/>
              <w:rPr>
                <w:sz w:val="20"/>
                <w:szCs w:val="20"/>
                <w:color w:val="auto"/>
              </w:rPr>
            </w:pPr>
            <w:r>
              <w:rPr>
                <w:rFonts w:ascii="Arial" w:cs="Arial" w:eastAsia="Arial" w:hAnsi="Arial"/>
                <w:sz w:val="16"/>
                <w:szCs w:val="16"/>
                <w:b w:val="1"/>
                <w:bCs w:val="1"/>
                <w:color w:val="auto"/>
              </w:rPr>
              <w:t>December 31,</w:t>
            </w:r>
          </w:p>
        </w:tc>
        <w:tc>
          <w:tcPr>
            <w:tcW w:w="18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89"/>
              </w:rPr>
              <w:t>September 30,</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142,968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114,758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31,849</w:t>
            </w:r>
          </w:p>
        </w:tc>
        <w:tc>
          <w:tcPr>
            <w:tcW w:w="34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28,299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39,095</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add: Stock-based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49,366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38,621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9,825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12,186</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Amortization of acquisition-related intangibles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4,243</w:t>
            </w:r>
          </w:p>
        </w:tc>
        <w:tc>
          <w:tcPr>
            <w:tcW w:w="0" w:type="dxa"/>
            <w:vAlign w:val="bottom"/>
          </w:tcPr>
          <w:p>
            <w:pPr>
              <w:spacing w:after="0"/>
              <w:rPr>
                <w:sz w:val="1"/>
                <w:szCs w:val="1"/>
                <w:color w:val="auto"/>
              </w:rPr>
            </w:pPr>
          </w:p>
        </w:tc>
      </w:tr>
      <w:tr>
        <w:trPr>
          <w:trHeight w:val="179"/>
        </w:trPr>
        <w:tc>
          <w:tcPr>
            <w:tcW w:w="4880" w:type="dxa"/>
            <w:vAlign w:val="bottom"/>
          </w:tcPr>
          <w:p>
            <w:pPr>
              <w:ind w:left="20"/>
              <w:spacing w:after="0" w:line="179" w:lineRule="exact"/>
              <w:rPr>
                <w:sz w:val="20"/>
                <w:szCs w:val="20"/>
                <w:color w:val="auto"/>
              </w:rPr>
            </w:pPr>
            <w:r>
              <w:rPr>
                <w:rFonts w:ascii="Arial" w:cs="Arial" w:eastAsia="Arial" w:hAnsi="Arial"/>
                <w:sz w:val="16"/>
                <w:szCs w:val="16"/>
                <w:color w:val="auto"/>
                <w:w w:val="98"/>
              </w:rPr>
              <w:t>add: Non-cash interest expense and loss on settlement of convertible</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4880" w:type="dxa"/>
            <w:vAlign w:val="bottom"/>
          </w:tcPr>
          <w:p>
            <w:pPr>
              <w:ind w:left="20"/>
              <w:spacing w:after="0"/>
              <w:rPr>
                <w:sz w:val="20"/>
                <w:szCs w:val="20"/>
                <w:color w:val="auto"/>
              </w:rPr>
            </w:pPr>
            <w:r>
              <w:rPr>
                <w:rFonts w:ascii="Arial" w:cs="Arial" w:eastAsia="Arial" w:hAnsi="Arial"/>
                <w:sz w:val="16"/>
                <w:szCs w:val="16"/>
                <w:color w:val="auto"/>
              </w:rPr>
              <w:t>notes</w:t>
            </w:r>
          </w:p>
        </w:tc>
        <w:tc>
          <w:tcPr>
            <w:tcW w:w="26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14,640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 Effects of changes in fair value of contingent consideration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880" w:type="dxa"/>
            <w:vAlign w:val="bottom"/>
          </w:tcPr>
          <w:p>
            <w:pPr>
              <w:ind w:left="20"/>
              <w:spacing w:after="0"/>
              <w:rPr>
                <w:sz w:val="20"/>
                <w:szCs w:val="20"/>
                <w:color w:val="auto"/>
              </w:rPr>
            </w:pPr>
            <w:r>
              <w:rPr>
                <w:rFonts w:ascii="Arial" w:cs="Arial" w:eastAsia="Arial" w:hAnsi="Arial"/>
                <w:sz w:val="16"/>
                <w:szCs w:val="16"/>
                <w:color w:val="auto"/>
              </w:rPr>
              <w:t>add/(subtract): Other expenses/(benefits) (a)</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635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subtract: Tax impact on stock-based compensation expense (b)</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(2,833)</w:t>
            </w: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w w:val="98"/>
              </w:rPr>
              <w:t>subtract: Tax impact on amortization of acquisition-related intangibles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(4,151)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169"/>
        </w:trPr>
        <w:tc>
          <w:tcPr>
            <w:tcW w:w="48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2"/>
              </w:rPr>
              <w:t>subtract: Tax impact on non-cash interest expense and loss on settlement</w:t>
            </w:r>
          </w:p>
        </w:tc>
        <w:tc>
          <w:tcPr>
            <w:tcW w:w="26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(3,633)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 convertible notes</w:t>
            </w:r>
          </w:p>
        </w:tc>
        <w:tc>
          <w:tcPr>
            <w:tcW w:w="26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80" w:type="dxa"/>
            <w:vAlign w:val="bottom"/>
          </w:tcPr>
          <w:p>
            <w:pPr>
              <w:ind w:left="20"/>
              <w:spacing w:after="0"/>
              <w:rPr>
                <w:sz w:val="20"/>
                <w:szCs w:val="20"/>
                <w:color w:val="auto"/>
              </w:rPr>
            </w:pPr>
            <w:r>
              <w:rPr>
                <w:rFonts w:ascii="Arial" w:cs="Arial" w:eastAsia="Arial" w:hAnsi="Arial"/>
                <w:sz w:val="16"/>
                <w:szCs w:val="16"/>
                <w:color w:val="auto"/>
              </w:rPr>
              <w:t>add/(subtract): Tax impact on other expenses/(benefits)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add/(subtract): Other tax expenses/(benefits) (c)</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880" w:type="dxa"/>
            <w:vAlign w:val="bottom"/>
          </w:tcPr>
          <w:p>
            <w:pPr>
              <w:ind w:left="20"/>
              <w:spacing w:after="0"/>
              <w:rPr>
                <w:sz w:val="20"/>
                <w:szCs w:val="20"/>
                <w:color w:val="auto"/>
              </w:rPr>
            </w:pPr>
            <w:r>
              <w:rPr>
                <w:rFonts w:ascii="Arial" w:cs="Arial" w:eastAsia="Arial" w:hAnsi="Arial"/>
                <w:sz w:val="16"/>
                <w:szCs w:val="16"/>
                <w:b w:val="1"/>
                <w:bCs w:val="1"/>
                <w:color w:val="auto"/>
              </w:rPr>
              <w:t>Adjusted net income (Non-GAAP)</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203,534</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165,569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52,637</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41,170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52,100</w:t>
            </w:r>
          </w:p>
        </w:tc>
        <w:tc>
          <w:tcPr>
            <w:tcW w:w="0" w:type="dxa"/>
            <w:vAlign w:val="bottom"/>
          </w:tcPr>
          <w:p>
            <w:pPr>
              <w:spacing w:after="0"/>
              <w:rPr>
                <w:sz w:val="1"/>
                <w:szCs w:val="1"/>
                <w:color w:val="auto"/>
              </w:rPr>
            </w:pPr>
          </w:p>
        </w:tc>
      </w:tr>
      <w:tr>
        <w:trPr>
          <w:trHeight w:val="20"/>
        </w:trPr>
        <w:tc>
          <w:tcPr>
            <w:tcW w:w="4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Adjusted diluted earnings per share (Non-GAAP)</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b w:val="1"/>
                <w:bCs w:val="1"/>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4.83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jc w:val="both"/>
        <w:ind w:left="500" w:hanging="249"/>
        <w:spacing w:after="0" w:line="256" w:lineRule="auto"/>
        <w:tabs>
          <w:tab w:leader="none" w:pos="486"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expenses related to defined social security contribution plan in India for historical periods of $1,061 and $nil, acquisition-related expenses of Clairvoyant of $134 and $761 and effects of lease termination of ($560) and $551 for the year ended December 31, 2022 and 2021, respectively. To exclude effects of lease termination of ($560) and $551 and acquisition-related expenses of Clairvoyant of $nil and $761 for the three months ended December 31, 2022 and 2021, respectively.</w:t>
      </w:r>
    </w:p>
    <w:p>
      <w:pPr>
        <w:spacing w:after="0" w:line="213" w:lineRule="exact"/>
        <w:rPr>
          <w:rFonts w:ascii="Arial" w:cs="Arial" w:eastAsia="Arial" w:hAnsi="Arial"/>
          <w:sz w:val="16"/>
          <w:szCs w:val="16"/>
          <w:i w:val="1"/>
          <w:iCs w:val="1"/>
          <w:color w:val="auto"/>
        </w:rPr>
      </w:pPr>
    </w:p>
    <w:p>
      <w:pPr>
        <w:ind w:left="500" w:right="180" w:hanging="249"/>
        <w:spacing w:after="0" w:line="329" w:lineRule="auto"/>
        <w:tabs>
          <w:tab w:leader="none" w:pos="486" w:val="left"/>
        </w:tabs>
        <w:numPr>
          <w:ilvl w:val="0"/>
          <w:numId w:val="12"/>
        </w:numPr>
        <w:rPr>
          <w:rFonts w:ascii="Arial" w:cs="Arial" w:eastAsia="Arial" w:hAnsi="Arial"/>
          <w:sz w:val="14"/>
          <w:szCs w:val="14"/>
          <w:i w:val="1"/>
          <w:iCs w:val="1"/>
          <w:color w:val="auto"/>
        </w:rPr>
      </w:pPr>
      <w:r>
        <w:rPr>
          <w:rFonts w:ascii="Arial" w:cs="Arial" w:eastAsia="Arial" w:hAnsi="Arial"/>
          <w:sz w:val="14"/>
          <w:szCs w:val="14"/>
          <w:i w:val="1"/>
          <w:iCs w:val="1"/>
          <w:color w:val="auto"/>
        </w:rPr>
        <w:t>Tax impact includes $5,881 and $3,651 for the year ended December 31, 2022 and 2021, respectively, $2,349 and $2,095 for the three months ended December 31, 2022 and 2021, respectively related to discrete benefit recognized in income tax expense on adoption of ASU No. 2016-09, Compensation - Stock Compensation.</w:t>
      </w:r>
    </w:p>
    <w:p>
      <w:pPr>
        <w:spacing w:after="0" w:line="44" w:lineRule="exact"/>
        <w:rPr>
          <w:rFonts w:ascii="Arial" w:cs="Arial" w:eastAsia="Arial" w:hAnsi="Arial"/>
          <w:sz w:val="14"/>
          <w:szCs w:val="14"/>
          <w:i w:val="1"/>
          <w:iCs w:val="1"/>
          <w:color w:val="auto"/>
        </w:rPr>
      </w:pPr>
    </w:p>
    <w:p>
      <w:pPr>
        <w:ind w:left="480" w:hanging="229"/>
        <w:spacing w:after="0"/>
        <w:tabs>
          <w:tab w:leader="none" w:pos="48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To exclude other tax expense/(benefits) related to certain deferred tax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Contact: John Kristoff</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+1 212 209 4613</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ir@exlservice.com</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Keith Little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Senior Manager, Media Relations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+1 703 598 0980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media.relations@exlservice.com</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 UK, Europe, and APAC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Anna Price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First Light Group</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+44 202 617 7240</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exlteam@firstlightgroup.io</w:t>
      </w:r>
    </w:p>
    <w:p>
      <w:pPr>
        <w:sectPr>
          <w:pgSz w:w="11900" w:h="16838" w:orient="portrait"/>
          <w:cols w:equalWidth="0" w:num="1">
            <w:col w:w="11240"/>
          </w:cols>
          <w:pgMar w:left="320" w:top="891"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Media - India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Shailendra Singh</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Corporate Communications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+91 9810476075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shailendra.singh@exlservice.com</w:t>
      </w:r>
    </w:p>
    <w:sectPr>
      <w:pgSz w:w="11900" w:h="16838" w:orient="portrait"/>
      <w:cols w:equalWidth="0" w:num="1">
        <w:col w:w="10139"/>
      </w:cols>
      <w:pgMar w:left="320" w:top="11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Roman"/>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2023-02-23T05:20:08Z</dcterms:created>
  <dcterms:modified xsi:type="dcterms:W3CDTF">2023-02-23T05:20:08Z</dcterms:modified>
</cp:coreProperties>
</file>