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Arial" w:cs="Arial" w:eastAsia="Arial" w:hAnsi="Arial"/>
          <w:sz w:val="18"/>
          <w:szCs w:val="18"/>
          <w:color w:val="auto"/>
        </w:rPr>
        <w:t>As filed with the Securities and Exchange Commission on December 8, 2006</w:t>
      </w:r>
    </w:p>
    <w:p>
      <w:pPr>
        <w:spacing w:after="0" w:line="88"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-580390</wp:posOffset>
            </wp:positionH>
            <wp:positionV relativeFrom="paragraph">
              <wp:posOffset>116840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5" w:lineRule="exact"/>
        <w:rPr>
          <w:sz w:val="24"/>
          <w:szCs w:val="24"/>
          <w:color w:val="auto"/>
        </w:rPr>
      </w:pPr>
    </w:p>
    <w:p>
      <w:pPr>
        <w:jc w:val="center"/>
        <w:ind w:right="900"/>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00"/>
        <w:spacing w:after="0"/>
        <w:rPr>
          <w:sz w:val="20"/>
          <w:szCs w:val="20"/>
          <w:color w:val="auto"/>
        </w:rPr>
      </w:pPr>
      <w:r>
        <w:rPr>
          <w:rFonts w:ascii="Arial" w:cs="Arial" w:eastAsia="Arial" w:hAnsi="Arial"/>
          <w:sz w:val="32"/>
          <w:szCs w:val="32"/>
          <w:b w:val="1"/>
          <w:bCs w:val="1"/>
          <w:color w:val="auto"/>
        </w:rPr>
        <w:t>FORM S-8</w:t>
      </w:r>
    </w:p>
    <w:p>
      <w:pPr>
        <w:spacing w:after="0" w:line="171" w:lineRule="exact"/>
        <w:rPr>
          <w:sz w:val="24"/>
          <w:szCs w:val="24"/>
          <w:color w:val="auto"/>
        </w:rPr>
      </w:pPr>
    </w:p>
    <w:p>
      <w:pPr>
        <w:jc w:val="center"/>
        <w:ind w:right="900"/>
        <w:spacing w:after="0"/>
        <w:rPr>
          <w:sz w:val="20"/>
          <w:szCs w:val="20"/>
          <w:color w:val="auto"/>
        </w:rPr>
      </w:pPr>
      <w:r>
        <w:rPr>
          <w:rFonts w:ascii="Arial" w:cs="Arial" w:eastAsia="Arial" w:hAnsi="Arial"/>
          <w:sz w:val="24"/>
          <w:szCs w:val="24"/>
          <w:b w:val="1"/>
          <w:bCs w:val="1"/>
          <w:color w:val="auto"/>
        </w:rPr>
        <w:t>REGISTRATION STATEMENT</w:t>
      </w:r>
    </w:p>
    <w:p>
      <w:pPr>
        <w:spacing w:after="0" w:line="36" w:lineRule="exact"/>
        <w:rPr>
          <w:sz w:val="24"/>
          <w:szCs w:val="24"/>
          <w:color w:val="auto"/>
        </w:rPr>
      </w:pPr>
    </w:p>
    <w:p>
      <w:pPr>
        <w:jc w:val="center"/>
        <w:ind w:right="900"/>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ind w:right="900"/>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125095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5" w:lineRule="exact"/>
        <w:rPr>
          <w:sz w:val="24"/>
          <w:szCs w:val="24"/>
          <w:color w:val="auto"/>
        </w:rPr>
      </w:pPr>
    </w:p>
    <w:p>
      <w:pPr>
        <w:jc w:val="center"/>
        <w:ind w:right="900"/>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98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88"/>
              </w:rPr>
              <w:t>Delaware</w:t>
            </w:r>
          </w:p>
        </w:tc>
        <w:tc>
          <w:tcPr>
            <w:tcW w:w="1260" w:type="dxa"/>
            <w:vAlign w:val="bottom"/>
          </w:tcPr>
          <w:p>
            <w:pPr>
              <w:jc w:val="center"/>
              <w:ind w:left="10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5980" w:type="dxa"/>
            <w:vAlign w:val="bottom"/>
            <w:gridSpan w:val="3"/>
          </w:tcPr>
          <w:p>
            <w:pPr>
              <w:jc w:val="center"/>
              <w:ind w:right="42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6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80" w:type="dxa"/>
            <w:vAlign w:val="bottom"/>
            <w:gridSpan w:val="3"/>
          </w:tcPr>
          <w:p>
            <w:pPr>
              <w:jc w:val="center"/>
              <w:ind w:right="4220"/>
              <w:spacing w:after="0"/>
              <w:rPr>
                <w:sz w:val="20"/>
                <w:szCs w:val="20"/>
                <w:color w:val="auto"/>
              </w:rPr>
            </w:pPr>
            <w:r>
              <w:rPr>
                <w:rFonts w:ascii="Arial" w:cs="Arial" w:eastAsia="Arial" w:hAnsi="Arial"/>
                <w:sz w:val="14"/>
                <w:szCs w:val="14"/>
                <w:b w:val="1"/>
                <w:bCs w:val="1"/>
                <w:color w:val="auto"/>
                <w:w w:val="88"/>
              </w:rPr>
              <w:t>incorporation or organization)</w:t>
            </w:r>
          </w:p>
        </w:tc>
        <w:tc>
          <w:tcPr>
            <w:tcW w:w="1260" w:type="dxa"/>
            <w:vAlign w:val="bottom"/>
          </w:tcPr>
          <w:p>
            <w:pPr>
              <w:jc w:val="center"/>
              <w:ind w:left="126"/>
              <w:spacing w:after="0"/>
              <w:rPr>
                <w:sz w:val="20"/>
                <w:szCs w:val="20"/>
                <w:color w:val="auto"/>
              </w:rPr>
            </w:pPr>
            <w:r>
              <w:rPr>
                <w:rFonts w:ascii="Arial" w:cs="Arial" w:eastAsia="Arial" w:hAnsi="Arial"/>
                <w:sz w:val="14"/>
                <w:szCs w:val="14"/>
                <w:b w:val="1"/>
                <w:bCs w:val="1"/>
                <w:color w:val="auto"/>
                <w:w w:val="89"/>
              </w:rPr>
              <w:t>Identification No.)</w:t>
            </w:r>
          </w:p>
        </w:tc>
      </w:tr>
      <w:tr>
        <w:trPr>
          <w:trHeight w:val="190"/>
        </w:trPr>
        <w:tc>
          <w:tcPr>
            <w:tcW w:w="276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03"/>
        </w:trPr>
        <w:tc>
          <w:tcPr>
            <w:tcW w:w="2760" w:type="dxa"/>
            <w:vAlign w:val="bottom"/>
          </w:tcPr>
          <w:p>
            <w:pPr>
              <w:spacing w:after="0"/>
              <w:rPr>
                <w:sz w:val="24"/>
                <w:szCs w:val="24"/>
                <w:color w:val="auto"/>
              </w:rPr>
            </w:pPr>
          </w:p>
        </w:tc>
        <w:tc>
          <w:tcPr>
            <w:tcW w:w="32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8"/>
              </w:rPr>
              <w:t>350 Park Avenue</w:t>
            </w:r>
          </w:p>
        </w:tc>
        <w:tc>
          <w:tcPr>
            <w:tcW w:w="1260" w:type="dxa"/>
            <w:vAlign w:val="bottom"/>
          </w:tcPr>
          <w:p>
            <w:pPr>
              <w:spacing w:after="0"/>
              <w:rPr>
                <w:sz w:val="24"/>
                <w:szCs w:val="24"/>
                <w:color w:val="auto"/>
              </w:rPr>
            </w:pPr>
          </w:p>
        </w:tc>
      </w:tr>
      <w:tr>
        <w:trPr>
          <w:trHeight w:val="218"/>
        </w:trPr>
        <w:tc>
          <w:tcPr>
            <w:tcW w:w="5980" w:type="dxa"/>
            <w:vAlign w:val="bottom"/>
            <w:gridSpan w:val="3"/>
          </w:tcPr>
          <w:p>
            <w:pPr>
              <w:jc w:val="center"/>
              <w:ind w:left="1404"/>
              <w:spacing w:after="0"/>
              <w:rPr>
                <w:sz w:val="20"/>
                <w:szCs w:val="20"/>
                <w:color w:val="auto"/>
              </w:rPr>
            </w:pPr>
            <w:r>
              <w:rPr>
                <w:rFonts w:ascii="Arial" w:cs="Arial" w:eastAsia="Arial" w:hAnsi="Arial"/>
                <w:sz w:val="18"/>
                <w:szCs w:val="18"/>
                <w:b w:val="1"/>
                <w:bCs w:val="1"/>
                <w:color w:val="auto"/>
                <w:w w:val="89"/>
              </w:rPr>
              <w:t>New York, New York 10022</w:t>
            </w:r>
          </w:p>
        </w:tc>
        <w:tc>
          <w:tcPr>
            <w:tcW w:w="1260" w:type="dxa"/>
            <w:vAlign w:val="bottom"/>
          </w:tcPr>
          <w:p>
            <w:pPr>
              <w:spacing w:after="0"/>
              <w:rPr>
                <w:sz w:val="18"/>
                <w:szCs w:val="18"/>
                <w:color w:val="auto"/>
              </w:rPr>
            </w:pPr>
          </w:p>
        </w:tc>
      </w:tr>
      <w:tr>
        <w:trPr>
          <w:trHeight w:val="174"/>
        </w:trPr>
        <w:tc>
          <w:tcPr>
            <w:tcW w:w="598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5"/>
              </w:rPr>
              <w:t>(Address, including zip code, of Registrant’s principal executive offices)</w:t>
            </w:r>
          </w:p>
        </w:tc>
        <w:tc>
          <w:tcPr>
            <w:tcW w:w="12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111760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3"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 2003 Stock Option Plan</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 2003 India Employee Stock Option Plan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 2006 Omnibus Award Plan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 2006 Omnibus India Sub Plan 1</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 2006 Omnibus India Sub Plan 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113665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6"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113665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9" w:lineRule="exact"/>
        <w:rPr>
          <w:sz w:val="24"/>
          <w:szCs w:val="24"/>
          <w:color w:val="auto"/>
        </w:rPr>
      </w:pPr>
    </w:p>
    <w:tbl>
      <w:tblPr>
        <w:tblLayout w:type="fixed"/>
        <w:tblInd w:w="70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5300" w:type="dxa"/>
            <w:vAlign w:val="bottom"/>
          </w:tcPr>
          <w:p>
            <w:pPr>
              <w:ind w:left="620"/>
              <w:spacing w:after="0"/>
              <w:rPr>
                <w:sz w:val="20"/>
                <w:szCs w:val="20"/>
                <w:color w:val="auto"/>
              </w:rPr>
            </w:pPr>
            <w:r>
              <w:rPr>
                <w:rFonts w:ascii="Arial" w:cs="Arial" w:eastAsia="Arial" w:hAnsi="Arial"/>
                <w:sz w:val="14"/>
                <w:szCs w:val="14"/>
                <w:color w:val="auto"/>
              </w:rPr>
              <w:t>COPIES TO:</w:t>
            </w:r>
          </w:p>
        </w:tc>
      </w:tr>
      <w:tr>
        <w:trPr>
          <w:trHeight w:val="391"/>
        </w:trPr>
        <w:tc>
          <w:tcPr>
            <w:tcW w:w="312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John C. Kennedy, Esq.</w:t>
            </w:r>
          </w:p>
        </w:tc>
        <w:tc>
          <w:tcPr>
            <w:tcW w:w="5300" w:type="dxa"/>
            <w:vAlign w:val="bottom"/>
          </w:tcPr>
          <w:p>
            <w:pPr>
              <w:jc w:val="center"/>
              <w:ind w:left="2515"/>
              <w:spacing w:after="0"/>
              <w:rPr>
                <w:sz w:val="20"/>
                <w:szCs w:val="20"/>
                <w:color w:val="auto"/>
              </w:rPr>
            </w:pPr>
            <w:r>
              <w:rPr>
                <w:rFonts w:ascii="Arial" w:cs="Arial" w:eastAsia="Arial" w:hAnsi="Arial"/>
                <w:sz w:val="18"/>
                <w:szCs w:val="18"/>
                <w:b w:val="1"/>
                <w:bCs w:val="1"/>
                <w:color w:val="auto"/>
                <w:w w:val="88"/>
              </w:rPr>
              <w:t>Amit Shashank, Esq.</w:t>
            </w:r>
          </w:p>
        </w:tc>
      </w:tr>
      <w:tr>
        <w:trPr>
          <w:trHeight w:val="216"/>
        </w:trPr>
        <w:tc>
          <w:tcPr>
            <w:tcW w:w="3120" w:type="dxa"/>
            <w:vAlign w:val="bottom"/>
          </w:tcPr>
          <w:p>
            <w:pPr>
              <w:jc w:val="center"/>
              <w:ind w:right="552"/>
              <w:spacing w:after="0"/>
              <w:rPr>
                <w:sz w:val="20"/>
                <w:szCs w:val="20"/>
                <w:color w:val="auto"/>
              </w:rPr>
            </w:pPr>
            <w:r>
              <w:rPr>
                <w:rFonts w:ascii="Arial" w:cs="Arial" w:eastAsia="Arial" w:hAnsi="Arial"/>
                <w:sz w:val="18"/>
                <w:szCs w:val="18"/>
                <w:b w:val="1"/>
                <w:bCs w:val="1"/>
                <w:color w:val="auto"/>
                <w:w w:val="91"/>
              </w:rPr>
              <w:t>Paul, Weiss, Rifkind, Wharton &amp;</w:t>
            </w:r>
          </w:p>
        </w:tc>
        <w:tc>
          <w:tcPr>
            <w:tcW w:w="5300" w:type="dxa"/>
            <w:vAlign w:val="bottom"/>
          </w:tcPr>
          <w:p>
            <w:pPr>
              <w:jc w:val="center"/>
              <w:ind w:left="2515"/>
              <w:spacing w:after="0"/>
              <w:rPr>
                <w:sz w:val="20"/>
                <w:szCs w:val="20"/>
                <w:color w:val="auto"/>
              </w:rPr>
            </w:pPr>
            <w:r>
              <w:rPr>
                <w:rFonts w:ascii="Arial" w:cs="Arial" w:eastAsia="Arial" w:hAnsi="Arial"/>
                <w:sz w:val="18"/>
                <w:szCs w:val="18"/>
                <w:b w:val="1"/>
                <w:bCs w:val="1"/>
                <w:color w:val="auto"/>
                <w:w w:val="87"/>
              </w:rPr>
              <w:t>General Counsel and Vice President</w:t>
            </w:r>
          </w:p>
        </w:tc>
      </w:tr>
      <w:tr>
        <w:trPr>
          <w:trHeight w:val="216"/>
        </w:trPr>
        <w:tc>
          <w:tcPr>
            <w:tcW w:w="312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Garrison LLP</w:t>
            </w:r>
          </w:p>
        </w:tc>
        <w:tc>
          <w:tcPr>
            <w:tcW w:w="5300" w:type="dxa"/>
            <w:vAlign w:val="bottom"/>
          </w:tcPr>
          <w:p>
            <w:pPr>
              <w:jc w:val="center"/>
              <w:ind w:left="2515"/>
              <w:spacing w:after="0"/>
              <w:rPr>
                <w:sz w:val="20"/>
                <w:szCs w:val="20"/>
                <w:color w:val="auto"/>
              </w:rPr>
            </w:pPr>
            <w:r>
              <w:rPr>
                <w:rFonts w:ascii="Arial" w:cs="Arial" w:eastAsia="Arial" w:hAnsi="Arial"/>
                <w:sz w:val="18"/>
                <w:szCs w:val="18"/>
                <w:b w:val="1"/>
                <w:bCs w:val="1"/>
                <w:color w:val="auto"/>
                <w:w w:val="88"/>
              </w:rPr>
              <w:t>ExlService Holdings, Inc.</w:t>
            </w:r>
          </w:p>
        </w:tc>
      </w:tr>
      <w:tr>
        <w:trPr>
          <w:trHeight w:val="216"/>
        </w:trPr>
        <w:tc>
          <w:tcPr>
            <w:tcW w:w="312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1285 Avenue of the Americas</w:t>
            </w:r>
          </w:p>
        </w:tc>
        <w:tc>
          <w:tcPr>
            <w:tcW w:w="5300" w:type="dxa"/>
            <w:vAlign w:val="bottom"/>
          </w:tcPr>
          <w:p>
            <w:pPr>
              <w:jc w:val="center"/>
              <w:ind w:left="2495"/>
              <w:spacing w:after="0"/>
              <w:rPr>
                <w:sz w:val="20"/>
                <w:szCs w:val="20"/>
                <w:color w:val="auto"/>
              </w:rPr>
            </w:pPr>
            <w:r>
              <w:rPr>
                <w:rFonts w:ascii="Arial" w:cs="Arial" w:eastAsia="Arial" w:hAnsi="Arial"/>
                <w:sz w:val="18"/>
                <w:szCs w:val="18"/>
                <w:b w:val="1"/>
                <w:bCs w:val="1"/>
                <w:color w:val="auto"/>
                <w:w w:val="88"/>
              </w:rPr>
              <w:t>350 Park Avenue</w:t>
            </w:r>
          </w:p>
        </w:tc>
      </w:tr>
      <w:tr>
        <w:trPr>
          <w:trHeight w:val="216"/>
        </w:trPr>
        <w:tc>
          <w:tcPr>
            <w:tcW w:w="312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New York, New York 10019–6064</w:t>
            </w:r>
          </w:p>
        </w:tc>
        <w:tc>
          <w:tcPr>
            <w:tcW w:w="5300" w:type="dxa"/>
            <w:vAlign w:val="bottom"/>
          </w:tcPr>
          <w:p>
            <w:pPr>
              <w:jc w:val="center"/>
              <w:ind w:left="2515"/>
              <w:spacing w:after="0"/>
              <w:rPr>
                <w:sz w:val="20"/>
                <w:szCs w:val="20"/>
                <w:color w:val="auto"/>
              </w:rPr>
            </w:pPr>
            <w:r>
              <w:rPr>
                <w:rFonts w:ascii="Arial" w:cs="Arial" w:eastAsia="Arial" w:hAnsi="Arial"/>
                <w:sz w:val="18"/>
                <w:szCs w:val="18"/>
                <w:b w:val="1"/>
                <w:bCs w:val="1"/>
                <w:color w:val="auto"/>
                <w:w w:val="89"/>
              </w:rPr>
              <w:t>New York, New York 10022</w:t>
            </w:r>
          </w:p>
        </w:tc>
      </w:tr>
      <w:tr>
        <w:trPr>
          <w:trHeight w:val="228"/>
        </w:trPr>
        <w:tc>
          <w:tcPr>
            <w:tcW w:w="312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(212) 373-3000</w:t>
            </w:r>
          </w:p>
        </w:tc>
        <w:tc>
          <w:tcPr>
            <w:tcW w:w="5300" w:type="dxa"/>
            <w:vAlign w:val="bottom"/>
          </w:tcPr>
          <w:p>
            <w:pPr>
              <w:jc w:val="center"/>
              <w:ind w:left="2515"/>
              <w:spacing w:after="0"/>
              <w:rPr>
                <w:sz w:val="20"/>
                <w:szCs w:val="20"/>
                <w:color w:val="auto"/>
              </w:rPr>
            </w:pPr>
            <w:r>
              <w:rPr>
                <w:rFonts w:ascii="Arial" w:cs="Arial" w:eastAsia="Arial" w:hAnsi="Arial"/>
                <w:sz w:val="18"/>
                <w:szCs w:val="18"/>
                <w:b w:val="1"/>
                <w:bCs w:val="1"/>
                <w:color w:val="auto"/>
                <w:w w:val="89"/>
              </w:rPr>
              <w:t>(212) 277-7100</w:t>
            </w:r>
          </w:p>
        </w:tc>
      </w:tr>
    </w:tbl>
    <w:p>
      <w:pPr>
        <w:sectPr>
          <w:pgSz w:w="11900" w:h="16838" w:orient="portrait"/>
          <w:cols w:equalWidth="0" w:num="1">
            <w:col w:w="10500"/>
          </w:cols>
          <w:pgMar w:left="1160" w:top="2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40" w:type="dxa"/>
            <w:vAlign w:val="bottom"/>
            <w:tcBorders>
              <w:top w:val="single" w:sz="8" w:color="auto"/>
              <w:right w:val="single" w:sz="8" w:color="auto"/>
            </w:tcBorders>
          </w:tcPr>
          <w:p>
            <w:pPr>
              <w:spacing w:after="0"/>
              <w:rPr>
                <w:sz w:val="12"/>
                <w:szCs w:val="12"/>
                <w:color w:val="auto"/>
              </w:rPr>
            </w:pPr>
          </w:p>
        </w:tc>
        <w:tc>
          <w:tcPr>
            <w:tcW w:w="204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jc w:val="center"/>
              <w:ind w:left="20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760" w:type="dxa"/>
            <w:vAlign w:val="bottom"/>
            <w:tcBorders>
              <w:top w:val="single" w:sz="8" w:color="auto"/>
              <w:right w:val="single" w:sz="8" w:color="auto"/>
            </w:tcBorders>
          </w:tcPr>
          <w:p>
            <w:pPr>
              <w:jc w:val="center"/>
              <w:ind w:left="22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300" w:type="dxa"/>
            <w:vAlign w:val="bottom"/>
            <w:tcBorders>
              <w:top w:val="single" w:sz="8" w:color="auto"/>
            </w:tcBorders>
          </w:tcPr>
          <w:p>
            <w:pPr>
              <w:jc w:val="center"/>
              <w:ind w:left="24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040" w:type="dxa"/>
            <w:vAlign w:val="bottom"/>
            <w:tcBorders>
              <w:right w:val="single" w:sz="8" w:color="auto"/>
            </w:tcBorders>
          </w:tcPr>
          <w:p>
            <w:pPr>
              <w:jc w:val="center"/>
              <w:ind w:left="180"/>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760" w:type="dxa"/>
            <w:vAlign w:val="bottom"/>
            <w:tcBorders>
              <w:right w:val="single" w:sz="8" w:color="auto"/>
            </w:tcBorders>
          </w:tcPr>
          <w:p>
            <w:pPr>
              <w:jc w:val="center"/>
              <w:ind w:left="204"/>
              <w:spacing w:after="0" w:line="149" w:lineRule="exact"/>
              <w:rPr>
                <w:sz w:val="20"/>
                <w:szCs w:val="20"/>
                <w:color w:val="auto"/>
              </w:rPr>
            </w:pPr>
            <w:r>
              <w:rPr>
                <w:rFonts w:ascii="Arial" w:cs="Arial" w:eastAsia="Arial" w:hAnsi="Arial"/>
                <w:sz w:val="14"/>
                <w:szCs w:val="14"/>
                <w:b w:val="1"/>
                <w:bCs w:val="1"/>
                <w:color w:val="auto"/>
                <w:w w:val="90"/>
              </w:rPr>
              <w:t>Offering Price Per</w:t>
            </w:r>
          </w:p>
        </w:tc>
        <w:tc>
          <w:tcPr>
            <w:tcW w:w="1760" w:type="dxa"/>
            <w:vAlign w:val="bottom"/>
            <w:tcBorders>
              <w:right w:val="single" w:sz="8" w:color="auto"/>
            </w:tcBorders>
          </w:tcPr>
          <w:p>
            <w:pPr>
              <w:jc w:val="center"/>
              <w:ind w:left="20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0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5"/>
        </w:trPr>
        <w:tc>
          <w:tcPr>
            <w:tcW w:w="20" w:type="dxa"/>
            <w:vAlign w:val="bottom"/>
          </w:tcPr>
          <w:p>
            <w:pPr>
              <w:spacing w:after="0"/>
              <w:rPr>
                <w:sz w:val="15"/>
                <w:szCs w:val="15"/>
                <w:color w:val="auto"/>
              </w:rPr>
            </w:pP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 to be Registered</w:t>
            </w:r>
          </w:p>
        </w:tc>
        <w:tc>
          <w:tcPr>
            <w:tcW w:w="2040" w:type="dxa"/>
            <w:vAlign w:val="bottom"/>
            <w:tcBorders>
              <w:bottom w:val="single" w:sz="8" w:color="auto"/>
              <w:right w:val="single" w:sz="8" w:color="auto"/>
            </w:tcBorders>
          </w:tcPr>
          <w:p>
            <w:pPr>
              <w:jc w:val="center"/>
              <w:ind w:left="200"/>
              <w:spacing w:after="0"/>
              <w:rPr>
                <w:sz w:val="20"/>
                <w:szCs w:val="20"/>
                <w:color w:val="auto"/>
              </w:rPr>
            </w:pPr>
            <w:r>
              <w:rPr>
                <w:rFonts w:ascii="Arial" w:cs="Arial" w:eastAsia="Arial" w:hAnsi="Arial"/>
                <w:sz w:val="14"/>
                <w:szCs w:val="14"/>
                <w:b w:val="1"/>
                <w:bCs w:val="1"/>
                <w:color w:val="auto"/>
                <w:w w:val="85"/>
              </w:rPr>
              <w:t>Registered (1)</w:t>
            </w:r>
          </w:p>
        </w:tc>
        <w:tc>
          <w:tcPr>
            <w:tcW w:w="1760" w:type="dxa"/>
            <w:vAlign w:val="bottom"/>
            <w:tcBorders>
              <w:bottom w:val="single" w:sz="8" w:color="auto"/>
              <w:right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88"/>
              </w:rPr>
              <w:t>Unit</w:t>
            </w:r>
          </w:p>
        </w:tc>
        <w:tc>
          <w:tcPr>
            <w:tcW w:w="1760" w:type="dxa"/>
            <w:vAlign w:val="bottom"/>
            <w:tcBorders>
              <w:bottom w:val="single" w:sz="8" w:color="auto"/>
              <w:right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w w:val="87"/>
              </w:rPr>
              <w:t>Fee(2)</w:t>
            </w:r>
          </w:p>
        </w:tc>
      </w:tr>
      <w:tr>
        <w:trPr>
          <w:trHeight w:val="210"/>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20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8"/>
                <w:szCs w:val="18"/>
                <w:color w:val="auto"/>
                <w:w w:val="85"/>
              </w:rPr>
              <w:t>1,712,464 shares(3)</w:t>
            </w:r>
          </w:p>
        </w:tc>
        <w:tc>
          <w:tcPr>
            <w:tcW w:w="1760" w:type="dxa"/>
            <w:vAlign w:val="bottom"/>
            <w:tcBorders>
              <w:bottom w:val="single" w:sz="8" w:color="auto"/>
              <w:right w:val="single" w:sz="8" w:color="auto"/>
            </w:tcBorders>
          </w:tcPr>
          <w:p>
            <w:pPr>
              <w:jc w:val="right"/>
              <w:ind w:right="384"/>
              <w:spacing w:after="0"/>
              <w:rPr>
                <w:sz w:val="20"/>
                <w:szCs w:val="20"/>
                <w:color w:val="auto"/>
              </w:rPr>
            </w:pPr>
            <w:r>
              <w:rPr>
                <w:rFonts w:ascii="Arial" w:cs="Arial" w:eastAsia="Arial" w:hAnsi="Arial"/>
                <w:sz w:val="18"/>
                <w:szCs w:val="18"/>
                <w:color w:val="auto"/>
              </w:rPr>
              <w:t>$7.12(4)</w:t>
            </w:r>
          </w:p>
        </w:tc>
        <w:tc>
          <w:tcPr>
            <w:tcW w:w="1760" w:type="dxa"/>
            <w:vAlign w:val="bottom"/>
            <w:tcBorders>
              <w:bottom w:val="single" w:sz="8" w:color="auto"/>
              <w:right w:val="single" w:sz="8" w:color="auto"/>
            </w:tcBorders>
          </w:tcPr>
          <w:p>
            <w:pPr>
              <w:jc w:val="center"/>
              <w:ind w:left="164"/>
              <w:spacing w:after="0"/>
              <w:rPr>
                <w:sz w:val="20"/>
                <w:szCs w:val="20"/>
                <w:color w:val="auto"/>
              </w:rPr>
            </w:pPr>
            <w:r>
              <w:rPr>
                <w:rFonts w:ascii="Arial" w:cs="Arial" w:eastAsia="Arial" w:hAnsi="Arial"/>
                <w:sz w:val="18"/>
                <w:szCs w:val="18"/>
                <w:color w:val="auto"/>
                <w:w w:val="88"/>
              </w:rPr>
              <w:t>$12,192,830(4)</w:t>
            </w:r>
          </w:p>
        </w:tc>
        <w:tc>
          <w:tcPr>
            <w:tcW w:w="1300" w:type="dxa"/>
            <w:vAlign w:val="bottom"/>
            <w:tcBorders>
              <w:bottom w:val="single" w:sz="8" w:color="auto"/>
            </w:tcBorders>
          </w:tcPr>
          <w:p>
            <w:pPr>
              <w:jc w:val="center"/>
              <w:ind w:left="182"/>
              <w:spacing w:after="0"/>
              <w:rPr>
                <w:sz w:val="20"/>
                <w:szCs w:val="20"/>
                <w:color w:val="auto"/>
              </w:rPr>
            </w:pPr>
            <w:r>
              <w:rPr>
                <w:rFonts w:ascii="Arial" w:cs="Arial" w:eastAsia="Arial" w:hAnsi="Arial"/>
                <w:sz w:val="18"/>
                <w:szCs w:val="18"/>
                <w:color w:val="auto"/>
                <w:w w:val="87"/>
              </w:rPr>
              <w:t>$1,305</w:t>
            </w:r>
          </w:p>
        </w:tc>
      </w:tr>
      <w:tr>
        <w:trPr>
          <w:trHeight w:val="210"/>
        </w:trPr>
        <w:tc>
          <w:tcPr>
            <w:tcW w:w="4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20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8"/>
                <w:szCs w:val="18"/>
                <w:color w:val="auto"/>
                <w:w w:val="85"/>
              </w:rPr>
              <w:t>2,614,934 shares(5)</w:t>
            </w:r>
          </w:p>
        </w:tc>
        <w:tc>
          <w:tcPr>
            <w:tcW w:w="176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8"/>
                <w:szCs w:val="18"/>
                <w:color w:val="auto"/>
              </w:rPr>
              <w:t>$20.81(6)</w:t>
            </w:r>
          </w:p>
        </w:tc>
        <w:tc>
          <w:tcPr>
            <w:tcW w:w="1760" w:type="dxa"/>
            <w:vAlign w:val="bottom"/>
            <w:tcBorders>
              <w:bottom w:val="single" w:sz="8" w:color="auto"/>
              <w:right w:val="single" w:sz="8" w:color="auto"/>
            </w:tcBorders>
          </w:tcPr>
          <w:p>
            <w:pPr>
              <w:jc w:val="center"/>
              <w:ind w:left="164"/>
              <w:spacing w:after="0"/>
              <w:rPr>
                <w:sz w:val="20"/>
                <w:szCs w:val="20"/>
                <w:color w:val="auto"/>
              </w:rPr>
            </w:pPr>
            <w:r>
              <w:rPr>
                <w:rFonts w:ascii="Arial" w:cs="Arial" w:eastAsia="Arial" w:hAnsi="Arial"/>
                <w:sz w:val="18"/>
                <w:szCs w:val="18"/>
                <w:color w:val="auto"/>
                <w:w w:val="88"/>
              </w:rPr>
              <w:t>$54,416,777(6)</w:t>
            </w:r>
          </w:p>
        </w:tc>
        <w:tc>
          <w:tcPr>
            <w:tcW w:w="1300" w:type="dxa"/>
            <w:vAlign w:val="bottom"/>
            <w:tcBorders>
              <w:bottom w:val="single" w:sz="8" w:color="auto"/>
            </w:tcBorders>
          </w:tcPr>
          <w:p>
            <w:pPr>
              <w:jc w:val="center"/>
              <w:ind w:left="182"/>
              <w:spacing w:after="0"/>
              <w:rPr>
                <w:sz w:val="20"/>
                <w:szCs w:val="20"/>
                <w:color w:val="auto"/>
              </w:rPr>
            </w:pPr>
            <w:r>
              <w:rPr>
                <w:rFonts w:ascii="Arial" w:cs="Arial" w:eastAsia="Arial" w:hAnsi="Arial"/>
                <w:sz w:val="18"/>
                <w:szCs w:val="18"/>
                <w:color w:val="auto"/>
                <w:w w:val="87"/>
              </w:rPr>
              <w:t>$5,823</w:t>
            </w:r>
          </w:p>
        </w:tc>
      </w:tr>
      <w:tr>
        <w:trPr>
          <w:trHeight w:val="236"/>
        </w:trPr>
        <w:tc>
          <w:tcPr>
            <w:tcW w:w="4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4,327,398 shares</w:t>
            </w:r>
          </w:p>
        </w:tc>
        <w:tc>
          <w:tcPr>
            <w:tcW w:w="17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center"/>
              <w:ind w:left="182"/>
              <w:spacing w:after="0"/>
              <w:rPr>
                <w:sz w:val="20"/>
                <w:szCs w:val="20"/>
                <w:color w:val="auto"/>
              </w:rPr>
            </w:pPr>
            <w:r>
              <w:rPr>
                <w:rFonts w:ascii="Arial" w:cs="Arial" w:eastAsia="Arial" w:hAnsi="Arial"/>
                <w:sz w:val="18"/>
                <w:szCs w:val="18"/>
                <w:color w:val="auto"/>
                <w:w w:val="87"/>
              </w:rPr>
              <w:t>$7,128</w:t>
            </w:r>
          </w:p>
        </w:tc>
      </w:tr>
    </w:tbl>
    <w:p>
      <w:pPr>
        <w:spacing w:after="0" w:line="70" w:lineRule="exact"/>
        <w:rPr>
          <w:sz w:val="20"/>
          <w:szCs w:val="20"/>
          <w:color w:val="auto"/>
        </w:rPr>
      </w:pPr>
    </w:p>
    <w:p>
      <w:pPr>
        <w:ind w:left="340" w:right="20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registration statement shall be deemed to cover any additional securities to be offered or issued from stock splits, stock dividends or similar transactions.</w:t>
      </w: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457(p) under the Securities Act, $2,120 of the registration fee was previously paid and unused in connection with ExlService Holdings, Inc.’s Registration Statement on Form S-1 (File No. 333-121001), originally filed on December 6, 2004, and such amount is offset against the total registration fee required hereunder.</w:t>
      </w:r>
    </w:p>
    <w:p>
      <w:pPr>
        <w:jc w:val="both"/>
        <w:ind w:left="340" w:right="28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Consists of (i) 915,164 shares of common stock underlying outstanding options granted under the ExlService Holdings, Inc. 2003 India Employee Stock Option Plan and the ExlService Holdings, Inc. 2003 Stock Option Plan and (ii) 797,300 shares of common stock underlying outstanding options granted under the ExlService Holdings, Inc. 2006 Omnibus Award Plan, the Exlservice Holdings, Inc. 2006 Omnibus India Sub Plan 1 and the ExlService Holdings, Inc. 2006 Omnibus India Sub Plan 2 (collectively, the “2006 Plans”).</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457(h) under the Securities Act, the proposed maximum offering price per share was determined based on the weighted average exercise price of the options granted.</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shares of common stock issuable in respect of awards to be granted under the 2006 Plans.</w:t>
      </w:r>
    </w:p>
    <w:p>
      <w:pPr>
        <w:ind w:left="340" w:right="24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457(c) and (h) under the Securities Act, the proposed maximum offering price per share was determined based on the average of the high and low prices of ExlService Holdings, Inc.’s common stock reported by the Nasdaq Stock Market on December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ExlService Holdings, Inc. has prepared this Registration Statement in accordance with the requirements of Form S-8 under the Securities Act of 1933, as amended, or the Securities Act, to register 4,327,398 shares of its common stock, par value $0.001 per share, which we refer to as the common stock, that are reserved for issuance upon exercise of options granted, or in respect of awards to be granted, under the ExlService Holdings, Inc. 2003 India Employee Stock Option Plan, which we refer to as the 2003 India Plan, the ExlService Holdings, Inc. 2003 Stock Option Plan, which we refer to as the 2003 Plan, the ExlService Holdings, Inc. 2006 Omnibus Award Plan, which we refer to as the 2006 Plan, the ExlService Holdings, Inc. 2006 Omnibus India Sub Plan 1, which we refer to as the 2006 India Sub Plan 1, and the ExlService Holdings, Inc. 2006 Omnibus India Sub Plan 2, which we refer to as the 2006 India Sub Plan 2.</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Plans as specified by Rule 428(b)(1) under the Securities Act. Such documents are not being filed with the Securities and Exchange Commission, but constitute, along with the documents incorporated by reference into this Registration Statement, a prospectus that meets the requirements of Section 10(a) of the Securities Act.</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COMPANY INFORMATION AND EMPLOYEE PLAN ANNUAL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 10(a) prospectus. Requests should be directed to ExlService Holdings, Inc., 350 Park Avenue, New York, New York 10022, Attention: General Counsel; Telephone number (212) 277-7100.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filed with the Commission by us are incorporated by reference in this Registration Statement:</w:t>
      </w:r>
    </w:p>
    <w:p>
      <w:pPr>
        <w:spacing w:after="0" w:line="90" w:lineRule="exact"/>
        <w:rPr>
          <w:sz w:val="20"/>
          <w:szCs w:val="20"/>
          <w:color w:val="auto"/>
        </w:rPr>
      </w:pPr>
    </w:p>
    <w:p>
      <w:pPr>
        <w:ind w:left="900" w:right="24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Registration Statement on Form S-1 (Registration No. 333-121001) filed with the Commission on December 6, 2004, as amended on each of February 1, 2005, April 18, 2005, July 28, 2006, September 18, 2006, October 4, 2006 and October 17, 2006;</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Registration Statement on Form S-1 (Registration No. 333-138104) filed with the Commission on October 19, 2006;</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set forth in our Registration Statement on Form 8-A filed pursuant to Section 12 of the Exchange Act on October 17, 2006, and any amendment or report filed for the purpose of updating any such description;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filed on November 30, 2006;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October 25, 2006.</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all reports and documents filed by us pursuant to Sections 13(a), 13(c), 14 or 15(d) of the Securities Exchange Act of 1934, as amended, subsequent to the date hereof and prior to the filing of a post-effective amendment which indicates that all securities offered hereby have been sold or which deregisters all securities then remaining unsold, shall be deemed to be incorporated by reference herein and made a part hereof from the date of the filing of such documents.</w:t>
      </w:r>
    </w:p>
    <w:p>
      <w:pPr>
        <w:spacing w:after="0" w:line="26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amounts paid in settlement actually and reasonably incurred by the person in connection with the action, suit or proceeding. The power to indemnify applies</w:t>
      </w:r>
    </w:p>
    <w:p>
      <w:pPr>
        <w:spacing w:after="0" w:line="38" w:lineRule="exact"/>
        <w:rPr>
          <w:sz w:val="20"/>
          <w:szCs w:val="20"/>
          <w:color w:val="auto"/>
        </w:rPr>
      </w:pPr>
    </w:p>
    <w:p>
      <w:pPr>
        <w:ind w:firstLine="8"/>
        <w:spacing w:after="0" w:line="290"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4" w:lineRule="exact"/>
        <w:rPr>
          <w:sz w:val="20"/>
          <w:szCs w:val="20"/>
          <w:color w:val="auto"/>
        </w:rPr>
      </w:pPr>
    </w:p>
    <w:p>
      <w:pPr>
        <w:ind w:left="920" w:right="140" w:hanging="784"/>
        <w:spacing w:after="0" w:line="268"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Certificate of Incorporation of ExlService Holdings, Inc. (incorporated by reference from Exhibit 3.1 to our Current Report on Form 8-K filed on October 25, 2006).</w:t>
      </w:r>
    </w:p>
    <w:p>
      <w:pPr>
        <w:spacing w:after="0" w:line="78" w:lineRule="exact"/>
        <w:rPr>
          <w:sz w:val="20"/>
          <w:szCs w:val="20"/>
          <w:color w:val="auto"/>
        </w:rPr>
      </w:pPr>
    </w:p>
    <w:p>
      <w:pPr>
        <w:ind w:left="920" w:right="160" w:hanging="784"/>
        <w:spacing w:after="0" w:line="268"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ExlService Holdings, Inc. (incorporated by reference from Exhibit 3.2 to our Current Report on Form 8-K filed on October 25, 2006).</w:t>
      </w:r>
    </w:p>
    <w:p>
      <w:pPr>
        <w:spacing w:after="0" w:line="7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Paul, Weiss, Rifkind, Wharton &amp; Garrison LLP regarding the legality of the common stock.</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Russell Bedford, Stefanou Mirchandani LLP.</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Paul, Weiss, Rifkind, Wharton &amp; Garrison LLP (included in Exhibit 5.1).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Undertakings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 w:name="page7"/>
    <w:bookmarkEnd w:id="6"/>
    <w:p>
      <w:pPr>
        <w:ind w:left="1026" w:right="480" w:hanging="567"/>
        <w:spacing w:after="0" w:line="268" w:lineRule="auto"/>
        <w:tabs>
          <w:tab w:leader="none" w:pos="102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6" w:right="1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(a)(i) and (a)(ii)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us pursuant to Section 13 or Section 15(d) of the Exchange Act that are incorporated by reference in the registration statement;</w:t>
      </w:r>
    </w:p>
    <w:p>
      <w:pPr>
        <w:spacing w:after="0" w:line="59" w:lineRule="exact"/>
        <w:rPr>
          <w:sz w:val="20"/>
          <w:szCs w:val="20"/>
          <w:color w:val="auto"/>
        </w:rPr>
      </w:pPr>
    </w:p>
    <w:p>
      <w:pPr>
        <w:ind w:left="446" w:right="240" w:hanging="446"/>
        <w:spacing w:after="0" w:line="259"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46" w:right="560" w:hanging="446"/>
        <w:spacing w:after="0" w:line="268"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hereby which remain unsold at the termination of the offering.</w:t>
      </w:r>
    </w:p>
    <w:p>
      <w:pPr>
        <w:spacing w:after="0" w:line="50" w:lineRule="exact"/>
        <w:rPr>
          <w:rFonts w:ascii="Arial" w:cs="Arial" w:eastAsia="Arial" w:hAnsi="Arial"/>
          <w:sz w:val="18"/>
          <w:szCs w:val="18"/>
          <w:color w:val="auto"/>
        </w:rPr>
      </w:pPr>
    </w:p>
    <w:p>
      <w:pPr>
        <w:ind w:left="446" w:right="20" w:hanging="446"/>
        <w:spacing w:after="0" w:line="255"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026" w:right="460" w:hanging="567"/>
        <w:spacing w:after="0" w:line="268"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50" w:lineRule="exact"/>
        <w:rPr>
          <w:rFonts w:ascii="Arial" w:cs="Arial" w:eastAsia="Arial" w:hAnsi="Arial"/>
          <w:sz w:val="18"/>
          <w:szCs w:val="18"/>
          <w:color w:val="auto"/>
        </w:rPr>
      </w:pPr>
    </w:p>
    <w:p>
      <w:pPr>
        <w:ind w:left="1026" w:right="560" w:hanging="567"/>
        <w:spacing w:after="0" w:line="268"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7" w:name="page8"/>
    <w:bookmarkEnd w:id="7"/>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in the registration statement shall be deemed to be a new registration statement relating to the securities offered therein, and the offering of such securities at that time shall be deemed to be the initial bona fide offering hereof.</w:t>
      </w:r>
    </w:p>
    <w:p>
      <w:pPr>
        <w:spacing w:after="0" w:line="51" w:lineRule="exact"/>
        <w:rPr>
          <w:sz w:val="20"/>
          <w:szCs w:val="20"/>
          <w:color w:val="auto"/>
        </w:rPr>
      </w:pPr>
    </w:p>
    <w:p>
      <w:pPr>
        <w:ind w:left="446" w:right="200" w:hanging="446"/>
        <w:spacing w:after="0" w:line="289" w:lineRule="auto"/>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6"/>
          </w:cols>
          <w:pgMar w:left="694" w:top="280"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ExlService Holdings, Inc. certifies that it has reasonable grounds to believe that it meets all of the requirements for filing on Form S-8 and has duly caused this registration statement to be signed on its behalf by the undersigned, thereunto duly authorized, in the City of New York, State of New York, on December 8, 2006.</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Vikram Talwar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each of Vikram Talwar, Rohit Kapoor and Amit Shashank,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on December 8, 2006, by the following persons in the capacities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960" w:type="dxa"/>
            <w:vAlign w:val="bottom"/>
            <w:gridSpan w:val="2"/>
          </w:tcPr>
          <w:p>
            <w:pPr>
              <w:jc w:val="center"/>
              <w:ind w:right="2400"/>
              <w:spacing w:after="0"/>
              <w:rPr>
                <w:sz w:val="20"/>
                <w:szCs w:val="20"/>
                <w:color w:val="auto"/>
              </w:rPr>
            </w:pPr>
            <w:r>
              <w:rPr>
                <w:rFonts w:ascii="Arial" w:cs="Arial" w:eastAsia="Arial" w:hAnsi="Arial"/>
                <w:sz w:val="14"/>
                <w:szCs w:val="14"/>
                <w:b w:val="1"/>
                <w:bCs w:val="1"/>
                <w:color w:val="auto"/>
                <w:w w:val="86"/>
              </w:rPr>
              <w:t>Signature</w:t>
            </w:r>
          </w:p>
        </w:tc>
        <w:tc>
          <w:tcPr>
            <w:tcW w:w="3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24"/>
        </w:trPr>
        <w:tc>
          <w:tcPr>
            <w:tcW w:w="53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/s/ Vikram Talwar</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w w:val="91"/>
              </w:rPr>
              <w:t>Chief Executive Officer and Director (Principal</w:t>
            </w:r>
          </w:p>
        </w:tc>
      </w:tr>
      <w:tr>
        <w:trPr>
          <w:trHeight w:val="218"/>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0"/>
              </w:rPr>
              <w:t>Vikram Talwar</w:t>
            </w:r>
          </w:p>
        </w:tc>
        <w:tc>
          <w:tcPr>
            <w:tcW w:w="428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Executive Officer)</w:t>
            </w:r>
          </w:p>
        </w:tc>
      </w:tr>
      <w:tr>
        <w:trPr>
          <w:trHeight w:val="331"/>
        </w:trPr>
        <w:tc>
          <w:tcPr>
            <w:tcW w:w="53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1"/>
              </w:rPr>
              <w:t>/s/ Rohit Kapoor</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w w:val="91"/>
              </w:rPr>
              <w:t>Chief Financial Officer, President and Director</w:t>
            </w:r>
          </w:p>
        </w:tc>
      </w:tr>
      <w:tr>
        <w:trPr>
          <w:trHeight w:val="216"/>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1"/>
              </w:rPr>
              <w:t>Rohit Kapoor</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w w:val="96"/>
              </w:rPr>
              <w:t>(Principal Financial and Accounting Officer)</w:t>
            </w:r>
          </w:p>
        </w:tc>
      </w:tr>
      <w:tr>
        <w:trPr>
          <w:trHeight w:val="330"/>
        </w:trPr>
        <w:tc>
          <w:tcPr>
            <w:tcW w:w="5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/s/ Steven B. Gruber</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Chairman of the Board</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87"/>
              </w:rPr>
              <w:t>Steven B. Gruber</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 Bradford E. Bernstein</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0"/>
              </w:rPr>
              <w:t>Bradford E. Bernstein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 Edward V. Dardani</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0"/>
              </w:rPr>
              <w:t>Edward V. Dardani</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/s/ James C. Hale, III</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89"/>
              </w:rPr>
              <w:t>James C. Hale, III</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1"/>
              </w:rPr>
              <w:t>/s/ David B. Kelso</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1"/>
              </w:rPr>
              <w:t>David B. Kelso</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Mohanbir Sawhney</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89"/>
              </w:rPr>
              <w:t>Dr. Mohanbir Sawhney</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0"/>
        </w:trPr>
        <w:tc>
          <w:tcPr>
            <w:tcW w:w="5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 Garen K. Staglin</w:t>
            </w:r>
          </w:p>
        </w:tc>
        <w:tc>
          <w:tcPr>
            <w:tcW w:w="42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r>
      <w:tr>
        <w:trPr>
          <w:trHeight w:val="217"/>
        </w:trPr>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0"/>
              </w:rPr>
              <w:t>Garen K. Staglin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0"/>
        </w:trPr>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218" w:lineRule="exact"/>
        <w:rPr>
          <w:sz w:val="20"/>
          <w:szCs w:val="20"/>
          <w:color w:val="auto"/>
        </w:rPr>
      </w:pPr>
    </w:p>
    <w:p>
      <w:pPr>
        <w:ind w:left="820" w:hanging="722"/>
        <w:spacing w:after="0" w:line="268"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Certificate of Incorporation of ExlService Holdings, Inc. (incorporated by reference from Exhibit 3.1 to our Current Report on Form 8-K filed on October 25, 2006).</w:t>
      </w:r>
    </w:p>
    <w:p>
      <w:pPr>
        <w:spacing w:after="0" w:line="78" w:lineRule="exact"/>
        <w:rPr>
          <w:sz w:val="20"/>
          <w:szCs w:val="20"/>
          <w:color w:val="auto"/>
        </w:rPr>
      </w:pPr>
    </w:p>
    <w:p>
      <w:pPr>
        <w:ind w:left="820" w:right="20" w:hanging="722"/>
        <w:spacing w:after="0" w:line="26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ExlService Holdings, Inc. (incorporated by reference from Exhibit 3.2 to our Current Report on Form 8-K filed on October 25, 2006).</w:t>
      </w:r>
    </w:p>
    <w:p>
      <w:pPr>
        <w:spacing w:after="0" w:line="7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Paul, Weiss, Rifkind, Wharton &amp; Garrison LLP regarding the legality of the common stock.</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Russell Bedford, Stefanou Mirchandani LLP.</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Paul, Weiss, Rifkind, Wharton &amp; Garrison LLP (included in Exhibit 5.1).</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Registration Statement on Form S-8 (the “Registration Statement”) of ExlService Holdings, Inc., a Delaware corporation (the “Company”), filed with the Securities and Exchange Commission (the “Commission”) pursuant to the Securities Act of 1933, as amended (the “Act”), and the rules and regulations thereunder (the “Rules”), you have asked us to furnish our opinion as to the legality of securities being registered under the Registration Statement. The Registration Statement relates to the registration under the Act of 4,327,398 shares of Common Stock, par value $0.001 per share, of the Company (the “Shares”). Of the Shares, (i) 1,712,464 Shares are shares of Common Stock to be issued upon exercise of outstanding options granted under the ExlService Holdings, Inc. 2003 India Employee Stock Option Plan and the ExlService Holdings, Inc. 2003 Stock Option Plan (together, the “2003 Plans”) or under the ExlService Holdings, Inc. 2006 Omnibus Award Plan, the ExlService Holdings, Inc. 2006 Omnibus India Sub Plan 1 and the ExlService Holdings, Inc. 2006 Omnibus India Sub Plan 2 (collectively, the “2006 Plans” and together with the 2003 Plans, the “Plans”) and (ii) 2,614,934 Shares are shares of Common Stock issuable in respect of awards to be granted under the 2006 Plans.</w:t>
      </w:r>
    </w:p>
    <w:p>
      <w:pPr>
        <w:sectPr>
          <w:pgSz w:w="11900" w:h="16838" w:orient="portrait"/>
          <w:cols w:equalWidth="0" w:num="1">
            <w:col w:w="11420"/>
          </w:cols>
          <w:pgMar w:left="240" w:top="131" w:right="239" w:bottom="1440" w:gutter="0" w:footer="0" w:header="0"/>
        </w:sectPr>
      </w:pPr>
    </w:p>
    <w:bookmarkStart w:id="11" w:name="page12"/>
    <w:bookmarkEnd w:id="11"/>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furnishing of this opinion, we have examined originals, or copies certified or otherwise identified to our satisfaction, of the following documents (collectively, the “Documents”):</w:t>
      </w:r>
    </w:p>
    <w:p>
      <w:pPr>
        <w:spacing w:after="0" w:line="132"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Plans and the forms of option agreement and restricted stock award agreement (collectively, the “Agreements”) relating to options to purchase, or other awards to acquire, Shares granted under the Plans.</w:t>
      </w:r>
    </w:p>
    <w:p>
      <w:pPr>
        <w:spacing w:after="0" w:line="131"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included as Exhibit 4.1 to the Company’s Current Report on Form 8-K filed with the Commission on October 25, 2006; and</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Amended and Restated Bylaws of the Company, included as Exhibit 4.2 to the Company’s Current Report on Form 8-K filed with the Commission on October 25, 2006.</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we have examined such corporate records of the Company that we have considered appropriate and such other certificates, agreements and documents that we deemed relevant and necessary as a basis for the opinions expressed below. We have also relied upon certificates of public officials and officers of the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2" w:name="page13"/>
    <w:bookmarkEnd w:id="12"/>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that the statements regarding matters of fact in the certificates, records, agreements, instruments and documents that we have examined are accurate and complete. We have also assumed that all approvals required under Indian law for the authorization and issuance of the Shares have been obtained.</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upon the above, and subject to the stated qualifications, we are of the opinion that, when issued in accordance with the terms of the Plans and any applicable Agreement under the Plans, 4,327,398 Shares will be duly authorized, validly issued, fully paid and non-assessable.</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opinion expressed above is limited to the General Corporation Law of the State of Delaware. Our opinion is rendered only with respect to the laws, and the rules, regulations, orders and applicable judicial and regulatory determinations under those laws, that are currently in effect.</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hereby consent to use of this opinion as an exhibit to the Registration Statement. In giving this consent, we do not thereby admit that we come within the category of persons whose consent is required by the Act or the Rules.</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PAUL, WEISS, RIFKIND, WHARTON &amp; GARRISON LLP</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5-8 No. 333-00000) and the related Prospectus of ExlService Holdings, Inc. for the registration of 4,327,398 shares of common stock pertaining to the 2003 Stock Option Plan, 2003 India Stock Employee Option Plan, 2006 Omnibus Award Plan, 2006 Omnibus India Subplan 1 and 2006 Omnibus India Subplan 2; and to the incorporation by reference therein of our report dated February 24, 2006, with respect to the consolidated financial statements of ExlService Holdings, Inc. at December 31, 2005 and for each of the three years in the period then ended included in its S-I Registration Statement,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207645</wp:posOffset>
            </wp:positionV>
            <wp:extent cx="164655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w:t>
      </w:r>
      <w:r>
        <w:rPr>
          <w:rFonts w:ascii="Arial" w:cs="Arial" w:eastAsia="Arial" w:hAnsi="Arial"/>
          <w:sz w:val="18"/>
          <w:szCs w:val="18"/>
          <w:i w:val="1"/>
          <w:iCs w:val="1"/>
          <w:color w:val="auto"/>
        </w:rPr>
        <w:t>5,</w:t>
      </w:r>
      <w:r>
        <w:rPr>
          <w:rFonts w:ascii="Arial" w:cs="Arial" w:eastAsia="Arial" w:hAnsi="Arial"/>
          <w:sz w:val="18"/>
          <w:szCs w:val="18"/>
          <w:color w:val="auto"/>
        </w:rPr>
        <w:t xml:space="preserve"> 2006</w:t>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Inductis, Inc.</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independent certified public accountants, we hereby consent to the inclusion in the Form S-8 Registration Statement of our report dated May 22, 2006, except for note 23(b) which is dated June 18, 2006, relating to the consolidated financial statements of Inductis, Inc. and to all references to our firm included in this Registration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Russell Bedford Stefanou Mirchandani, LLP</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Russell Bedford Stefanou Mirchandani,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w:t>
      </w:r>
      <w:r>
        <w:rPr>
          <w:rFonts w:ascii="Arial" w:cs="Arial" w:eastAsia="Arial" w:hAnsi="Arial"/>
          <w:sz w:val="18"/>
          <w:szCs w:val="18"/>
          <w:i w:val="1"/>
          <w:iCs w:val="1"/>
          <w:color w:val="auto"/>
        </w:rPr>
        <w:t>5,</w:t>
      </w:r>
      <w:r>
        <w:rPr>
          <w:rFonts w:ascii="Arial" w:cs="Arial" w:eastAsia="Arial" w:hAnsi="Arial"/>
          <w:sz w:val="18"/>
          <w:szCs w:val="18"/>
          <w:color w:val="auto"/>
        </w:rPr>
        <w:t xml:space="preserve">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Letter"/>
      <w:start w:val="1"/>
    </w:lvl>
    <w:lvl w:ilvl="1">
      <w:lvlJc w:val="left"/>
      <w:lvlText w:val="(%2)"/>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2"/>
    </w:lvl>
    <w:lvl w:ilvl="1">
      <w:lvlJc w:val="left"/>
      <w:lvlText w:val="(%2)"/>
      <w:numFmt w:val="lowerRoman"/>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2019-12-15T10:34:38Z</dcterms:created>
  <dcterms:modified xsi:type="dcterms:W3CDTF">2019-12-15T10:34:38Z</dcterms:modified>
</cp:coreProperties>
</file>