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191770</wp:posOffset>
            </wp:positionH>
            <wp:positionV relativeFrom="page">
              <wp:posOffset>534670</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-195580</wp:posOffset>
            </wp:positionV>
            <wp:extent cx="7186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6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Pursuant to Sections 13 or 15(d)</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2016</w:t>
      </w:r>
    </w:p>
    <w:p>
      <w:pPr>
        <w:spacing w:after="0" w:line="5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0860"/>
          </w:cols>
          <w:pgMar w:left="240" w:top="952" w:right="7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952" w:right="799" w:bottom="1440" w:gutter="0" w:footer="0" w:header="0"/>
          <w:type w:val="continuous"/>
        </w:sectPr>
      </w:pPr>
    </w:p>
    <w:p>
      <w:pPr>
        <w:spacing w:after="0" w:line="23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7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6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0860"/>
          </w:cols>
          <w:pgMar w:left="240" w:top="952" w:right="799" w:bottom="1440" w:gutter="0" w:footer="0" w:header="0"/>
          <w:type w:val="continuous"/>
        </w:sectPr>
      </w:pP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364" w:lineRule="exact"/>
        <w:rPr>
          <w:sz w:val="24"/>
          <w:szCs w:val="24"/>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Times New Roman" w:cs="Times New Roman" w:eastAsia="Times New Roman" w:hAnsi="Times New Roman"/>
          <w:sz w:val="18"/>
          <w:szCs w:val="18"/>
          <w:color w:val="auto"/>
        </w:rPr>
      </w:pPr>
    </w:p>
    <w:p>
      <w:pPr>
        <w:ind w:left="600" w:hanging="565"/>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206375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120650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860"/>
          </w:cols>
          <w:pgMar w:left="240" w:top="952" w:right="7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October 27, 2016, ExlService Holdings, Inc. (the “Company”) reported its results of operations for the three months ended September 30, 2016.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9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Press Release, dated October 27, 2016 (furnished pursuant to Item 2.02).</w:t>
            </w:r>
          </w:p>
        </w:tc>
      </w:tr>
    </w:tbl>
    <w:p>
      <w:pPr>
        <w:sectPr>
          <w:pgSz w:w="11900" w:h="16838" w:orient="portrait"/>
          <w:cols w:equalWidth="0" w:num="1">
            <w:col w:w="11280"/>
          </w:cols>
          <w:pgMar w:left="240" w:top="59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380" w:type="dxa"/>
            <w:vAlign w:val="bottom"/>
          </w:tcPr>
          <w:p>
            <w:pPr>
              <w:spacing w:after="0"/>
              <w:rPr>
                <w:sz w:val="20"/>
                <w:szCs w:val="20"/>
                <w:color w:val="auto"/>
              </w:rPr>
            </w:pPr>
          </w:p>
        </w:tc>
        <w:tc>
          <w:tcPr>
            <w:tcW w:w="2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(Registrant)</w:t>
            </w:r>
          </w:p>
        </w:tc>
        <w:tc>
          <w:tcPr>
            <w:tcW w:w="5020" w:type="dxa"/>
            <w:vAlign w:val="bottom"/>
          </w:tcPr>
          <w:p>
            <w:pPr>
              <w:spacing w:after="0"/>
              <w:rPr>
                <w:sz w:val="20"/>
                <w:szCs w:val="20"/>
                <w:color w:val="auto"/>
              </w:rPr>
            </w:pPr>
          </w:p>
        </w:tc>
      </w:tr>
      <w:tr>
        <w:trPr>
          <w:trHeight w:val="86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2016</w:t>
            </w:r>
          </w:p>
        </w:tc>
        <w:tc>
          <w:tcPr>
            <w:tcW w:w="2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Nancy Saltzman</w:t>
            </w:r>
          </w:p>
        </w:tc>
      </w:tr>
      <w:tr>
        <w:trPr>
          <w:trHeight w:val="41"/>
        </w:trPr>
        <w:tc>
          <w:tcPr>
            <w:tcW w:w="33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380" w:type="dxa"/>
            <w:vAlign w:val="bottom"/>
          </w:tcPr>
          <w:p>
            <w:pPr>
              <w:spacing w:after="0"/>
              <w:rPr>
                <w:sz w:val="21"/>
                <w:szCs w:val="21"/>
                <w:color w:val="auto"/>
              </w:rPr>
            </w:pPr>
          </w:p>
        </w:tc>
        <w:tc>
          <w:tcPr>
            <w:tcW w:w="2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Nancy Saltzman</w:t>
            </w:r>
          </w:p>
        </w:tc>
      </w:tr>
      <w:tr>
        <w:trPr>
          <w:trHeight w:val="252"/>
        </w:trPr>
        <w:tc>
          <w:tcPr>
            <w:tcW w:w="3380" w:type="dxa"/>
            <w:vAlign w:val="bottom"/>
          </w:tcPr>
          <w:p>
            <w:pPr>
              <w:spacing w:after="0"/>
              <w:rPr>
                <w:sz w:val="21"/>
                <w:szCs w:val="21"/>
                <w:color w:val="auto"/>
              </w:rPr>
            </w:pPr>
          </w:p>
        </w:tc>
        <w:tc>
          <w:tcPr>
            <w:tcW w:w="29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420"/>
          </w:cols>
          <w:pgMar w:left="240" w:top="57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80" w:type="dxa"/>
            <w:vAlign w:val="bottom"/>
          </w:tcPr>
          <w:p>
            <w:pPr>
              <w:ind w:left="252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0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Press Release, dated October 27, 2016 (furnished pursuant to Item 2.02).</w:t>
            </w:r>
          </w:p>
        </w:tc>
      </w:tr>
    </w:tbl>
    <w:p>
      <w:pPr>
        <w:sectPr>
          <w:pgSz w:w="11900" w:h="16838" w:orient="portrait"/>
          <w:cols w:equalWidth="0" w:num="1">
            <w:col w:w="10219"/>
          </w:cols>
          <w:pgMar w:left="240" w:top="58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REPORTS 2016 THIRD QUARTER RESULTS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2016 Third Quarter Revenues of $171.2 Million, up 4.7% year over year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Diluted EPS (GAAP) of $0.46, up from $0.44 in Q3 of 2015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Adjusted Diluted EPS (Non-GAAP) of $0.61, up from $0.58 in Q3 of 2015</w:t>
      </w:r>
    </w:p>
    <w:p>
      <w:pPr>
        <w:spacing w:after="0" w:line="200" w:lineRule="exact"/>
        <w:rPr>
          <w:sz w:val="20"/>
          <w:szCs w:val="20"/>
          <w:color w:val="auto"/>
        </w:rPr>
      </w:pPr>
    </w:p>
    <w:p>
      <w:pPr>
        <w:spacing w:after="0" w:line="35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New York, NY - October 27, 2016 - ExlService Holdings, Inc. (NASDAQ: EXLS), a leading operations management and analytics company, today announced its financial results for the quarter ended September 30, 2016.</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Rohit Kapoor, Vice Chairman and CEO, commented, “While earnings growth in the third quarter was on track, our revenues were primarily impacted by softness in our consulting and platform businesses. Our core businesses in Operations Management and Analytics are fundamentally strong with growth in Insurance, Healthcare and Banking &amp; Financial Services.</w:t>
      </w:r>
    </w:p>
    <w:p>
      <w:pPr>
        <w:spacing w:after="0" w:line="6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continue to invest in our fast growing Analytics business by expanding our capabilities and market coverage. We closed two strategic acquisitions in our Analytics segment. In September we announced the acquisition of IQR, a provider of marketing analytics solutions for the banking industry. IQR strengthens our leading position in banking analytics through its expertise and relationships with US super-regional banks and credit unions. Today, we announced the acquisition of Datasource, a provider of enterprise data management and business intelligence solutions. We are excited to have both companies join EXL.”</w:t>
      </w:r>
    </w:p>
    <w:p>
      <w:pPr>
        <w:spacing w:after="0" w:line="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third quarter revenue was $171.2 million, an increase of 4.7% year over year and 6.2% in constant currency. Our diluted EPS was $0.46, and our adjusted diluted EPS was $0.61, up 4.5% and 5.2%, respectively, year over year.</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Vishal Chhibbar, CFO, commented, “We are updating our revenue guidance for 2016 from $691 million - $703 million to $680 million - $688 million. This represents an annual revenue growth of 10%-11% on a constant currency basis. This update reflects the impact of lower discretionary spending in our consulting business and lower revenue in our platform businesses due to softness in these markets, which has been partially offset by projected revenue from recent acquisitions. We are narrowing our adjusted diluted EPS guidance for 2016 to $2.30 - $2.35 from $2.25 - $2.35. This represents an annual increase of 13% to 16%.”</w:t>
      </w:r>
    </w:p>
    <w:p>
      <w:pPr>
        <w:sectPr>
          <w:pgSz w:w="11900" w:h="16838" w:orient="portrait"/>
          <w:cols w:equalWidth="0" w:num="1">
            <w:col w:w="11420"/>
          </w:cols>
          <w:pgMar w:left="240" w:top="59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Highlights: Third Quarter 2016</w:t>
      </w:r>
    </w:p>
    <w:p>
      <w:pPr>
        <w:spacing w:after="0" w:line="20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divided into two reporting segments: Operations Management and Analytics. Reconciliations of adjusted (non-GAAP) financial measures to GAAP measures are included at the end of this release.</w:t>
      </w:r>
    </w:p>
    <w:p>
      <w:pPr>
        <w:spacing w:after="0" w:line="160" w:lineRule="exact"/>
        <w:rPr>
          <w:sz w:val="20"/>
          <w:szCs w:val="20"/>
          <w:color w:val="auto"/>
        </w:rPr>
      </w:pPr>
    </w:p>
    <w:p>
      <w:pPr>
        <w:ind w:left="340" w:right="60" w:hanging="264"/>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quarter ended September 30, 2016 increased to $171.2 million compared to $163.5 million for the third quarter of 2015, up 4.7% (6.2% on a constant currency basis) from the third quarter of 2015 and up 0.4% sequentially from the quarter ended June 30, 2016.</w:t>
      </w:r>
    </w:p>
    <w:p>
      <w:pPr>
        <w:spacing w:after="0" w:line="161" w:lineRule="exact"/>
        <w:rPr>
          <w:rFonts w:ascii="Times New Roman" w:cs="Times New Roman" w:eastAsia="Times New Roman" w:hAnsi="Times New Roman"/>
          <w:sz w:val="18"/>
          <w:szCs w:val="18"/>
          <w:color w:val="auto"/>
        </w:rPr>
      </w:pPr>
    </w:p>
    <w:p>
      <w:pPr>
        <w:ind w:left="980" w:hanging="418"/>
        <w:spacing w:after="0" w:line="282" w:lineRule="auto"/>
        <w:tabs>
          <w:tab w:leader="none" w:pos="9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revenues in the third quarter of 2016 increased 1.2% to $129.6 million (2.4% on a constant currency basis) compared to $128.0 million in the third quarter of 2015 and declined 1% sequentially from the quarter ended June 30, 2016.</w:t>
      </w:r>
    </w:p>
    <w:p>
      <w:pPr>
        <w:spacing w:after="0" w:line="161" w:lineRule="exact"/>
        <w:rPr>
          <w:rFonts w:ascii="Times New Roman" w:cs="Times New Roman" w:eastAsia="Times New Roman" w:hAnsi="Times New Roman"/>
          <w:sz w:val="18"/>
          <w:szCs w:val="18"/>
          <w:color w:val="auto"/>
        </w:rPr>
      </w:pPr>
    </w:p>
    <w:p>
      <w:pPr>
        <w:ind w:left="980" w:right="540" w:hanging="418"/>
        <w:spacing w:after="0" w:line="282" w:lineRule="auto"/>
        <w:tabs>
          <w:tab w:leader="none" w:pos="9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revenues in the third quarter of 2016 increased 17.4% to $41.6 million (19.7% on a constant currency basis) compared to $35.5 million in the third quarter of 2015, and increased 5.1% sequentially from the quarter ended June 30, 2016.</w:t>
      </w:r>
    </w:p>
    <w:p>
      <w:pPr>
        <w:spacing w:after="0" w:line="161" w:lineRule="exact"/>
        <w:rPr>
          <w:rFonts w:ascii="Times New Roman" w:cs="Times New Roman" w:eastAsia="Times New Roman" w:hAnsi="Times New Roman"/>
          <w:sz w:val="18"/>
          <w:szCs w:val="18"/>
          <w:color w:val="auto"/>
        </w:rPr>
      </w:pPr>
    </w:p>
    <w:p>
      <w:pPr>
        <w:ind w:left="340" w:hanging="251"/>
        <w:spacing w:after="0" w:line="266" w:lineRule="auto"/>
        <w:tabs>
          <w:tab w:leader="none" w:pos="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September 30, 2016 was 10.1% compared to 12.7% in the third quarter of 2015 and 9.5% for the quarter ended June 30, 2016. Adjusted operating income margin was 14.4% compared to 17.0% in the third quarter of 2015 and 13.7% for the quarter ended June 30, 2016.</w:t>
      </w:r>
    </w:p>
    <w:p>
      <w:pPr>
        <w:spacing w:after="0" w:line="176" w:lineRule="exact"/>
        <w:rPr>
          <w:rFonts w:ascii="Times New Roman" w:cs="Times New Roman" w:eastAsia="Times New Roman" w:hAnsi="Times New Roman"/>
          <w:sz w:val="18"/>
          <w:szCs w:val="18"/>
          <w:color w:val="auto"/>
        </w:rPr>
      </w:pPr>
    </w:p>
    <w:p>
      <w:pPr>
        <w:jc w:val="both"/>
        <w:ind w:left="340" w:right="140" w:hanging="251"/>
        <w:spacing w:after="0" w:line="266" w:lineRule="auto"/>
        <w:tabs>
          <w:tab w:leader="none" w:pos="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September 30, 2016 was $0.46 compared to $0.44 in the third quarter of 2015 and $0.47 for the quarter ended June 30, 2016. Adjusted diluted earnings per share was $0.61 compared to $0.58 in the third quarter of 2015 and $0.55 for the quarter ended June 30,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 Third Quarter 2016</w:t>
      </w:r>
    </w:p>
    <w:p>
      <w:pPr>
        <w:spacing w:after="0" w:line="243" w:lineRule="exact"/>
        <w:rPr>
          <w:sz w:val="20"/>
          <w:szCs w:val="20"/>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IQR Consulting Inc. on September 1, 2016, a provider of marketing analytics solutions for the banking industry.</w:t>
      </w:r>
    </w:p>
    <w:p>
      <w:pPr>
        <w:spacing w:after="0" w:line="225" w:lineRule="exact"/>
        <w:rPr>
          <w:rFonts w:ascii="Times New Roman" w:cs="Times New Roman" w:eastAsia="Times New Roman" w:hAnsi="Times New Roman"/>
          <w:sz w:val="18"/>
          <w:szCs w:val="18"/>
          <w:color w:val="auto"/>
        </w:rPr>
      </w:pPr>
    </w:p>
    <w:p>
      <w:pPr>
        <w:ind w:left="340" w:right="20" w:hanging="251"/>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9 new clients, consisting of 5 new clients in Operations Management and 4 new clients in Analytics. Year-to-date we have won 27 new clients, 15 in Operations Management and 12 in Analytics.</w:t>
      </w:r>
    </w:p>
    <w:p>
      <w:pPr>
        <w:spacing w:after="0" w:line="16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Positioned in the Winner’s Circle in “HfS Blueprint: Population Health and Care Management 2016.”</w:t>
      </w:r>
    </w:p>
    <w:p>
      <w:pPr>
        <w:spacing w:after="0" w:line="225" w:lineRule="exact"/>
        <w:rPr>
          <w:rFonts w:ascii="Times New Roman" w:cs="Times New Roman" w:eastAsia="Times New Roman" w:hAnsi="Times New Roman"/>
          <w:sz w:val="18"/>
          <w:szCs w:val="18"/>
          <w:color w:val="auto"/>
        </w:rPr>
      </w:pPr>
    </w:p>
    <w:p>
      <w:pPr>
        <w:ind w:left="340" w:right="240" w:hanging="251"/>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2 Aecus Innovation Awards for our solutions for a utilities client using our domain and analytics expertise and for a finance and accounting client using automation and analytics.</w:t>
      </w:r>
    </w:p>
    <w:p>
      <w:pPr>
        <w:spacing w:after="0" w:line="16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multiple Operations Management relationships, including migrating 65 new processes.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Post-Third Quarter Highlight</w:t>
      </w:r>
    </w:p>
    <w:p>
      <w:pPr>
        <w:spacing w:after="0" w:line="270" w:lineRule="exact"/>
        <w:rPr>
          <w:sz w:val="20"/>
          <w:szCs w:val="20"/>
          <w:color w:val="auto"/>
        </w:rPr>
      </w:pPr>
    </w:p>
    <w:p>
      <w:pPr>
        <w:ind w:left="340" w:right="140" w:hanging="251"/>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third quarter of 2016, on October 21, 2016, EXL acquired Datasource Consulting LLC, a provider of enterprise data management and business intelligence solutions.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Guidance</w:t>
      </w:r>
    </w:p>
    <w:p>
      <w:pPr>
        <w:spacing w:after="0" w:line="13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67.0, British Pound to U.S. Dollar exchange rate at 1.23, U.S. Dollar to the Philippine Peso exchange rate of 48.5 and all other currencies at current exchange rates, the Company is providing the following guidance for the calendar year 2016:</w:t>
      </w:r>
    </w:p>
    <w:p>
      <w:pPr>
        <w:spacing w:after="0" w:line="176" w:lineRule="exact"/>
        <w:rPr>
          <w:sz w:val="20"/>
          <w:szCs w:val="20"/>
          <w:color w:val="auto"/>
        </w:rPr>
      </w:pPr>
    </w:p>
    <w:p>
      <w:pPr>
        <w:ind w:left="340" w:hanging="25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$680 million to $688 million, representing an annual revenue growth of 10% to 11% on a constant currency basis.</w:t>
      </w:r>
    </w:p>
    <w:p>
      <w:pPr>
        <w:spacing w:after="0" w:line="225"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$2.30 to $2.35, representing an annual increase of 13% to 16%.</w:t>
      </w:r>
    </w:p>
    <w:p>
      <w:pPr>
        <w:sectPr>
          <w:pgSz w:w="11900" w:h="16838" w:orient="portrait"/>
          <w:cols w:equalWidth="0" w:num="1">
            <w:col w:w="11420"/>
          </w:cols>
          <w:pgMar w:left="240" w:top="113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Thursday, October 27, 2016 at 8:00 A.M. ET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businesses enhance growth and profitability in the face of relentless competition and continuous disruption. Using our proprietary award-winning Business EXLerator Framework™, which integrates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24,000 professionals in locations throughout the United States, Europe, Asia (primarily India and Philippines), Latin America, Australia and South Africa. For more information, visit </w:t>
      </w:r>
      <w:r>
        <w:rPr>
          <w:rFonts w:ascii="Times New Roman" w:cs="Times New Roman" w:eastAsia="Times New Roman" w:hAnsi="Times New Roman"/>
          <w:sz w:val="18"/>
          <w:szCs w:val="18"/>
          <w:u w:val="single" w:color="auto"/>
          <w:color w:val="0000FF"/>
        </w:rPr>
        <w:t>www.exlservice.com.</w:t>
      </w:r>
    </w:p>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Continuing Statement Regarding Forward-Looking Statements </w:t>
      </w:r>
      <w:r>
        <w:rPr>
          <w:rFonts w:ascii="Times New Roman" w:cs="Times New Roman" w:eastAsia="Times New Roman" w:hAnsi="Times New Roman"/>
          <w:sz w:val="18"/>
          <w:szCs w:val="18"/>
          <w:i w:val="1"/>
          <w:iCs w:val="1"/>
          <w:color w:val="auto"/>
        </w:rPr>
        <w:t>This press release contains forward-looking statements. You should not place undue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2015.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7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EXLSERVICE HOLDINGS, INC.</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9"/>
        </w:trPr>
        <w:tc>
          <w:tcPr>
            <w:tcW w:w="3600" w:type="dxa"/>
            <w:vAlign w:val="bottom"/>
          </w:tcPr>
          <w:p>
            <w:pPr>
              <w:spacing w:after="0"/>
              <w:rPr>
                <w:sz w:val="24"/>
                <w:szCs w:val="24"/>
                <w:color w:val="auto"/>
              </w:rPr>
            </w:pPr>
          </w:p>
        </w:tc>
        <w:tc>
          <w:tcPr>
            <w:tcW w:w="43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3600" w:type="dxa"/>
            <w:vAlign w:val="bottom"/>
          </w:tcPr>
          <w:p>
            <w:pPr>
              <w:spacing w:after="0"/>
              <w:rPr>
                <w:sz w:val="24"/>
                <w:szCs w:val="24"/>
                <w:color w:val="auto"/>
              </w:rPr>
            </w:pPr>
          </w:p>
        </w:tc>
        <w:tc>
          <w:tcPr>
            <w:tcW w:w="43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3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78"/>
        </w:trPr>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4"/>
                <w:szCs w:val="24"/>
                <w:color w:val="auto"/>
              </w:rPr>
            </w:pPr>
          </w:p>
        </w:tc>
        <w:tc>
          <w:tcPr>
            <w:tcW w:w="32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36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171,200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508,714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462,634</w:t>
            </w:r>
          </w:p>
        </w:tc>
      </w:tr>
      <w:tr>
        <w:trPr>
          <w:trHeight w:val="225"/>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111,767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332,172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296,801</w:t>
            </w:r>
          </w:p>
        </w:tc>
      </w:tr>
      <w:tr>
        <w:trPr>
          <w:trHeight w:val="27"/>
        </w:trPr>
        <w:tc>
          <w:tcPr>
            <w:tcW w:w="36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59,433</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176,542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165,833</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21,854</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63,620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57,428</w:t>
            </w:r>
          </w:p>
        </w:tc>
      </w:tr>
      <w:tr>
        <w:trPr>
          <w:trHeight w:val="243"/>
        </w:trPr>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37,875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35,769</w:t>
            </w: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8,597</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42,074</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126,495</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116,368</w:t>
            </w:r>
          </w:p>
        </w:tc>
      </w:tr>
      <w:tr>
        <w:trPr>
          <w:trHeight w:val="27"/>
        </w:trPr>
        <w:tc>
          <w:tcPr>
            <w:tcW w:w="36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49,465</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2,347</w:t>
            </w: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11,174</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21,696</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64,794</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56,112</w:t>
            </w: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5,646</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18,549</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19,309</w:t>
            </w:r>
          </w:p>
        </w:tc>
      </w:tr>
      <w:tr>
        <w:trPr>
          <w:trHeight w:val="297"/>
        </w:trPr>
        <w:tc>
          <w:tcPr>
            <w:tcW w:w="3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16,050</w:t>
            </w:r>
          </w:p>
        </w:tc>
        <w:tc>
          <w:tcPr>
            <w:tcW w:w="18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46,245</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36,803</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4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used in computing</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33,624,401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33,307,312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33,542,258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33,320,477</w:t>
            </w:r>
          </w:p>
        </w:tc>
      </w:tr>
      <w:tr>
        <w:trPr>
          <w:trHeight w:val="243"/>
        </w:trPr>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34,675,485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34,180,635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34,512,815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34,147,120</w:t>
            </w:r>
          </w:p>
        </w:tc>
      </w:tr>
    </w:tbl>
    <w:p>
      <w:pPr>
        <w:sectPr>
          <w:pgSz w:w="11900" w:h="16838" w:orient="portrait"/>
          <w:cols w:equalWidth="0" w:num="1">
            <w:col w:w="11420"/>
          </w:cols>
          <w:pgMar w:left="240" w:top="630" w:right="2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20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98,374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205,323</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115,637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13,676</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109,086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92,650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8,027</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15,219</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357,981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339,199</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47,991</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13,749</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52,733</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177,093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171,535</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22,257</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669,022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650,783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3,395</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6,401</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11,518</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44,526</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34,250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97,384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107,079</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 obligations, less current portion</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17,655</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150,803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185,012</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35,532,329 shares issued and 33,523,371</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as of September 30, 2016 and 34,781,201 shares issued and 33,091,223 shares</w:t>
            </w: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December 31, 2015</w:t>
            </w:r>
          </w:p>
        </w:tc>
        <w:tc>
          <w:tcPr>
            <w:tcW w:w="20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254,052</w:t>
            </w:r>
          </w:p>
        </w:tc>
        <w:tc>
          <w:tcPr>
            <w:tcW w:w="0" w:type="dxa"/>
            <w:vAlign w:val="bottom"/>
          </w:tcPr>
          <w:p>
            <w:pPr>
              <w:spacing w:after="0"/>
              <w:rPr>
                <w:sz w:val="1"/>
                <w:szCs w:val="1"/>
                <w:color w:val="auto"/>
              </w:rPr>
            </w:pPr>
          </w:p>
        </w:tc>
      </w:tr>
      <w:tr>
        <w:trPr>
          <w:trHeight w:val="224"/>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320,989</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(67,325)</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including shares held in treasury</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575,366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507,751</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2,008,958 shares as of September 30, 2016 and 1,689,978 shares as of December 31, 2015, held in</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(42,159)</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518,038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465,592</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518,219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465,771</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669,022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650,783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738" w:right="2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3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adjusted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adjusted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adjusted financial measures to determine variable compensation of its employees. EXL believes that it is unreasonably difficult to provide its earnings per share financial outlook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Additionally, EXL provides certain information on a constant currency basis, which reflects a comparison of current period results translated at the prior period currency rates. EXL primary exchange rate exposure is with the Indian Rupee, the British Pound and the Philippine peso. The average exchange rate of the U.S. dollar against the Indian rupee increased from 65.39 during the quarter ended September 30, 2015 to 66.73 during the quarter ended September 30, 2016, representing a depreciation of 2.0%. The average exchange rate of the U.S. dollar against the Philippine peso increased from 46.37 during the quarter ended September 30, 2015 to 47.40 during the quarter ended September 30, 2016, representing a depreciation of 2.2%. The average exchange rate of the British Pound against the U.S. dollar decreased from 1.54 during the quarter ended September 30, 2015 to 1.31 during the quarter ended September 30, 2016, representing a depreciation of 14.9%. This information is provided because EXL believes that it provides useful comparative incremental information to investors regarding EXL’s operating performance.</w:t>
      </w:r>
    </w:p>
    <w:p>
      <w:pPr>
        <w:spacing w:after="0" w:line="185" w:lineRule="exact"/>
        <w:rPr>
          <w:sz w:val="20"/>
          <w:szCs w:val="20"/>
          <w:color w:val="auto"/>
        </w:rPr>
      </w:pPr>
    </w:p>
    <w:p>
      <w:pPr>
        <w:ind w:right="180"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shows the reconciliation of these adjusted financial measures from GAAP measures for the three months ended September 30, 2016 and 2015 and for the three months ended June 30, 2016:</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 to Net Income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0"/>
        </w:trPr>
        <w:tc>
          <w:tcPr>
            <w:tcW w:w="52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16,050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16,375</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Income tax provision</w:t>
            </w:r>
          </w:p>
        </w:tc>
        <w:tc>
          <w:tcPr>
            <w:tcW w:w="106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Other income and foreign exchange gain,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(7,147)</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17,359</w:t>
            </w:r>
          </w:p>
        </w:tc>
        <w:tc>
          <w:tcPr>
            <w:tcW w:w="10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20,749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16,236</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 Stock-based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add: Amortization of acquisition-related intangibles </w:t>
            </w:r>
            <w:r>
              <w:rPr>
                <w:rFonts w:ascii="Times New Roman" w:cs="Times New Roman" w:eastAsia="Times New Roman" w:hAnsi="Times New Roman"/>
                <w:sz w:val="21"/>
                <w:szCs w:val="21"/>
                <w:color w:val="auto"/>
                <w:vertAlign w:val="superscript"/>
              </w:rPr>
              <w:t>(b)</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24,690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23,403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Revenues (Non-GAAP)</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13.7%</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Depreciation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5,749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5,553</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30,439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33,277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28,956</w:t>
            </w:r>
          </w:p>
        </w:tc>
        <w:tc>
          <w:tcPr>
            <w:tcW w:w="0" w:type="dxa"/>
            <w:vAlign w:val="bottom"/>
          </w:tcPr>
          <w:p>
            <w:pPr>
              <w:spacing w:after="0"/>
              <w:rPr>
                <w:sz w:val="1"/>
                <w:szCs w:val="1"/>
                <w:color w:val="auto"/>
              </w:rPr>
            </w:pPr>
          </w:p>
        </w:tc>
      </w:tr>
      <w:tr>
        <w:trPr>
          <w:trHeight w:val="73"/>
        </w:trPr>
        <w:tc>
          <w:tcPr>
            <w:tcW w:w="52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i w:val="1"/>
                <w:iCs w:val="1"/>
                <w:color w:val="auto"/>
              </w:rPr>
              <w:t>Adjusted EBITDA margin as a % of Revenues (Non-GAAP)</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17.0%</w:t>
            </w:r>
          </w:p>
        </w:tc>
        <w:tc>
          <w:tcPr>
            <w:tcW w:w="0" w:type="dxa"/>
            <w:vAlign w:val="bottom"/>
          </w:tcPr>
          <w:p>
            <w:pPr>
              <w:spacing w:after="0"/>
              <w:rPr>
                <w:sz w:val="1"/>
                <w:szCs w:val="1"/>
                <w:color w:val="auto"/>
              </w:rPr>
            </w:pPr>
          </w:p>
        </w:tc>
      </w:tr>
      <w:tr>
        <w:trPr>
          <w:trHeight w:val="33"/>
        </w:trPr>
        <w:tc>
          <w:tcPr>
            <w:tcW w:w="5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stock-based compensation expense under ASC Topic 718.</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amortization of acquisition-related intangibles.</w:t>
      </w:r>
    </w:p>
    <w:p>
      <w:pPr>
        <w:sectPr>
          <w:pgSz w:w="11900" w:h="16838" w:orient="portrait"/>
          <w:cols w:equalWidth="0" w:num="1">
            <w:col w:w="11400"/>
          </w:cols>
          <w:pgMar w:left="240" w:top="711" w:right="2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 to Net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95"/>
        </w:trPr>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47"/>
        </w:trPr>
        <w:tc>
          <w:tcPr>
            <w:tcW w:w="67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16,050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15,162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16,375</w:t>
            </w:r>
          </w:p>
        </w:tc>
        <w:tc>
          <w:tcPr>
            <w:tcW w:w="0" w:type="dxa"/>
            <w:vAlign w:val="bottom"/>
          </w:tcPr>
          <w:p>
            <w:pPr>
              <w:spacing w:after="0"/>
              <w:rPr>
                <w:sz w:val="1"/>
                <w:szCs w:val="1"/>
                <w:color w:val="auto"/>
              </w:rPr>
            </w:pPr>
          </w:p>
        </w:tc>
      </w:tr>
      <w:tr>
        <w:trPr>
          <w:trHeight w:val="27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add: Stock-based compensation expense </w:t>
            </w:r>
            <w:r>
              <w:rPr>
                <w:rFonts w:ascii="Times New Roman" w:cs="Times New Roman" w:eastAsia="Times New Roman" w:hAnsi="Times New Roman"/>
                <w:sz w:val="21"/>
                <w:szCs w:val="21"/>
                <w:color w:val="auto"/>
                <w:vertAlign w:val="superscript"/>
              </w:rPr>
              <w:t>(a)</w:t>
            </w: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add: Amortization of acquisition-related intangibles </w:t>
            </w:r>
            <w:r>
              <w:rPr>
                <w:rFonts w:ascii="Times New Roman" w:cs="Times New Roman" w:eastAsia="Times New Roman" w:hAnsi="Times New Roman"/>
                <w:sz w:val="21"/>
                <w:szCs w:val="21"/>
                <w:color w:val="auto"/>
                <w:vertAlign w:val="superscript"/>
              </w:rPr>
              <w:t>(b)</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224"/>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subtract: Tax impact on stock-based compensation expense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7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subtract: Changes in fair value of earn-out consideration (net of tax) </w:t>
            </w:r>
            <w:r>
              <w:rPr>
                <w:rFonts w:ascii="Times New Roman" w:cs="Times New Roman" w:eastAsia="Times New Roman" w:hAnsi="Times New Roman"/>
                <w:sz w:val="21"/>
                <w:szCs w:val="21"/>
                <w:color w:val="auto"/>
                <w:vertAlign w:val="superscript"/>
              </w:rPr>
              <w:t>(c)</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55"/>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0.61</w:t>
            </w:r>
          </w:p>
        </w:tc>
        <w:tc>
          <w:tcPr>
            <w:tcW w:w="12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0.58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0.55</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stock-based compensation expense under ASC Topic 718.</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amortization of acquisition-related intangibles.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change in fair value of earn-out consideration related to the RPM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624-5913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ir@exlservice.com</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2019-12-29T09:04:52Z</dcterms:created>
  <dcterms:modified xsi:type="dcterms:W3CDTF">2019-12-29T09:04:52Z</dcterms:modified>
</cp:coreProperties>
</file>