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430530</wp:posOffset>
            </wp:positionH>
            <wp:positionV relativeFrom="page">
              <wp:posOffset>811530</wp:posOffset>
            </wp:positionV>
            <wp:extent cx="66922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2265" cy="7620"/>
                    </a:xfrm>
                    <a:prstGeom prst="rect">
                      <a:avLst/>
                    </a:prstGeom>
                    <a:noFill/>
                  </pic:spPr>
                </pic:pic>
              </a:graphicData>
            </a:graphic>
          </wp:anchor>
        </w:drawing>
        <w:drawing>
          <wp:anchor simplePos="0" relativeHeight="251657728" behindDoc="1" locked="0" layoutInCell="0" allowOverlap="1">
            <wp:simplePos x="0" y="0"/>
            <wp:positionH relativeFrom="page">
              <wp:posOffset>430530</wp:posOffset>
            </wp:positionH>
            <wp:positionV relativeFrom="page">
              <wp:posOffset>842010</wp:posOffset>
            </wp:positionV>
            <wp:extent cx="66922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2265" cy="762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w:t>
      </w: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Sections 13 or 15(d) of the Securities Exchange Act of 1934</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Date of Report (Date of earliest event reported): October 28, 2025</w:t>
      </w:r>
    </w:p>
    <w:p>
      <w:pPr>
        <w:spacing w:after="0" w:line="5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w:t>
      </w:r>
    </w:p>
    <w:p>
      <w:pPr>
        <w:sectPr>
          <w:pgSz w:w="11900" w:h="16840" w:orient="portrait"/>
          <w:cols w:equalWidth="0" w:num="1">
            <w:col w:w="10560"/>
          </w:cols>
          <w:pgMar w:left="660" w:top="1379" w:right="680" w:bottom="1440" w:gutter="0" w:footer="0" w:header="0"/>
        </w:sectPr>
      </w:pPr>
    </w:p>
    <w:p>
      <w:pPr>
        <w:spacing w:after="0" w:line="8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82-0572194</w:t>
      </w:r>
    </w:p>
    <w:p>
      <w:pPr>
        <w:spacing w:after="0" w:line="32" w:lineRule="exact"/>
        <w:rPr>
          <w:sz w:val="24"/>
          <w:szCs w:val="24"/>
          <w:color w:val="auto"/>
        </w:rPr>
      </w:pPr>
    </w:p>
    <w:p>
      <w:pPr>
        <w:sectPr>
          <w:pgSz w:w="11900" w:h="16840" w:orient="portrait"/>
          <w:cols w:equalWidth="0" w:num="3">
            <w:col w:w="4240" w:space="720"/>
            <w:col w:w="2780" w:space="720"/>
            <w:col w:w="2100"/>
          </w:cols>
          <w:pgMar w:left="660" w:top="1379" w:right="680" w:bottom="1440" w:gutter="0" w:footer="0" w:header="0"/>
          <w:type w:val="continuous"/>
        </w:sectPr>
      </w:pPr>
    </w:p>
    <w:p>
      <w:pPr>
        <w:jc w:val="center"/>
        <w:ind w:right="24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24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40" w:orient="portrait"/>
          <w:cols w:equalWidth="0" w:num="3">
            <w:col w:w="3760" w:space="720"/>
            <w:col w:w="3060" w:space="720"/>
            <w:col w:w="2300"/>
          </w:cols>
          <w:pgMar w:left="660" w:top="1379" w:right="680" w:bottom="1440" w:gutter="0" w:footer="0" w:header="0"/>
          <w:type w:val="continuous"/>
        </w:sectPr>
      </w:pPr>
    </w:p>
    <w:p>
      <w:pPr>
        <w:spacing w:after="0" w:line="13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4"/>
          <w:szCs w:val="14"/>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10022</w:t>
      </w:r>
    </w:p>
    <w:p>
      <w:pPr>
        <w:spacing w:after="0" w:line="31" w:lineRule="exact"/>
        <w:rPr>
          <w:sz w:val="24"/>
          <w:szCs w:val="24"/>
          <w:color w:val="auto"/>
        </w:rPr>
      </w:pPr>
    </w:p>
    <w:p>
      <w:pPr>
        <w:sectPr>
          <w:pgSz w:w="11900" w:h="16840" w:orient="portrait"/>
          <w:cols w:equalWidth="0" w:num="2">
            <w:col w:w="7100" w:space="720"/>
            <w:col w:w="2740"/>
          </w:cols>
          <w:pgMar w:left="660" w:top="1379" w:right="680"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31" w:lineRule="exact"/>
        <w:rPr>
          <w:sz w:val="24"/>
          <w:szCs w:val="24"/>
          <w:color w:val="auto"/>
        </w:rPr>
      </w:pPr>
    </w:p>
    <w:p>
      <w:pPr>
        <w:sectPr>
          <w:pgSz w:w="11900" w:h="16840" w:orient="portrait"/>
          <w:cols w:equalWidth="0" w:num="2">
            <w:col w:w="6960" w:space="720"/>
            <w:col w:w="2880"/>
          </w:cols>
          <w:pgMar w:left="660" w:top="1379" w:right="680"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3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(212)</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277-7100</w:t>
      </w:r>
    </w:p>
    <w:p>
      <w:pPr>
        <w:spacing w:after="0" w:line="200" w:lineRule="exact"/>
        <w:rPr>
          <w:sz w:val="24"/>
          <w:szCs w:val="24"/>
          <w:color w:val="auto"/>
        </w:rPr>
      </w:pPr>
    </w:p>
    <w:p>
      <w:pPr>
        <w:sectPr>
          <w:pgSz w:w="11900" w:h="16840" w:orient="portrait"/>
          <w:cols w:equalWidth="0" w:num="2">
            <w:col w:w="6720" w:space="40"/>
            <w:col w:w="3800"/>
          </w:cols>
          <w:pgMar w:left="660" w:top="1379" w:right="680"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address, if changed since last report)</w:t>
      </w:r>
    </w:p>
    <w:p>
      <w:pPr>
        <w:spacing w:after="0" w:line="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w:t>
      </w:r>
    </w:p>
    <w:p>
      <w:pPr>
        <w:sectPr>
          <w:pgSz w:w="11900" w:h="16840" w:orient="portrait"/>
          <w:cols w:equalWidth="0" w:num="1">
            <w:col w:w="10560"/>
          </w:cols>
          <w:pgMar w:left="660" w:top="1379" w:right="680" w:bottom="1440" w:gutter="0" w:footer="0" w:header="0"/>
          <w:type w:val="continuous"/>
        </w:sect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ind w:left="600" w:hanging="582"/>
        <w:spacing w:after="0" w:line="191" w:lineRule="auto"/>
        <w:tabs>
          <w:tab w:leader="none" w:pos="600"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93" w:lineRule="exact"/>
        <w:rPr>
          <w:rFonts w:ascii="MS PGothic" w:cs="MS PGothic" w:eastAsia="MS PGothic" w:hAnsi="MS PGothic"/>
          <w:sz w:val="38"/>
          <w:szCs w:val="38"/>
          <w:color w:val="auto"/>
          <w:vertAlign w:val="subscript"/>
        </w:rPr>
      </w:pPr>
    </w:p>
    <w:p>
      <w:pPr>
        <w:ind w:left="600" w:hanging="582"/>
        <w:spacing w:after="0" w:line="183" w:lineRule="auto"/>
        <w:tabs>
          <w:tab w:leader="none" w:pos="6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92" w:lineRule="exact"/>
        <w:rPr>
          <w:rFonts w:ascii="MS PGothic" w:cs="MS PGothic" w:eastAsia="MS PGothic" w:hAnsi="MS PGothic"/>
          <w:sz w:val="32"/>
          <w:szCs w:val="32"/>
          <w:color w:val="auto"/>
          <w:vertAlign w:val="subscript"/>
        </w:rPr>
      </w:pPr>
    </w:p>
    <w:p>
      <w:pPr>
        <w:ind w:left="600" w:hanging="582"/>
        <w:spacing w:after="0" w:line="183" w:lineRule="auto"/>
        <w:tabs>
          <w:tab w:leader="none" w:pos="6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92" w:lineRule="exact"/>
        <w:rPr>
          <w:rFonts w:ascii="MS PGothic" w:cs="MS PGothic" w:eastAsia="MS PGothic" w:hAnsi="MS PGothic"/>
          <w:sz w:val="32"/>
          <w:szCs w:val="32"/>
          <w:color w:val="auto"/>
          <w:vertAlign w:val="subscript"/>
        </w:rPr>
      </w:pPr>
    </w:p>
    <w:p>
      <w:pPr>
        <w:ind w:left="600" w:hanging="582"/>
        <w:spacing w:after="0" w:line="183" w:lineRule="auto"/>
        <w:tabs>
          <w:tab w:leader="none" w:pos="6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340"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 w:hanging="582"/>
        <w:spacing w:after="0" w:line="235" w:lineRule="auto"/>
        <w:tabs>
          <w:tab w:leader="none" w:pos="600" w:val="left"/>
        </w:tabs>
        <w:numPr>
          <w:ilvl w:val="0"/>
          <w:numId w:val="2"/>
        </w:numPr>
        <w:rPr>
          <w:rFonts w:ascii="MS PGothic" w:cs="MS PGothic" w:eastAsia="MS PGothic" w:hAnsi="MS PGothic"/>
          <w:sz w:val="38"/>
          <w:szCs w:val="38"/>
          <w:color w:val="auto"/>
          <w:vertAlign w:val="subscript"/>
        </w:rPr>
      </w:pPr>
      <w:r>
        <w:rPr>
          <w:rFonts w:ascii="Times New Roman" w:cs="Times New Roman" w:eastAsia="Times New Roman" w:hAnsi="Times New Roman"/>
          <w:sz w:val="14"/>
          <w:szCs w:val="14"/>
          <w:color w:val="auto"/>
        </w:rPr>
        <w:t>Emerging growth company</w:t>
      </w:r>
    </w:p>
    <w:p>
      <w:pPr>
        <w:spacing w:after="0" w:line="196" w:lineRule="exact"/>
        <w:rPr>
          <w:rFonts w:ascii="MS PGothic" w:cs="MS PGothic" w:eastAsia="MS PGothic" w:hAnsi="MS PGothic"/>
          <w:sz w:val="38"/>
          <w:szCs w:val="38"/>
          <w:color w:val="auto"/>
          <w:vertAlign w:val="subscript"/>
        </w:rPr>
      </w:pPr>
    </w:p>
    <w:p>
      <w:pPr>
        <w:ind w:left="600" w:right="480" w:hanging="582"/>
        <w:spacing w:after="0" w:line="186" w:lineRule="auto"/>
        <w:tabs>
          <w:tab w:leader="none" w:pos="600" w:val="left"/>
        </w:tabs>
        <w:numPr>
          <w:ilvl w:val="0"/>
          <w:numId w:val="2"/>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6699885" cy="396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99885" cy="396240"/>
                    </a:xfrm>
                    <a:prstGeom prst="rect">
                      <a:avLst/>
                    </a:prstGeom>
                    <a:noFill/>
                  </pic:spPr>
                </pic:pic>
              </a:graphicData>
            </a:graphic>
          </wp:anchor>
        </w:drawing>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EXLS</w:t>
            </w: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20" w:type="dxa"/>
            <w:vAlign w:val="bottom"/>
          </w:tcPr>
          <w:p>
            <w:pPr>
              <w:spacing w:after="0"/>
              <w:rPr>
                <w:sz w:val="15"/>
                <w:szCs w:val="15"/>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8"/>
        </w:trPr>
        <w:tc>
          <w:tcPr>
            <w:tcW w:w="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856"/>
        </w:trPr>
        <w:tc>
          <w:tcPr>
            <w:tcW w:w="20" w:type="dxa"/>
            <w:vAlign w:val="bottom"/>
            <w:tcBorders>
              <w:bottom w:val="single" w:sz="8" w:color="EEEEEE"/>
            </w:tcBorders>
          </w:tcPr>
          <w:p>
            <w:pPr>
              <w:spacing w:after="0"/>
              <w:rPr>
                <w:sz w:val="24"/>
                <w:szCs w:val="24"/>
                <w:color w:val="auto"/>
              </w:rPr>
            </w:pPr>
          </w:p>
        </w:tc>
        <w:tc>
          <w:tcPr>
            <w:tcW w:w="348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39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9" w:right="68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0"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On October 28, 2025, ExlService Holdings, Inc. (the “Company”) reported its results of operations for the three months ended September 30, 2025. A copy of the press release issued by the Company concerning the foregoing is furnished herewith as Exhibit 99.1 and is incorporated herein by reference.</w:t>
      </w:r>
    </w:p>
    <w:p>
      <w:pPr>
        <w:spacing w:after="0" w:line="191"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The information provided in Item 2.02 of this report, including Exhibit 99.1, shall not be deemed to be “filed” for purposes of Section 18 of the Securities Exchange Act of 1934, as amended.</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 Exhibits</w:t>
            </w:r>
          </w:p>
        </w:tc>
        <w:tc>
          <w:tcPr>
            <w:tcW w:w="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2100" w:type="dxa"/>
            <w:vAlign w:val="bottom"/>
          </w:tcPr>
          <w:p>
            <w:pPr>
              <w:spacing w:after="0"/>
              <w:rPr>
                <w:sz w:val="16"/>
                <w:szCs w:val="16"/>
                <w:color w:val="auto"/>
              </w:rPr>
            </w:pPr>
          </w:p>
        </w:tc>
        <w:tc>
          <w:tcPr>
            <w:tcW w:w="7680" w:type="dxa"/>
            <w:vAlign w:val="bottom"/>
            <w:gridSpan w:val="3"/>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Press Release, dated October 28, 2025 (furnished pursuant to Item 2.02)</w:t>
              </w:r>
            </w:hyperlink>
            <w:r>
              <w:rPr>
                <w:rFonts w:ascii="Times New Roman" w:cs="Times New Roman" w:eastAsia="Times New Roman" w:hAnsi="Times New Roman"/>
                <w:sz w:val="16"/>
                <w:szCs w:val="16"/>
                <w:color w:val="0000FF"/>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2100" w:type="dxa"/>
            <w:vAlign w:val="bottom"/>
          </w:tcPr>
          <w:p>
            <w:pPr>
              <w:spacing w:after="0"/>
              <w:rPr>
                <w:sz w:val="14"/>
                <w:szCs w:val="14"/>
                <w:color w:val="auto"/>
              </w:rPr>
            </w:pPr>
          </w:p>
        </w:tc>
        <w:tc>
          <w:tcPr>
            <w:tcW w:w="768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auto"/>
              </w:rPr>
              <w:t>Cover Page Interactive Data File (the cover page XBRL tags are embedded within the inline XBRL</w:t>
            </w:r>
          </w:p>
        </w:tc>
        <w:tc>
          <w:tcPr>
            <w:tcW w:w="0" w:type="dxa"/>
            <w:vAlign w:val="bottom"/>
          </w:tcPr>
          <w:p>
            <w:pPr>
              <w:spacing w:after="0"/>
              <w:rPr>
                <w:sz w:val="1"/>
                <w:szCs w:val="1"/>
                <w:color w:val="auto"/>
              </w:rPr>
            </w:pPr>
          </w:p>
        </w:tc>
      </w:tr>
      <w:tr>
        <w:trPr>
          <w:trHeight w:val="203"/>
        </w:trPr>
        <w:tc>
          <w:tcPr>
            <w:tcW w:w="78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document)</w:t>
            </w:r>
          </w:p>
        </w:tc>
        <w:tc>
          <w:tcPr>
            <w:tcW w:w="0" w:type="dxa"/>
            <w:vAlign w:val="bottom"/>
          </w:tcPr>
          <w:p>
            <w:pPr>
              <w:spacing w:after="0"/>
              <w:rPr>
                <w:sz w:val="1"/>
                <w:szCs w:val="1"/>
                <w:color w:val="auto"/>
              </w:rPr>
            </w:pPr>
          </w:p>
        </w:tc>
      </w:tr>
      <w:tr>
        <w:trPr>
          <w:trHeight w:val="409"/>
        </w:trPr>
        <w:tc>
          <w:tcPr>
            <w:tcW w:w="2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10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9" w:right="68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right="280"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7700" w:type="dxa"/>
            <w:vAlign w:val="bottom"/>
            <w:gridSpan w:val="2"/>
          </w:tcPr>
          <w:p>
            <w:pPr>
              <w:ind w:left="1740"/>
              <w:spacing w:after="0"/>
              <w:rPr>
                <w:sz w:val="20"/>
                <w:szCs w:val="20"/>
                <w:color w:val="auto"/>
              </w:rPr>
            </w:pPr>
            <w:r>
              <w:rPr>
                <w:rFonts w:ascii="Times New Roman" w:cs="Times New Roman" w:eastAsia="Times New Roman" w:hAnsi="Times New Roman"/>
                <w:sz w:val="16"/>
                <w:szCs w:val="16"/>
                <w:b w:val="1"/>
                <w:bCs w:val="1"/>
                <w:color w:val="auto"/>
              </w:rPr>
              <w:t>EXLSERVICE HOLDINGS, INC.</w:t>
            </w:r>
          </w:p>
        </w:tc>
      </w:tr>
      <w:tr>
        <w:trPr>
          <w:trHeight w:val="203"/>
        </w:trPr>
        <w:tc>
          <w:tcPr>
            <w:tcW w:w="2840" w:type="dxa"/>
            <w:vAlign w:val="bottom"/>
          </w:tcPr>
          <w:p>
            <w:pPr>
              <w:spacing w:after="0"/>
              <w:rPr>
                <w:sz w:val="17"/>
                <w:szCs w:val="17"/>
                <w:color w:val="auto"/>
              </w:rPr>
            </w:pPr>
          </w:p>
        </w:tc>
        <w:tc>
          <w:tcPr>
            <w:tcW w:w="30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(Registrant)</w:t>
            </w:r>
          </w:p>
        </w:tc>
        <w:tc>
          <w:tcPr>
            <w:tcW w:w="4640" w:type="dxa"/>
            <w:vAlign w:val="bottom"/>
          </w:tcPr>
          <w:p>
            <w:pPr>
              <w:spacing w:after="0"/>
              <w:rPr>
                <w:sz w:val="17"/>
                <w:szCs w:val="17"/>
                <w:color w:val="auto"/>
              </w:rPr>
            </w:pPr>
          </w:p>
        </w:tc>
      </w:tr>
      <w:tr>
        <w:trPr>
          <w:trHeight w:val="635"/>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October 28, 2025</w:t>
            </w:r>
          </w:p>
        </w:tc>
        <w:tc>
          <w:tcPr>
            <w:tcW w:w="30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By:</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Maurizio Nicolelli</w:t>
            </w:r>
          </w:p>
        </w:tc>
      </w:tr>
      <w:tr>
        <w:trPr>
          <w:trHeight w:val="26"/>
        </w:trPr>
        <w:tc>
          <w:tcPr>
            <w:tcW w:w="2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06"/>
        </w:trPr>
        <w:tc>
          <w:tcPr>
            <w:tcW w:w="2840" w:type="dxa"/>
            <w:vAlign w:val="bottom"/>
          </w:tcPr>
          <w:p>
            <w:pPr>
              <w:spacing w:after="0"/>
              <w:rPr>
                <w:sz w:val="17"/>
                <w:szCs w:val="17"/>
                <w:color w:val="auto"/>
              </w:rPr>
            </w:pPr>
          </w:p>
        </w:tc>
        <w:tc>
          <w:tcPr>
            <w:tcW w:w="30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Maurizio Nicolelli</w:t>
            </w:r>
          </w:p>
        </w:tc>
      </w:tr>
      <w:tr>
        <w:trPr>
          <w:trHeight w:val="204"/>
        </w:trPr>
        <w:tc>
          <w:tcPr>
            <w:tcW w:w="2840" w:type="dxa"/>
            <w:vAlign w:val="bottom"/>
          </w:tcPr>
          <w:p>
            <w:pPr>
              <w:spacing w:after="0"/>
              <w:rPr>
                <w:sz w:val="17"/>
                <w:szCs w:val="17"/>
                <w:color w:val="auto"/>
              </w:rPr>
            </w:pPr>
          </w:p>
        </w:tc>
        <w:tc>
          <w:tcPr>
            <w:tcW w:w="30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40" w:orient="portrait"/>
          <w:cols w:equalWidth="0" w:num="1">
            <w:col w:w="10560"/>
          </w:cols>
          <w:pgMar w:left="660" w:top="1059" w:right="68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EXL REPORTS 2025 THIRD QUARTER RESULTS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2025 Third Quarter Revenue of $529.6 Million, up 12.2% year-over-year</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Q3 Diluted EPS (GAAP) of $0.36, up 10.7% from $0.33 in Q3 of 2024</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Q3 Adjusted Diluted EPS (Non-GAAP) </w:t>
      </w:r>
      <w:r>
        <w:rPr>
          <w:rFonts w:ascii="Times New Roman" w:cs="Times New Roman" w:eastAsia="Times New Roman" w:hAnsi="Times New Roman"/>
          <w:sz w:val="24"/>
          <w:szCs w:val="24"/>
          <w:b w:val="1"/>
          <w:bCs w:val="1"/>
          <w:i w:val="1"/>
          <w:iCs w:val="1"/>
          <w:color w:val="auto"/>
          <w:vertAlign w:val="superscript"/>
        </w:rPr>
        <w:t>(1)</w:t>
      </w:r>
      <w:r>
        <w:rPr>
          <w:rFonts w:ascii="Times New Roman" w:cs="Times New Roman" w:eastAsia="Times New Roman" w:hAnsi="Times New Roman"/>
          <w:sz w:val="19"/>
          <w:szCs w:val="19"/>
          <w:b w:val="1"/>
          <w:bCs w:val="1"/>
          <w:i w:val="1"/>
          <w:iCs w:val="1"/>
          <w:color w:val="auto"/>
        </w:rPr>
        <w:t xml:space="preserve"> of $0.48, up 10.8% from $0.44 in Q3 of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October 28, 2025 </w:t>
      </w:r>
      <w:r>
        <w:rPr>
          <w:rFonts w:ascii="Times New Roman" w:cs="Times New Roman" w:eastAsia="Times New Roman" w:hAnsi="Times New Roman"/>
          <w:sz w:val="16"/>
          <w:szCs w:val="16"/>
          <w:color w:val="auto"/>
        </w:rPr>
        <w:t>(GLOBE NEWSWIRE) - ExlService Holdings, Inc. (NASDAQ: EXLS), a global data and AI company, today announced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results for the quarter ended September 30, 2025.</w:t>
      </w:r>
    </w:p>
    <w:p>
      <w:pPr>
        <w:spacing w:after="0" w:line="213"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6"/>
          <w:szCs w:val="16"/>
          <w:color w:val="auto"/>
        </w:rPr>
        <w:t>Chairman and Chief Executive Officer Rohit Kapoor said, “I am pleased to report another strong quarter as we delivered revenue growth of 12% and increased our adjusted diluted EPS by 11%. Our sustained double-digit growth demonstrates the strength of our competitive position as a global data and AI company. EXL’s recognized industry expertise and leadership in embedding AI in the workflow is resonating strongly with the market and fueling our growth with new and existing clients.”</w:t>
      </w:r>
    </w:p>
    <w:p>
      <w:pPr>
        <w:spacing w:after="0" w:line="205"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6"/>
          <w:szCs w:val="16"/>
          <w:color w:val="auto"/>
        </w:rPr>
        <w:t>Chief Financial Officer Maurizio Nicolelli said, “Given our strong momentum, we are raising our full-year guidance for both revenue and adjusted diluted earnings per share. We now project revenue to be between $2.07 billion and $2.08 billion, reflecting year-over-year growth of 13% on both a reported and constant currency basis. Consequently, we are increasing our projected adjusted diluted EPS range to $1.88 to $1.92, representing a 14% to 16% increase over 2024, as we continue to strategically invest in our data and AI capabilities to drive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__________________________________________________________</w:t>
      </w:r>
    </w:p>
    <w:p>
      <w:pPr>
        <w:spacing w:after="0" w:line="97" w:lineRule="exact"/>
        <w:rPr>
          <w:sz w:val="20"/>
          <w:szCs w:val="20"/>
          <w:color w:val="auto"/>
        </w:rPr>
      </w:pPr>
    </w:p>
    <w:p>
      <w:pPr>
        <w:jc w:val="both"/>
        <w:ind w:left="300" w:right="20" w:hanging="294"/>
        <w:spacing w:after="0" w:line="268" w:lineRule="auto"/>
        <w:tabs>
          <w:tab w:leader="none" w:pos="3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40" w:orient="portrait"/>
          <w:cols w:equalWidth="0" w:num="1">
            <w:col w:w="10580"/>
          </w:cols>
          <w:pgMar w:left="660" w:top="1239" w:right="66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Financial Highlights: Third Quarter 2025</w:t>
      </w:r>
    </w:p>
    <w:p>
      <w:pPr>
        <w:spacing w:after="0" w:line="358" w:lineRule="exact"/>
        <w:rPr>
          <w:sz w:val="20"/>
          <w:szCs w:val="20"/>
          <w:color w:val="auto"/>
        </w:rPr>
      </w:pPr>
    </w:p>
    <w:p>
      <w:pPr>
        <w:jc w:val="both"/>
        <w:ind w:left="580" w:hanging="286"/>
        <w:spacing w:after="0" w:line="294"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for the quarter ended September 30, 2025, increased to $529.6 million compared to $472.1 million for the third quarter of 2024, an increase of 12.2% on a reported basis and 12.3% on a constant currency basis. Revenue increased by 2.9% sequentially on a reported basis and 3.1% on a constant currency basis, from the second quarter of 2025.</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Reportable Segments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20"/>
                <w:szCs w:val="20"/>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20"/>
                <w:szCs w:val="20"/>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20"/>
                <w:szCs w:val="20"/>
                <w:color w:val="auto"/>
              </w:rPr>
            </w:pPr>
          </w:p>
        </w:tc>
        <w:tc>
          <w:tcPr>
            <w:tcW w:w="12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Pr>
          <w:p>
            <w:pPr>
              <w:spacing w:after="0"/>
              <w:rPr>
                <w:sz w:val="20"/>
                <w:szCs w:val="20"/>
                <w:color w:val="auto"/>
              </w:rPr>
            </w:pPr>
          </w:p>
        </w:tc>
        <w:tc>
          <w:tcPr>
            <w:tcW w:w="96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0" w:type="dxa"/>
            <w:vAlign w:val="bottom"/>
          </w:tcPr>
          <w:p>
            <w:pPr>
              <w:spacing w:after="0"/>
              <w:rPr>
                <w:sz w:val="1"/>
                <w:szCs w:val="1"/>
                <w:color w:val="auto"/>
              </w:rPr>
            </w:pPr>
          </w:p>
        </w:tc>
      </w:tr>
      <w:tr>
        <w:trPr>
          <w:trHeight w:val="180"/>
        </w:trPr>
        <w:tc>
          <w:tcPr>
            <w:tcW w:w="2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180.5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166.4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and Life Sciences</w:t>
            </w:r>
          </w:p>
        </w:tc>
        <w:tc>
          <w:tcPr>
            <w:tcW w:w="80" w:type="dxa"/>
            <w:vAlign w:val="bottom"/>
          </w:tcPr>
          <w:p>
            <w:pPr>
              <w:spacing w:after="0"/>
              <w:rPr>
                <w:sz w:val="17"/>
                <w:szCs w:val="17"/>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26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Banking, Capital Markets and Diversified</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Industries</w:t>
            </w: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International Growth Markets</w:t>
            </w:r>
          </w:p>
        </w:tc>
        <w:tc>
          <w:tcPr>
            <w:tcW w:w="8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529.6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left="580" w:right="20" w:firstLine="2"/>
        <w:spacing w:after="0" w:line="283" w:lineRule="auto"/>
        <w:tabs>
          <w:tab w:leader="none" w:pos="741" w:val="left"/>
        </w:tabs>
        <w:numPr>
          <w:ilvl w:val="1"/>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first quarter of 2025, the Company implemented operational and structural changes to accelerate the execution of its data and AI-led strategy. Under the new structure, beginning with the three months ended March 31, 2025, the Company reports its financial performance based on new segments presented in the table above. In conjunction with the new reporting structure, the Company has recast prior period amounts, wherever applicable, to conform to the way the Company internally manages and monitors segment performance.</w:t>
      </w:r>
    </w:p>
    <w:p>
      <w:pPr>
        <w:spacing w:after="0" w:line="336" w:lineRule="exact"/>
        <w:rPr>
          <w:rFonts w:ascii="Times New Roman" w:cs="Times New Roman" w:eastAsia="Times New Roman" w:hAnsi="Times New Roman"/>
          <w:sz w:val="19"/>
          <w:szCs w:val="19"/>
          <w:color w:val="auto"/>
          <w:vertAlign w:val="superscript"/>
        </w:rPr>
      </w:pPr>
    </w:p>
    <w:p>
      <w:pPr>
        <w:jc w:val="both"/>
        <w:ind w:left="580" w:right="20" w:hanging="286"/>
        <w:spacing w:after="0" w:line="30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margin for the quarter ended September 30, 2025 was 14.4%, compared to 14.7% for the third quarter of 2024 and 15.8% for the second quarter of 2025. Adjusted operating income margin for the quarter ended September 30, 2025 was 19.4%, compared to 19.9% for the third quarter of 2024 and 19.6% for the second quarter of 2025.</w:t>
      </w:r>
    </w:p>
    <w:p>
      <w:pPr>
        <w:spacing w:after="0" w:line="201" w:lineRule="exact"/>
        <w:rPr>
          <w:rFonts w:ascii="Times New Roman" w:cs="Times New Roman" w:eastAsia="Times New Roman" w:hAnsi="Times New Roman"/>
          <w:sz w:val="16"/>
          <w:szCs w:val="16"/>
          <w:color w:val="auto"/>
        </w:rPr>
      </w:pPr>
    </w:p>
    <w:p>
      <w:pPr>
        <w:jc w:val="both"/>
        <w:ind w:left="580" w:right="20" w:hanging="286"/>
        <w:spacing w:after="0" w:line="309"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earnings per share for the quarter ended September 30, 2025 was $0.36, compared to $0.33 for the third quarter of 2024 and $0.40 for the second quarter of 2025. Adjusted diluted earnings per share for the quarter ended September 30, 2025 was $0.48, compared to $0.44 for the third quarter of 2024 and $0.49 for the second quarter of 2025.</w:t>
      </w:r>
    </w:p>
    <w:p>
      <w:pPr>
        <w:sectPr>
          <w:pgSz w:w="11900" w:h="16840" w:orient="portrait"/>
          <w:cols w:equalWidth="0" w:num="1">
            <w:col w:w="10580"/>
          </w:cols>
          <w:pgMar w:left="660" w:top="1347" w:right="660" w:bottom="1440" w:gutter="0" w:footer="0" w:header="0"/>
        </w:sectPr>
      </w:pPr>
    </w:p>
    <w:bookmarkStart w:id="5" w:name="page6"/>
    <w:bookmarkEnd w:id="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Highlights: Third Quarter 2025</w:t>
      </w:r>
    </w:p>
    <w:p>
      <w:pPr>
        <w:spacing w:after="0" w:line="166" w:lineRule="exact"/>
        <w:rPr>
          <w:sz w:val="20"/>
          <w:szCs w:val="20"/>
          <w:color w:val="auto"/>
        </w:rPr>
      </w:pPr>
    </w:p>
    <w:p>
      <w:pPr>
        <w:ind w:left="220" w:hanging="214"/>
        <w:spacing w:after="0"/>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Won 21 new clients in the third quarter of 2025.</w:t>
      </w:r>
    </w:p>
    <w:p>
      <w:pPr>
        <w:spacing w:after="0" w:line="140" w:lineRule="exact"/>
        <w:rPr>
          <w:rFonts w:ascii="Times New Roman" w:cs="Times New Roman" w:eastAsia="Times New Roman" w:hAnsi="Times New Roman"/>
          <w:sz w:val="16"/>
          <w:szCs w:val="16"/>
          <w:color w:val="auto"/>
        </w:rPr>
      </w:pPr>
    </w:p>
    <w:p>
      <w:pPr>
        <w:ind w:left="220" w:right="40" w:hanging="214"/>
        <w:spacing w:after="0" w:line="322" w:lineRule="auto"/>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Unveiled EXLdata.ai with launch partner Databricks: First-of-its-kind agentic AI-native suite of data solutions to solve enterprises’ biggest challenge in making data ready for AI.</w:t>
      </w:r>
    </w:p>
    <w:p>
      <w:pPr>
        <w:spacing w:after="0" w:line="58" w:lineRule="exact"/>
        <w:rPr>
          <w:rFonts w:ascii="Times New Roman" w:cs="Times New Roman" w:eastAsia="Times New Roman" w:hAnsi="Times New Roman"/>
          <w:sz w:val="16"/>
          <w:szCs w:val="16"/>
          <w:color w:val="auto"/>
        </w:rPr>
      </w:pPr>
    </w:p>
    <w:p>
      <w:pPr>
        <w:ind w:left="220" w:hanging="214"/>
        <w:spacing w:after="0"/>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a collaboration with Genesys to transform customer experiences with AI-driven insights and intelligent orchestration.</w:t>
      </w:r>
    </w:p>
    <w:p>
      <w:pPr>
        <w:spacing w:after="0" w:line="140" w:lineRule="exact"/>
        <w:rPr>
          <w:rFonts w:ascii="Times New Roman" w:cs="Times New Roman" w:eastAsia="Times New Roman" w:hAnsi="Times New Roman"/>
          <w:sz w:val="16"/>
          <w:szCs w:val="16"/>
          <w:color w:val="auto"/>
        </w:rPr>
      </w:pPr>
    </w:p>
    <w:p>
      <w:pPr>
        <w:ind w:left="220" w:right="20" w:hanging="214"/>
        <w:spacing w:after="0" w:line="322" w:lineRule="auto"/>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Named a Market Leader in the HFS Research Horizon Insurance Services 2025 report for a data-first approach, deep insurance expertise and AI-driven operational insights.</w:t>
      </w:r>
    </w:p>
    <w:p>
      <w:pPr>
        <w:spacing w:after="0" w:line="58" w:lineRule="exact"/>
        <w:rPr>
          <w:rFonts w:ascii="Times New Roman" w:cs="Times New Roman" w:eastAsia="Times New Roman" w:hAnsi="Times New Roman"/>
          <w:sz w:val="16"/>
          <w:szCs w:val="16"/>
          <w:color w:val="auto"/>
        </w:rPr>
      </w:pPr>
    </w:p>
    <w:p>
      <w:pPr>
        <w:ind w:left="220" w:hanging="214"/>
        <w:spacing w:after="0" w:line="322" w:lineRule="auto"/>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Recognized as a Leader in Everest Group’s Healthcare Data, Analytics and AI Services PEAK Matrix® 2025 for domain expertise, analytics focus and strong partner ecosystem.</w:t>
      </w:r>
    </w:p>
    <w:p>
      <w:pPr>
        <w:spacing w:after="0" w:line="58" w:lineRule="exact"/>
        <w:rPr>
          <w:rFonts w:ascii="Times New Roman" w:cs="Times New Roman" w:eastAsia="Times New Roman" w:hAnsi="Times New Roman"/>
          <w:sz w:val="16"/>
          <w:szCs w:val="16"/>
          <w:color w:val="auto"/>
        </w:rPr>
      </w:pPr>
    </w:p>
    <w:p>
      <w:pPr>
        <w:ind w:left="220" w:right="40" w:hanging="214"/>
        <w:spacing w:after="0" w:line="322" w:lineRule="auto"/>
        <w:tabs>
          <w:tab w:leader="none" w:pos="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Named as the category Winner in the 2025 IDC FinTech Real Results program for Lending Transformation excellence, in collaboration with First National Bank of Omaha (FNBO).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Guidance</w:t>
      </w:r>
    </w:p>
    <w:p>
      <w:pPr>
        <w:spacing w:after="0" w:line="58"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16"/>
          <w:szCs w:val="16"/>
          <w:color w:val="auto"/>
        </w:rPr>
        <w:t>Based on current visibility, and a U.S. dollar to Indian rupee exchange rate of 87.5, U.K. pound sterling to U.S. dollar exchange rate of 1.33, U.S. dollar to the Philippine peso exchange rate of 58.0 and all other currencies at current exchange rates, we are providing the following guidance for the full year 2025:</w:t>
      </w:r>
    </w:p>
    <w:p>
      <w:pPr>
        <w:spacing w:after="0" w:line="224" w:lineRule="exact"/>
        <w:rPr>
          <w:sz w:val="20"/>
          <w:szCs w:val="20"/>
          <w:color w:val="auto"/>
        </w:rPr>
      </w:pPr>
    </w:p>
    <w:p>
      <w:pPr>
        <w:ind w:left="580" w:hanging="286"/>
        <w:spacing w:after="0"/>
        <w:tabs>
          <w:tab w:leader="none" w:pos="58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6"/>
          <w:szCs w:val="16"/>
          <w:color w:val="auto"/>
        </w:rPr>
        <w:t>Revenue of $2.07 billion to $2.08 billion, representing an increase of 13% on both reported and constant currency basis from 2024.</w:t>
      </w:r>
    </w:p>
    <w:p>
      <w:pPr>
        <w:spacing w:after="0" w:line="253" w:lineRule="exact"/>
        <w:rPr>
          <w:rFonts w:ascii="Arial" w:cs="Arial" w:eastAsia="Arial" w:hAnsi="Arial"/>
          <w:sz w:val="19"/>
          <w:szCs w:val="19"/>
          <w:color w:val="auto"/>
        </w:rPr>
      </w:pPr>
    </w:p>
    <w:p>
      <w:pPr>
        <w:ind w:left="580" w:hanging="286"/>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earnings per share of $1.88 to $1.92, representing an increase of 14% to 16% from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Conference Call</w:t>
      </w:r>
    </w:p>
    <w:p>
      <w:pPr>
        <w:spacing w:after="0" w:line="26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ExlService Holdings, Inc. will host a conference call on Wednesday, October 29, 2025, at 10:00 A.M. ET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6"/>
          <w:szCs w:val="16"/>
          <w:u w:val="single" w:color="auto"/>
          <w:color w:val="0000FF"/>
        </w:rPr>
        <w:t>ir.exlservice.com</w:t>
      </w:r>
      <w:r>
        <w:rPr>
          <w:rFonts w:ascii="Times New Roman" w:cs="Times New Roman" w:eastAsia="Times New Roman" w:hAnsi="Times New Roman"/>
          <w:sz w:val="16"/>
          <w:szCs w:val="16"/>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03"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 xml:space="preserve">To join the live call, please register </w:t>
      </w:r>
      <w:r>
        <w:rPr>
          <w:rFonts w:ascii="Times New Roman" w:cs="Times New Roman" w:eastAsia="Times New Roman" w:hAnsi="Times New Roman"/>
          <w:sz w:val="16"/>
          <w:szCs w:val="16"/>
          <w:u w:val="single" w:color="auto"/>
          <w:color w:val="0000FF"/>
        </w:rPr>
        <w:t>here</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6"/>
          <w:szCs w:val="16"/>
          <w:u w:val="single" w:color="auto"/>
          <w:color w:val="0000FF"/>
        </w:rPr>
        <w:t>ir.exlservice.com</w:t>
      </w:r>
      <w:r>
        <w:rPr>
          <w:rFonts w:ascii="Times New Roman" w:cs="Times New Roman" w:eastAsia="Times New Roman" w:hAnsi="Times New Roman"/>
          <w:sz w:val="16"/>
          <w:szCs w:val="16"/>
          <w:color w:val="auto"/>
        </w:rPr>
        <w:t xml:space="preserve"> for a period of twelve months.</w:t>
      </w:r>
    </w:p>
    <w:p>
      <w:pPr>
        <w:sectPr>
          <w:pgSz w:w="11900" w:h="16840" w:orient="portrait"/>
          <w:cols w:equalWidth="0" w:num="1">
            <w:col w:w="10580"/>
          </w:cols>
          <w:pgMar w:left="660" w:top="1440" w:right="66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About ExlService Holdings, Inc.</w:t>
      </w:r>
    </w:p>
    <w:p>
      <w:pPr>
        <w:spacing w:after="0" w:line="178" w:lineRule="exact"/>
        <w:rPr>
          <w:sz w:val="20"/>
          <w:szCs w:val="20"/>
          <w:color w:val="auto"/>
        </w:rPr>
      </w:pPr>
    </w:p>
    <w:p>
      <w:pPr>
        <w:jc w:val="both"/>
        <w:spacing w:after="0" w:line="350" w:lineRule="auto"/>
        <w:rPr>
          <w:sz w:val="20"/>
          <w:szCs w:val="20"/>
          <w:color w:val="auto"/>
        </w:rPr>
      </w:pPr>
      <w:r>
        <w:rPr>
          <w:rFonts w:ascii="Times New Roman" w:cs="Times New Roman" w:eastAsia="Times New Roman" w:hAnsi="Times New Roman"/>
          <w:sz w:val="16"/>
          <w:szCs w:val="16"/>
          <w:color w:val="auto"/>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63,000 employees spanning six continents. For more information, visit </w:t>
      </w:r>
      <w:r>
        <w:rPr>
          <w:rFonts w:ascii="Times New Roman" w:cs="Times New Roman" w:eastAsia="Times New Roman" w:hAnsi="Times New Roman"/>
          <w:sz w:val="16"/>
          <w:szCs w:val="16"/>
          <w:u w:val="single" w:color="auto"/>
          <w:color w:val="0000FF"/>
        </w:rPr>
        <w:t>www.exlservice.com</w:t>
      </w:r>
      <w:r>
        <w:rPr>
          <w:rFonts w:ascii="Times New Roman" w:cs="Times New Roman" w:eastAsia="Times New Roman" w:hAnsi="Times New Roman"/>
          <w:sz w:val="16"/>
          <w:szCs w:val="16"/>
          <w:color w:val="auto"/>
        </w:rPr>
        <w:t>.</w:t>
      </w:r>
    </w:p>
    <w:p>
      <w:pPr>
        <w:spacing w:after="0" w:line="2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Cautionary Statement Regarding Forward-Looking Statements </w:t>
      </w:r>
      <w:r>
        <w:rPr>
          <w:rFonts w:ascii="Times New Roman" w:cs="Times New Roman" w:eastAsia="Times New Roman" w:hAnsi="Times New Roman"/>
          <w:sz w:val="16"/>
          <w:szCs w:val="16"/>
          <w:i w:val="1"/>
          <w:iCs w:val="1"/>
          <w:color w:val="auto"/>
        </w:rPr>
        <w:t>This press release contains forward-looking statements within the meaning of the United States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40" w:orient="portrait"/>
          <w:cols w:equalWidth="0" w:num="1">
            <w:col w:w="10580"/>
          </w:cols>
          <w:pgMar w:left="660" w:top="1275" w:right="660" w:bottom="1440" w:gutter="0" w:footer="0" w:header="0"/>
        </w:sectPr>
      </w:pPr>
    </w:p>
    <w:bookmarkStart w:id="7" w:name="page8"/>
    <w:bookmarkEnd w:id="7"/>
    <w:p>
      <w:pPr>
        <w:ind w:left="3920"/>
        <w:spacing w:after="0"/>
        <w:rPr>
          <w:sz w:val="20"/>
          <w:szCs w:val="20"/>
          <w:color w:val="auto"/>
        </w:rPr>
      </w:pPr>
      <w:r>
        <w:rPr>
          <w:rFonts w:ascii="Times New Roman" w:cs="Times New Roman" w:eastAsia="Times New Roman" w:hAnsi="Times New Roman"/>
          <w:sz w:val="16"/>
          <w:szCs w:val="16"/>
          <w:b w:val="1"/>
          <w:bCs w:val="1"/>
          <w:color w:val="auto"/>
        </w:rPr>
        <w:t>EXLSERVICE HOLDINGS, INC.</w:t>
      </w:r>
    </w:p>
    <w:p>
      <w:pPr>
        <w:spacing w:after="0" w:line="6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CONSOLIDATED STATEMENTS OF INCOME (UNAUDITED)</w:t>
      </w:r>
    </w:p>
    <w:p>
      <w:pPr>
        <w:spacing w:after="0" w:line="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 and share count)</w:t>
      </w:r>
    </w:p>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1,545,064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1,356,946</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953,626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849,336</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1"/>
                <w:szCs w:val="21"/>
                <w:b w:val="1"/>
                <w:bCs w:val="1"/>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203,936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178,267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591,438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507,610</w:t>
            </w: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185,217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167,195</w:t>
            </w:r>
          </w:p>
        </w:tc>
        <w:tc>
          <w:tcPr>
            <w:tcW w:w="0" w:type="dxa"/>
            <w:vAlign w:val="bottom"/>
          </w:tcPr>
          <w:p>
            <w:pPr>
              <w:spacing w:after="0"/>
              <w:rPr>
                <w:sz w:val="1"/>
                <w:szCs w:val="1"/>
                <w:color w:val="auto"/>
              </w:rPr>
            </w:pPr>
          </w:p>
        </w:tc>
      </w:tr>
      <w:tr>
        <w:trPr>
          <w:trHeight w:val="204"/>
        </w:trPr>
        <w:tc>
          <w:tcPr>
            <w:tcW w:w="4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127,754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108,982</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42,740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39,055</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127,762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108,862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355,711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315,232</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76,174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235,727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192,378</w:t>
            </w: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14,833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 and earnings from equity affiliates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74,697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239,601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190,782</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48,498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43,086</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191,103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147,696</w:t>
            </w:r>
          </w:p>
        </w:tc>
        <w:tc>
          <w:tcPr>
            <w:tcW w:w="0" w:type="dxa"/>
            <w:vAlign w:val="bottom"/>
          </w:tcPr>
          <w:p>
            <w:pPr>
              <w:spacing w:after="0"/>
              <w:rPr>
                <w:sz w:val="1"/>
                <w:szCs w:val="1"/>
                <w:color w:val="auto"/>
              </w:rPr>
            </w:pPr>
          </w:p>
        </w:tc>
      </w:tr>
      <w:tr>
        <w:trPr>
          <w:trHeight w:val="20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190,773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147,625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04"/>
        </w:trPr>
        <w:tc>
          <w:tcPr>
            <w:tcW w:w="4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used in computing earnings per share: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160,495,712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161,732,872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161,963,152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163,197,767</w:t>
            </w: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161,714,486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163,187,733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163,481,053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164,620,081</w:t>
            </w: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Exclusive of depreciation and amortization expense.</w:t>
      </w:r>
    </w:p>
    <w:p>
      <w:pPr>
        <w:sectPr>
          <w:pgSz w:w="11900" w:h="16840" w:orient="portrait"/>
          <w:cols w:equalWidth="0" w:num="1">
            <w:col w:w="10020"/>
          </w:cols>
          <w:pgMar w:left="880" w:top="1431" w:right="100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EXLSERVICE HOLDINGS, INC.</w:t>
      </w:r>
    </w:p>
    <w:p>
      <w:pPr>
        <w:spacing w:after="0" w:line="1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ind w:left="296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 and share count)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160,309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153,355</w:t>
            </w: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229,833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187,223</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w:t>
            </w: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351,426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304,322</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139,059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140,317</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891,946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795,189</w:t>
            </w: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112,677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101,837</w:t>
            </w: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72,346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68,784</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115,825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104,747</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419,871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420,387</w:t>
            </w: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39,511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49,331</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65,250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56,085</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1,733,632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1,618,403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Current portion of long-term borrowings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Accrued employee costs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129,381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129,994</w:t>
            </w: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113,597</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290,116</w:t>
            </w: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 less current portion</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349,934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283,598</w:t>
            </w: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59,851</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61,379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53,573</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781,243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688,541</w:t>
            </w:r>
          </w:p>
        </w:tc>
        <w:tc>
          <w:tcPr>
            <w:tcW w:w="0" w:type="dxa"/>
            <w:vAlign w:val="bottom"/>
          </w:tcPr>
          <w:p>
            <w:pPr>
              <w:spacing w:after="0"/>
              <w:rPr>
                <w:sz w:val="1"/>
                <w:szCs w:val="1"/>
                <w:color w:val="auto"/>
              </w:rPr>
            </w:pPr>
          </w:p>
        </w:tc>
      </w:tr>
      <w:tr>
        <w:trPr>
          <w:trHeight w:val="17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5"/>
        </w:trPr>
        <w:tc>
          <w:tcPr>
            <w:tcW w:w="66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207,938,011 shares issued and</w:t>
            </w:r>
          </w:p>
        </w:tc>
        <w:tc>
          <w:tcPr>
            <w:tcW w:w="1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158,882,631 shares outstanding as of September 30, 2025 and 206,510,587 shares issued and 161,801,212</w:t>
            </w:r>
          </w:p>
        </w:tc>
        <w:tc>
          <w:tcPr>
            <w:tcW w:w="140" w:type="dxa"/>
            <w:vAlign w:val="bottom"/>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shares outstanding as of December 31, 2024</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627,966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588,583</w:t>
            </w: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1,281,960</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(168,977)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(154,722)</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including shares held in treasury</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1,931,929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1,716,027</w:t>
            </w:r>
          </w:p>
        </w:tc>
        <w:tc>
          <w:tcPr>
            <w:tcW w:w="0" w:type="dxa"/>
            <w:vAlign w:val="bottom"/>
          </w:tcPr>
          <w:p>
            <w:pPr>
              <w:spacing w:after="0"/>
              <w:rPr>
                <w:sz w:val="1"/>
                <w:szCs w:val="1"/>
                <w:color w:val="auto"/>
              </w:rPr>
            </w:pPr>
          </w:p>
        </w:tc>
      </w:tr>
      <w:tr>
        <w:trPr>
          <w:trHeight w:val="124"/>
        </w:trPr>
        <w:tc>
          <w:tcPr>
            <w:tcW w:w="66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Less: 49,055,380 shares as of September 30, 2025 and 44,709,375 shares as of December 31, 2024, held in</w:t>
            </w:r>
          </w:p>
        </w:tc>
        <w:tc>
          <w:tcPr>
            <w:tcW w:w="14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(979,540)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(786,165)</w:t>
            </w:r>
          </w:p>
        </w:tc>
        <w:tc>
          <w:tcPr>
            <w:tcW w:w="0" w:type="dxa"/>
            <w:vAlign w:val="bottom"/>
          </w:tcPr>
          <w:p>
            <w:pPr>
              <w:spacing w:after="0"/>
              <w:rPr>
                <w:sz w:val="1"/>
                <w:szCs w:val="1"/>
                <w:color w:val="auto"/>
              </w:rPr>
            </w:pPr>
          </w:p>
        </w:tc>
      </w:tr>
      <w:tr>
        <w:trPr>
          <w:trHeight w:val="13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treasury, at cost</w:t>
            </w: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64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952,389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929,862</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1,733,632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1,618,403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700"/>
          </w:cols>
          <w:pgMar w:left="1100" w:top="1239" w:right="110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EXLSERVICE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Adjusted Financial Measures to GAAP Measures</w:t>
      </w:r>
    </w:p>
    <w:p>
      <w:pPr>
        <w:spacing w:after="0" w:line="238" w:lineRule="exact"/>
        <w:rPr>
          <w:sz w:val="20"/>
          <w:szCs w:val="20"/>
          <w:color w:val="auto"/>
        </w:rPr>
      </w:pPr>
    </w:p>
    <w:p>
      <w:pPr>
        <w:ind w:firstLine="360"/>
        <w:spacing w:after="0" w:line="306" w:lineRule="auto"/>
        <w:rPr>
          <w:sz w:val="20"/>
          <w:szCs w:val="20"/>
          <w:color w:val="auto"/>
        </w:rPr>
      </w:pPr>
      <w:r>
        <w:rPr>
          <w:rFonts w:ascii="Times New Roman" w:cs="Times New Roman" w:eastAsia="Times New Roman" w:hAnsi="Times New Roman"/>
          <w:sz w:val="16"/>
          <w:szCs w:val="16"/>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3" w:lineRule="exact"/>
        <w:rPr>
          <w:sz w:val="20"/>
          <w:szCs w:val="20"/>
          <w:color w:val="auto"/>
        </w:rPr>
      </w:pPr>
    </w:p>
    <w:p>
      <w:pPr>
        <w:ind w:left="1140" w:hanging="270"/>
        <w:spacing w:after="0"/>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income and adjusted operating income margin;</w:t>
      </w:r>
    </w:p>
    <w:p>
      <w:pPr>
        <w:spacing w:after="0" w:line="56" w:lineRule="exact"/>
        <w:rPr>
          <w:rFonts w:ascii="Times New Roman" w:cs="Times New Roman" w:eastAsia="Times New Roman" w:hAnsi="Times New Roman"/>
          <w:sz w:val="16"/>
          <w:szCs w:val="16"/>
          <w:color w:val="auto"/>
        </w:rPr>
      </w:pPr>
    </w:p>
    <w:p>
      <w:pPr>
        <w:ind w:left="1140" w:hanging="270"/>
        <w:spacing w:after="0"/>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and adjusted EBITDA margin;</w:t>
      </w:r>
    </w:p>
    <w:p>
      <w:pPr>
        <w:spacing w:after="0" w:line="32" w:lineRule="exact"/>
        <w:rPr>
          <w:rFonts w:ascii="Times New Roman" w:cs="Times New Roman" w:eastAsia="Times New Roman" w:hAnsi="Times New Roman"/>
          <w:sz w:val="16"/>
          <w:szCs w:val="16"/>
          <w:color w:val="auto"/>
        </w:rPr>
      </w:pPr>
    </w:p>
    <w:p>
      <w:pPr>
        <w:ind w:left="1140" w:hanging="270"/>
        <w:spacing w:after="0"/>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and adjusted diluted earnings per share; and</w:t>
      </w:r>
    </w:p>
    <w:p>
      <w:pPr>
        <w:spacing w:after="0" w:line="32" w:lineRule="exact"/>
        <w:rPr>
          <w:rFonts w:ascii="Times New Roman" w:cs="Times New Roman" w:eastAsia="Times New Roman" w:hAnsi="Times New Roman"/>
          <w:sz w:val="16"/>
          <w:szCs w:val="16"/>
          <w:color w:val="auto"/>
        </w:rPr>
      </w:pPr>
    </w:p>
    <w:p>
      <w:pPr>
        <w:ind w:left="1140" w:hanging="270"/>
        <w:spacing w:after="0"/>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growth on constant currency basis.</w:t>
      </w:r>
    </w:p>
    <w:p>
      <w:pPr>
        <w:spacing w:after="0" w:line="260" w:lineRule="exact"/>
        <w:rPr>
          <w:sz w:val="20"/>
          <w:szCs w:val="20"/>
          <w:color w:val="auto"/>
        </w:rPr>
      </w:pPr>
    </w:p>
    <w:p>
      <w:pPr>
        <w:jc w:val="both"/>
        <w:ind w:firstLine="360"/>
        <w:spacing w:after="0" w:line="329" w:lineRule="auto"/>
        <w:rPr>
          <w:sz w:val="20"/>
          <w:szCs w:val="20"/>
          <w:color w:val="auto"/>
        </w:rPr>
      </w:pPr>
      <w:r>
        <w:rPr>
          <w:rFonts w:ascii="Times New Roman" w:cs="Times New Roman" w:eastAsia="Times New Roman" w:hAnsi="Times New Roman"/>
          <w:sz w:val="14"/>
          <w:szCs w:val="14"/>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398"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6"/>
          <w:szCs w:val="16"/>
          <w:color w:val="auto"/>
        </w:rPr>
        <w:t>EXL non-GAAP financial measures exclude, where applicable, stock-based compensation expense, amortization of acquisition-related intangible assets, provision for restructuring and litigation settlement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09" w:lineRule="exact"/>
        <w:rPr>
          <w:sz w:val="20"/>
          <w:szCs w:val="20"/>
          <w:color w:val="auto"/>
        </w:rPr>
      </w:pPr>
    </w:p>
    <w:p>
      <w:pPr>
        <w:jc w:val="both"/>
        <w:ind w:firstLine="360"/>
        <w:spacing w:after="0" w:line="290" w:lineRule="auto"/>
        <w:rPr>
          <w:sz w:val="20"/>
          <w:szCs w:val="20"/>
          <w:color w:val="auto"/>
        </w:rPr>
      </w:pPr>
      <w:r>
        <w:rPr>
          <w:rFonts w:ascii="Times New Roman" w:cs="Times New Roman" w:eastAsia="Times New Roman" w:hAnsi="Times New Roman"/>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03"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16"/>
          <w:szCs w:val="16"/>
          <w:color w:val="auto"/>
        </w:rPr>
        <w:t>EXL’s primary exchange rate exposure is with the Indian rupee, the Philippine peso, the U.K. pound sterling and the South African rand. The average exchange rate of the U.S. dollar against the Indian rupee increased from 83.79 during the quarter ended September 30, 2024 to 88.19 during the quarter ended September 30, 2025, representing a depreciation of 5.3% against the U.S. dollar. The average exchange rate of the U.S. dollar against the Philippine peso increased from 56.84 during the quarter ended September 30, 2024 to 57.88 during the quarter ended September 30, 2025, representing a depreciation of 1.8% against the U.S. dollar. The average exchange rate of the U.K. pound sterling against the U.S. dollar increased from 1.31 during the quarter ended September 30, 2024 to 1.34 during the quarter ended September 30, 2025, representing an appreciation of 2.0% against the U.S. dollar. The average exchange rate of the U.S. dollar against the South African rand decreased from 17.74 during the quarter ended</w:t>
      </w:r>
    </w:p>
    <w:p>
      <w:pPr>
        <w:sectPr>
          <w:pgSz w:w="11900" w:h="16840" w:orient="portrait"/>
          <w:cols w:equalWidth="0" w:num="1">
            <w:col w:w="10580"/>
          </w:cols>
          <w:pgMar w:left="660" w:top="1263" w:right="66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September 30, 2024 to 17.68 during the quarter ended September 30, 2025, representing an appreciation of 0.3% against the U.S. dollar.</w:t>
      </w:r>
    </w:p>
    <w:p>
      <w:pPr>
        <w:spacing w:after="0" w:line="260" w:lineRule="exact"/>
        <w:rPr>
          <w:sz w:val="20"/>
          <w:szCs w:val="20"/>
          <w:color w:val="auto"/>
        </w:rPr>
      </w:pPr>
    </w:p>
    <w:p>
      <w:pPr>
        <w:ind w:firstLine="360"/>
        <w:spacing w:after="0" w:line="306" w:lineRule="auto"/>
        <w:rPr>
          <w:sz w:val="20"/>
          <w:szCs w:val="20"/>
          <w:color w:val="auto"/>
        </w:rPr>
      </w:pPr>
      <w:r>
        <w:rPr>
          <w:rFonts w:ascii="Times New Roman" w:cs="Times New Roman" w:eastAsia="Times New Roman" w:hAnsi="Times New Roman"/>
          <w:sz w:val="16"/>
          <w:szCs w:val="16"/>
          <w:color w:val="auto"/>
        </w:rPr>
        <w:t>The following table shows the reconciliation of these non-GAAP financial measures for the three months ended September 30, 2025 and September 30, 2024, and the three months ended June 30,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Adjusted Operating Income and Adjusted EBITDA</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98"/>
        </w:trPr>
        <w:tc>
          <w:tcPr>
            <w:tcW w:w="5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(GAAP)</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53,037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66,051</w:t>
            </w:r>
          </w:p>
        </w:tc>
        <w:tc>
          <w:tcPr>
            <w:tcW w:w="0" w:type="dxa"/>
            <w:vAlign w:val="bottom"/>
          </w:tcPr>
          <w:p>
            <w:pPr>
              <w:spacing w:after="0"/>
              <w:rPr>
                <w:sz w:val="1"/>
                <w:szCs w:val="1"/>
                <w:color w:val="auto"/>
              </w:rPr>
            </w:pPr>
          </w:p>
        </w:tc>
      </w:tr>
      <w:tr>
        <w:trPr>
          <w:trHeight w:val="204"/>
        </w:trPr>
        <w:tc>
          <w:tcPr>
            <w:tcW w:w="5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add: Income tax expense</w:t>
            </w:r>
          </w:p>
        </w:tc>
        <w:tc>
          <w:tcPr>
            <w:tcW w:w="34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16,456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15,460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18,546</w:t>
            </w:r>
          </w:p>
        </w:tc>
        <w:tc>
          <w:tcPr>
            <w:tcW w:w="0" w:type="dxa"/>
            <w:vAlign w:val="bottom"/>
          </w:tcPr>
          <w:p>
            <w:pPr>
              <w:spacing w:after="0"/>
              <w:rPr>
                <w:sz w:val="1"/>
                <w:szCs w:val="1"/>
                <w:color w:val="auto"/>
              </w:rPr>
            </w:pPr>
          </w:p>
        </w:tc>
      </w:tr>
      <w:tr>
        <w:trPr>
          <w:trHeight w:val="168"/>
        </w:trPr>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add/(subtract): Foreign exchange gain, net, interest expense, loss from equity-method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(3,459)</w:t>
            </w:r>
          </w:p>
        </w:tc>
        <w:tc>
          <w:tcPr>
            <w:tcW w:w="0" w:type="dxa"/>
            <w:vAlign w:val="bottom"/>
          </w:tcPr>
          <w:p>
            <w:pPr>
              <w:spacing w:after="0"/>
              <w:rPr>
                <w:sz w:val="1"/>
                <w:szCs w:val="1"/>
                <w:color w:val="auto"/>
              </w:rPr>
            </w:pPr>
          </w:p>
        </w:tc>
      </w:tr>
      <w:tr>
        <w:trPr>
          <w:trHeight w:val="192"/>
        </w:trPr>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investment and other income/(loss),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 (GAAP)</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76,174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69,405</w:t>
            </w:r>
          </w:p>
        </w:tc>
        <w:tc>
          <w:tcPr>
            <w:tcW w:w="10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81,138</w:t>
            </w:r>
          </w:p>
        </w:tc>
        <w:tc>
          <w:tcPr>
            <w:tcW w:w="0" w:type="dxa"/>
            <w:vAlign w:val="bottom"/>
          </w:tcPr>
          <w:p>
            <w:pPr>
              <w:spacing w:after="0"/>
              <w:rPr>
                <w:sz w:val="1"/>
                <w:szCs w:val="1"/>
                <w:color w:val="auto"/>
              </w:rPr>
            </w:pPr>
          </w:p>
        </w:tc>
      </w:tr>
      <w:tr>
        <w:trPr>
          <w:trHeight w:val="204"/>
        </w:trPr>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add: Stock-based compensation expense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21,232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16,392</w:t>
            </w:r>
          </w:p>
        </w:tc>
        <w:tc>
          <w:tcPr>
            <w:tcW w:w="0" w:type="dxa"/>
            <w:vAlign w:val="bottom"/>
          </w:tcPr>
          <w:p>
            <w:pPr>
              <w:spacing w:after="0"/>
              <w:rPr>
                <w:sz w:val="1"/>
                <w:szCs w:val="1"/>
                <w:color w:val="auto"/>
              </w:rPr>
            </w:pPr>
          </w:p>
        </w:tc>
      </w:tr>
      <w:tr>
        <w:trPr>
          <w:trHeight w:val="204"/>
        </w:trPr>
        <w:tc>
          <w:tcPr>
            <w:tcW w:w="5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add: Amortization of acquisition-related intangibles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3,277</w:t>
            </w:r>
          </w:p>
        </w:tc>
        <w:tc>
          <w:tcPr>
            <w:tcW w:w="0" w:type="dxa"/>
            <w:vAlign w:val="bottom"/>
          </w:tcPr>
          <w:p>
            <w:pPr>
              <w:spacing w:after="0"/>
              <w:rPr>
                <w:sz w:val="1"/>
                <w:szCs w:val="1"/>
                <w:color w:val="auto"/>
              </w:rPr>
            </w:pPr>
          </w:p>
        </w:tc>
      </w:tr>
      <w:tr>
        <w:trPr>
          <w:trHeight w:val="22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 (Non-GAAP)</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102,623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94,086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100,807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operating income margin as a % of revenue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4"/>
              <w:spacing w:after="0" w:line="159" w:lineRule="exact"/>
              <w:rPr>
                <w:sz w:val="20"/>
                <w:szCs w:val="20"/>
                <w:color w:val="auto"/>
              </w:rPr>
            </w:pPr>
            <w:r>
              <w:rPr>
                <w:rFonts w:ascii="Times New Roman" w:cs="Times New Roman" w:eastAsia="Times New Roman" w:hAnsi="Times New Roman"/>
                <w:sz w:val="14"/>
                <w:szCs w:val="14"/>
                <w:i w:val="1"/>
                <w:iCs w:val="1"/>
                <w:color w:val="auto"/>
              </w:rPr>
              <w:t>19.4%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24"/>
              <w:spacing w:after="0" w:line="159" w:lineRule="exact"/>
              <w:rPr>
                <w:sz w:val="20"/>
                <w:szCs w:val="20"/>
                <w:color w:val="auto"/>
              </w:rPr>
            </w:pPr>
            <w:r>
              <w:rPr>
                <w:rFonts w:ascii="Times New Roman" w:cs="Times New Roman" w:eastAsia="Times New Roman" w:hAnsi="Times New Roman"/>
                <w:sz w:val="14"/>
                <w:szCs w:val="14"/>
                <w:i w:val="1"/>
                <w:iCs w:val="1"/>
                <w:color w:val="auto"/>
              </w:rPr>
              <w:t>19.9%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44"/>
              <w:spacing w:after="0" w:line="159" w:lineRule="exact"/>
              <w:rPr>
                <w:sz w:val="20"/>
                <w:szCs w:val="20"/>
                <w:color w:val="auto"/>
              </w:rPr>
            </w:pPr>
            <w:r>
              <w:rPr>
                <w:rFonts w:ascii="Times New Roman" w:cs="Times New Roman" w:eastAsia="Times New Roman" w:hAnsi="Times New Roman"/>
                <w:sz w:val="14"/>
                <w:szCs w:val="14"/>
                <w:i w:val="1"/>
                <w:iCs w:val="1"/>
                <w:color w:val="auto"/>
              </w:rPr>
              <w:t>19.6%</w:t>
            </w:r>
          </w:p>
        </w:tc>
        <w:tc>
          <w:tcPr>
            <w:tcW w:w="0" w:type="dxa"/>
            <w:vAlign w:val="bottom"/>
          </w:tcPr>
          <w:p>
            <w:pPr>
              <w:spacing w:after="0"/>
              <w:rPr>
                <w:sz w:val="1"/>
                <w:szCs w:val="1"/>
                <w:color w:val="auto"/>
              </w:rPr>
            </w:pPr>
          </w:p>
        </w:tc>
      </w:tr>
      <w:tr>
        <w:trPr>
          <w:trHeight w:val="205"/>
        </w:trPr>
        <w:tc>
          <w:tcPr>
            <w:tcW w:w="5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add: Depreciation on long-lived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11,818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10,778</w:t>
            </w: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114,441</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104,436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111,585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EBITDA margin as a % of revenue (Non-GAAP)</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i w:val="1"/>
                <w:iCs w:val="1"/>
                <w:color w:val="auto"/>
              </w:rPr>
              <w:t>21.6%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i w:val="1"/>
                <w:iCs w:val="1"/>
                <w:color w:val="auto"/>
              </w:rPr>
              <w:t>22.1%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i w:val="1"/>
                <w:iCs w:val="1"/>
                <w:color w:val="auto"/>
              </w:rPr>
              <w:t>21.7%</w:t>
            </w:r>
          </w:p>
        </w:tc>
        <w:tc>
          <w:tcPr>
            <w:tcW w:w="0" w:type="dxa"/>
            <w:vAlign w:val="bottom"/>
          </w:tcPr>
          <w:p>
            <w:pPr>
              <w:spacing w:after="0"/>
              <w:rPr>
                <w:sz w:val="1"/>
                <w:szCs w:val="1"/>
                <w:color w:val="auto"/>
              </w:rPr>
            </w:pPr>
          </w:p>
        </w:tc>
      </w:tr>
    </w:tbl>
    <w:p>
      <w:pPr>
        <w:sectPr>
          <w:pgSz w:w="11900" w:h="16840" w:orient="portrait"/>
          <w:cols w:equalWidth="0" w:num="1">
            <w:col w:w="10560"/>
          </w:cols>
          <w:pgMar w:left="660" w:top="1253" w:right="68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Reconciliation of Adjusted Net Income and Adjusted Diluted Earnings Per Share</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(Amounts in thousands, except per share data)</w:t>
      </w:r>
    </w:p>
    <w:p>
      <w:pPr>
        <w:spacing w:after="0" w:line="8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(GAAP)</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66,051</w:t>
            </w:r>
          </w:p>
        </w:tc>
        <w:tc>
          <w:tcPr>
            <w:tcW w:w="0" w:type="dxa"/>
            <w:vAlign w:val="bottom"/>
          </w:tcPr>
          <w:p>
            <w:pPr>
              <w:spacing w:after="0"/>
              <w:rPr>
                <w:sz w:val="1"/>
                <w:szCs w:val="1"/>
                <w:color w:val="auto"/>
              </w:rPr>
            </w:pPr>
          </w:p>
        </w:tc>
      </w:tr>
      <w:tr>
        <w:trPr>
          <w:trHeight w:val="204"/>
        </w:trPr>
        <w:tc>
          <w:tcPr>
            <w:tcW w:w="6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add: Stock-based compensation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16,392</w:t>
            </w: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add: Amortization of acquisition-related intangibles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3,277</w:t>
            </w:r>
          </w:p>
        </w:tc>
        <w:tc>
          <w:tcPr>
            <w:tcW w:w="0" w:type="dxa"/>
            <w:vAlign w:val="bottom"/>
          </w:tcPr>
          <w:p>
            <w:pPr>
              <w:spacing w:after="0"/>
              <w:rPr>
                <w:sz w:val="1"/>
                <w:szCs w:val="1"/>
                <w:color w:val="auto"/>
              </w:rPr>
            </w:pPr>
          </w:p>
        </w:tc>
      </w:tr>
      <w:tr>
        <w:trPr>
          <w:trHeight w:val="204"/>
        </w:trPr>
        <w:tc>
          <w:tcPr>
            <w:tcW w:w="6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subtract: Acquisition-related adjustments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subtract: Tax impact on stock-based compensation expense (a)</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04"/>
        </w:trPr>
        <w:tc>
          <w:tcPr>
            <w:tcW w:w="6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subtract: Tax impact on amortization of acquisition-related intangibles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2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(Non-GAAP)</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71,022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79,757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earnings per share (Non-GAAP)</w:t>
            </w: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80" w:type="dxa"/>
            <w:vAlign w:val="bottom"/>
            <w:tcBorders>
              <w:top w:val="single" w:sz="8" w:color="CCEEFF"/>
            </w:tcBorders>
            <w:vMerge w:val="continue"/>
          </w:tcPr>
          <w:p>
            <w:pPr>
              <w:spacing w:after="0"/>
              <w:rPr>
                <w:sz w:val="15"/>
                <w:szCs w:val="15"/>
                <w:color w:val="auto"/>
              </w:rPr>
            </w:pPr>
          </w:p>
        </w:tc>
        <w:tc>
          <w:tcPr>
            <w:tcW w:w="300" w:type="dxa"/>
            <w:vAlign w:val="bottom"/>
            <w:tcBorders>
              <w:top w:val="single" w:sz="8" w:color="auto"/>
            </w:tcBorders>
          </w:tcPr>
          <w:p>
            <w:pPr>
              <w:jc w:val="right"/>
              <w:ind w:right="122"/>
              <w:spacing w:after="0" w:line="17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tcPr>
          <w:p>
            <w:pPr>
              <w:spacing w:after="0"/>
              <w:rPr>
                <w:sz w:val="15"/>
                <w:szCs w:val="15"/>
                <w:color w:val="auto"/>
              </w:rPr>
            </w:pPr>
          </w:p>
        </w:tc>
        <w:tc>
          <w:tcPr>
            <w:tcW w:w="44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0.44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2"/>
              <w:spacing w:after="0" w:line="17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0.49</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440" w:hanging="218"/>
        <w:spacing w:after="0" w:line="291" w:lineRule="auto"/>
        <w:tabs>
          <w:tab w:leader="none" w:pos="42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impact includes $64 and $1,673 during the three months ended September 30, 2025 and 2024 respectively, and $203 during the three months ended June 30, 2025, related to discrete benefits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Little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Assistant Vice President, Media Relations</w:t>
      </w:r>
    </w:p>
    <w:p>
      <w:pPr>
        <w:spacing w:after="0" w:line="234" w:lineRule="auto"/>
        <w:rPr>
          <w:sz w:val="20"/>
          <w:szCs w:val="20"/>
          <w:color w:val="auto"/>
        </w:rPr>
      </w:pPr>
      <w:r>
        <w:rPr>
          <w:rFonts w:ascii="Times New Roman" w:cs="Times New Roman" w:eastAsia="Times New Roman" w:hAnsi="Times New Roman"/>
          <w:sz w:val="16"/>
          <w:szCs w:val="16"/>
          <w:color w:val="auto"/>
        </w:rPr>
        <w:t>+1 703 598 0980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media.relations@exlservice.com</w:t>
      </w:r>
    </w:p>
    <w:p>
      <w:pPr>
        <w:sectPr>
          <w:pgSz w:w="11900" w:h="16840" w:orient="portrait"/>
          <w:cols w:equalWidth="0" w:num="1">
            <w:col w:w="10540"/>
          </w:cols>
          <w:pgMar w:left="660" w:top="1239" w:right="700" w:bottom="1440" w:gutter="0" w:footer="0" w:header="0"/>
        </w:sectPr>
      </w:pPr>
    </w:p>
    <w:bookmarkStart w:id="12" w:name="page13"/>
    <w:bookmarkEnd w:id="1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2025-11-19T12:03:41Z</dcterms:created>
  <dcterms:modified xsi:type="dcterms:W3CDTF">2025-11-19T12:03:41Z</dcterms:modified>
</cp:coreProperties>
</file>