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5340" w:type="dxa"/>
            <w:vAlign w:val="bottom"/>
          </w:tcPr>
          <w:p>
            <w:pPr>
              <w:jc w:val="center"/>
              <w:ind w:right="190"/>
              <w:spacing w:after="0"/>
              <w:rPr>
                <w:sz w:val="20"/>
                <w:szCs w:val="20"/>
                <w:color w:val="auto"/>
              </w:rPr>
            </w:pPr>
            <w:r>
              <w:rPr>
                <w:rFonts w:ascii="Arial" w:cs="Arial" w:eastAsia="Arial" w:hAnsi="Arial"/>
                <w:sz w:val="18"/>
                <w:szCs w:val="18"/>
                <w:color w:val="auto"/>
                <w:w w:val="92"/>
              </w:rPr>
              <w:t>(Commission File Number)</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New York, New York</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10022</w:t>
            </w: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277-7100</w:t>
            </w:r>
          </w:p>
        </w:tc>
        <w:tc>
          <w:tcPr>
            <w:tcW w:w="1680" w:type="dxa"/>
            <w:vAlign w:val="bottom"/>
          </w:tcPr>
          <w:p>
            <w:pPr>
              <w:spacing w:after="0"/>
              <w:rPr>
                <w:sz w:val="24"/>
                <w:szCs w:val="24"/>
                <w:color w:val="auto"/>
              </w:rPr>
            </w:pPr>
          </w:p>
        </w:tc>
      </w:tr>
      <w:tr>
        <w:trPr>
          <w:trHeight w:val="418"/>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Arial" w:cs="Arial" w:eastAsia="Arial" w:hAnsi="Arial"/>
                <w:sz w:val="18"/>
                <w:szCs w:val="18"/>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EXLS</w:t>
            </w:r>
          </w:p>
        </w:tc>
        <w:tc>
          <w:tcPr>
            <w:tcW w:w="436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right="280" w:firstLine="310"/>
        <w:spacing w:after="0" w:line="259" w:lineRule="auto"/>
        <w:rPr>
          <w:sz w:val="20"/>
          <w:szCs w:val="20"/>
          <w:color w:val="auto"/>
        </w:rPr>
      </w:pPr>
      <w:r>
        <w:rPr>
          <w:rFonts w:ascii="Arial" w:cs="Arial" w:eastAsia="Arial" w:hAnsi="Arial"/>
          <w:sz w:val="18"/>
          <w:szCs w:val="18"/>
          <w:color w:val="auto"/>
        </w:rPr>
        <w:t>On June 15, 2020, at the Annual Meeting of Stockholders of ExlService Holdings, Inc. (the “Company”), the Company’s stockholders voted on the following items: (1) the election of six members of the Company’s board of directors (the “Board”), (2) the ratification of the appointment of Deloitte &amp; Touche LLP as the independent registered public accounting firm of the Company for fiscal year 2020, and (3) the approval, on a non-binding advisory basis, of the compensation of the named executive officers of the Company (“Say-on-Pay”).</w:t>
      </w:r>
    </w:p>
    <w:p>
      <w:pPr>
        <w:spacing w:after="0" w:line="18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Each of the six nominees for election to the Board was duly elected to serve as a director for a term of one year, until the 2021 annual meeting of stockholders, or until his or her successor is duly elected and qualified in accordance with the by-laws of the Company. The final results of the voting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Nominees</w:t>
            </w:r>
          </w:p>
        </w:tc>
        <w:tc>
          <w:tcPr>
            <w:tcW w:w="3000" w:type="dxa"/>
            <w:vAlign w:val="bottom"/>
          </w:tcPr>
          <w:p>
            <w:pPr>
              <w:jc w:val="center"/>
              <w:ind w:left="990"/>
              <w:spacing w:after="0"/>
              <w:rPr>
                <w:sz w:val="20"/>
                <w:szCs w:val="20"/>
                <w:color w:val="auto"/>
              </w:rPr>
            </w:pPr>
            <w:r>
              <w:rPr>
                <w:rFonts w:ascii="Arial" w:cs="Arial" w:eastAsia="Arial" w:hAnsi="Arial"/>
                <w:sz w:val="18"/>
                <w:szCs w:val="18"/>
                <w:b w:val="1"/>
                <w:bCs w:val="1"/>
                <w:color w:val="auto"/>
                <w:w w:val="96"/>
              </w:rPr>
              <w:t>For</w:t>
            </w:r>
          </w:p>
        </w:tc>
        <w:tc>
          <w:tcPr>
            <w:tcW w:w="1740" w:type="dxa"/>
            <w:vAlign w:val="bottom"/>
          </w:tcPr>
          <w:p>
            <w:pPr>
              <w:ind w:left="560"/>
              <w:spacing w:after="0"/>
              <w:rPr>
                <w:sz w:val="20"/>
                <w:szCs w:val="20"/>
                <w:color w:val="auto"/>
              </w:rPr>
            </w:pPr>
            <w:r>
              <w:rPr>
                <w:rFonts w:ascii="Arial" w:cs="Arial" w:eastAsia="Arial" w:hAnsi="Arial"/>
                <w:sz w:val="18"/>
                <w:szCs w:val="18"/>
                <w:b w:val="1"/>
                <w:bCs w:val="1"/>
                <w:color w:val="auto"/>
              </w:rPr>
              <w:t>Against</w:t>
            </w:r>
          </w:p>
        </w:tc>
        <w:tc>
          <w:tcPr>
            <w:tcW w:w="158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Abstain</w:t>
            </w:r>
          </w:p>
        </w:tc>
        <w:tc>
          <w:tcPr>
            <w:tcW w:w="188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Broker Non-Votes</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Rohit Kapoor</w:t>
            </w:r>
          </w:p>
        </w:tc>
        <w:tc>
          <w:tcPr>
            <w:tcW w:w="300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88"/>
              </w:rPr>
              <w:t>30,735,729</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361,173</w:t>
            </w:r>
          </w:p>
        </w:tc>
        <w:tc>
          <w:tcPr>
            <w:tcW w:w="15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12,023</w:t>
            </w:r>
          </w:p>
        </w:tc>
        <w:tc>
          <w:tcPr>
            <w:tcW w:w="1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1,278,181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David B. Kelso</w:t>
            </w:r>
          </w:p>
        </w:tc>
        <w:tc>
          <w:tcPr>
            <w:tcW w:w="3000" w:type="dxa"/>
            <w:vAlign w:val="bottom"/>
          </w:tcPr>
          <w:p>
            <w:pPr>
              <w:jc w:val="center"/>
              <w:ind w:left="990"/>
              <w:spacing w:after="0"/>
              <w:rPr>
                <w:sz w:val="20"/>
                <w:szCs w:val="20"/>
                <w:color w:val="auto"/>
              </w:rPr>
            </w:pPr>
            <w:r>
              <w:rPr>
                <w:rFonts w:ascii="Arial" w:cs="Arial" w:eastAsia="Arial" w:hAnsi="Arial"/>
                <w:sz w:val="18"/>
                <w:szCs w:val="18"/>
                <w:color w:val="auto"/>
                <w:w w:val="88"/>
              </w:rPr>
              <w:t>30,168,234</w:t>
            </w:r>
          </w:p>
        </w:tc>
        <w:tc>
          <w:tcPr>
            <w:tcW w:w="1740" w:type="dxa"/>
            <w:vAlign w:val="bottom"/>
          </w:tcPr>
          <w:p>
            <w:pPr>
              <w:ind w:left="560"/>
              <w:spacing w:after="0"/>
              <w:rPr>
                <w:sz w:val="20"/>
                <w:szCs w:val="20"/>
                <w:color w:val="auto"/>
              </w:rPr>
            </w:pPr>
            <w:r>
              <w:rPr>
                <w:rFonts w:ascii="Arial" w:cs="Arial" w:eastAsia="Arial" w:hAnsi="Arial"/>
                <w:sz w:val="18"/>
                <w:szCs w:val="18"/>
                <w:color w:val="auto"/>
              </w:rPr>
              <w:t>928,684</w:t>
            </w:r>
          </w:p>
        </w:tc>
        <w:tc>
          <w:tcPr>
            <w:tcW w:w="1580" w:type="dxa"/>
            <w:vAlign w:val="bottom"/>
          </w:tcPr>
          <w:p>
            <w:pPr>
              <w:jc w:val="center"/>
              <w:ind w:left="110"/>
              <w:spacing w:after="0"/>
              <w:rPr>
                <w:sz w:val="20"/>
                <w:szCs w:val="20"/>
                <w:color w:val="auto"/>
              </w:rPr>
            </w:pPr>
            <w:r>
              <w:rPr>
                <w:rFonts w:ascii="Arial" w:cs="Arial" w:eastAsia="Arial" w:hAnsi="Arial"/>
                <w:sz w:val="18"/>
                <w:szCs w:val="18"/>
                <w:color w:val="auto"/>
                <w:w w:val="90"/>
              </w:rPr>
              <w:t>12,007</w:t>
            </w:r>
          </w:p>
        </w:tc>
        <w:tc>
          <w:tcPr>
            <w:tcW w:w="1880" w:type="dxa"/>
            <w:vAlign w:val="bottom"/>
          </w:tcPr>
          <w:p>
            <w:pPr>
              <w:jc w:val="center"/>
              <w:ind w:left="230"/>
              <w:spacing w:after="0"/>
              <w:rPr>
                <w:sz w:val="20"/>
                <w:szCs w:val="20"/>
                <w:color w:val="auto"/>
              </w:rPr>
            </w:pPr>
            <w:r>
              <w:rPr>
                <w:rFonts w:ascii="Arial" w:cs="Arial" w:eastAsia="Arial" w:hAnsi="Arial"/>
                <w:sz w:val="18"/>
                <w:szCs w:val="18"/>
                <w:color w:val="auto"/>
                <w:w w:val="89"/>
              </w:rPr>
              <w:t>1,278,181</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Anne Minto</w:t>
            </w:r>
          </w:p>
        </w:tc>
        <w:tc>
          <w:tcPr>
            <w:tcW w:w="300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88"/>
              </w:rPr>
              <w:t>30,908,568</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183,029</w:t>
            </w:r>
          </w:p>
        </w:tc>
        <w:tc>
          <w:tcPr>
            <w:tcW w:w="15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17,328</w:t>
            </w:r>
          </w:p>
        </w:tc>
        <w:tc>
          <w:tcPr>
            <w:tcW w:w="1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1,278,181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Som Mittal</w:t>
            </w:r>
          </w:p>
        </w:tc>
        <w:tc>
          <w:tcPr>
            <w:tcW w:w="3000" w:type="dxa"/>
            <w:vAlign w:val="bottom"/>
          </w:tcPr>
          <w:p>
            <w:pPr>
              <w:jc w:val="center"/>
              <w:ind w:left="990"/>
              <w:spacing w:after="0"/>
              <w:rPr>
                <w:sz w:val="20"/>
                <w:szCs w:val="20"/>
                <w:color w:val="auto"/>
              </w:rPr>
            </w:pPr>
            <w:r>
              <w:rPr>
                <w:rFonts w:ascii="Arial" w:cs="Arial" w:eastAsia="Arial" w:hAnsi="Arial"/>
                <w:sz w:val="18"/>
                <w:szCs w:val="18"/>
                <w:color w:val="auto"/>
                <w:w w:val="88"/>
              </w:rPr>
              <w:t>30,938,413</w:t>
            </w:r>
          </w:p>
        </w:tc>
        <w:tc>
          <w:tcPr>
            <w:tcW w:w="1740" w:type="dxa"/>
            <w:vAlign w:val="bottom"/>
          </w:tcPr>
          <w:p>
            <w:pPr>
              <w:ind w:left="560"/>
              <w:spacing w:after="0"/>
              <w:rPr>
                <w:sz w:val="20"/>
                <w:szCs w:val="20"/>
                <w:color w:val="auto"/>
              </w:rPr>
            </w:pPr>
            <w:r>
              <w:rPr>
                <w:rFonts w:ascii="Arial" w:cs="Arial" w:eastAsia="Arial" w:hAnsi="Arial"/>
                <w:sz w:val="18"/>
                <w:szCs w:val="18"/>
                <w:color w:val="auto"/>
              </w:rPr>
              <w:t>158,539</w:t>
            </w:r>
          </w:p>
        </w:tc>
        <w:tc>
          <w:tcPr>
            <w:tcW w:w="1580" w:type="dxa"/>
            <w:vAlign w:val="bottom"/>
          </w:tcPr>
          <w:p>
            <w:pPr>
              <w:jc w:val="center"/>
              <w:ind w:left="130"/>
              <w:spacing w:after="0"/>
              <w:rPr>
                <w:sz w:val="20"/>
                <w:szCs w:val="20"/>
                <w:color w:val="auto"/>
              </w:rPr>
            </w:pPr>
            <w:r>
              <w:rPr>
                <w:rFonts w:ascii="Arial" w:cs="Arial" w:eastAsia="Arial" w:hAnsi="Arial"/>
                <w:sz w:val="18"/>
                <w:szCs w:val="18"/>
                <w:color w:val="auto"/>
                <w:w w:val="87"/>
              </w:rPr>
              <w:t>11,973</w:t>
            </w:r>
          </w:p>
        </w:tc>
        <w:tc>
          <w:tcPr>
            <w:tcW w:w="1880" w:type="dxa"/>
            <w:vAlign w:val="bottom"/>
          </w:tcPr>
          <w:p>
            <w:pPr>
              <w:jc w:val="center"/>
              <w:ind w:left="230"/>
              <w:spacing w:after="0"/>
              <w:rPr>
                <w:sz w:val="20"/>
                <w:szCs w:val="20"/>
                <w:color w:val="auto"/>
              </w:rPr>
            </w:pPr>
            <w:r>
              <w:rPr>
                <w:rFonts w:ascii="Arial" w:cs="Arial" w:eastAsia="Arial" w:hAnsi="Arial"/>
                <w:sz w:val="18"/>
                <w:szCs w:val="18"/>
                <w:color w:val="auto"/>
                <w:w w:val="89"/>
              </w:rPr>
              <w:t>1,278,181</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Clyde Ostler</w:t>
            </w:r>
          </w:p>
        </w:tc>
        <w:tc>
          <w:tcPr>
            <w:tcW w:w="300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88"/>
              </w:rPr>
              <w:t>30,330,507</w:t>
            </w:r>
          </w:p>
        </w:tc>
        <w:tc>
          <w:tcPr>
            <w:tcW w:w="1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766,401</w:t>
            </w:r>
          </w:p>
        </w:tc>
        <w:tc>
          <w:tcPr>
            <w:tcW w:w="15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12,017</w:t>
            </w:r>
          </w:p>
        </w:tc>
        <w:tc>
          <w:tcPr>
            <w:tcW w:w="18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9"/>
              </w:rPr>
              <w:t>1,278,181</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Jaynie Studenmund</w:t>
            </w:r>
          </w:p>
        </w:tc>
        <w:tc>
          <w:tcPr>
            <w:tcW w:w="3000" w:type="dxa"/>
            <w:vAlign w:val="bottom"/>
          </w:tcPr>
          <w:p>
            <w:pPr>
              <w:jc w:val="center"/>
              <w:ind w:left="990"/>
              <w:spacing w:after="0"/>
              <w:rPr>
                <w:sz w:val="20"/>
                <w:szCs w:val="20"/>
                <w:color w:val="auto"/>
              </w:rPr>
            </w:pPr>
            <w:r>
              <w:rPr>
                <w:rFonts w:ascii="Arial" w:cs="Arial" w:eastAsia="Arial" w:hAnsi="Arial"/>
                <w:sz w:val="18"/>
                <w:szCs w:val="18"/>
                <w:color w:val="auto"/>
                <w:w w:val="88"/>
              </w:rPr>
              <w:t>30,684,828</w:t>
            </w:r>
          </w:p>
        </w:tc>
        <w:tc>
          <w:tcPr>
            <w:tcW w:w="1740" w:type="dxa"/>
            <w:vAlign w:val="bottom"/>
          </w:tcPr>
          <w:p>
            <w:pPr>
              <w:ind w:left="560"/>
              <w:spacing w:after="0"/>
              <w:rPr>
                <w:sz w:val="20"/>
                <w:szCs w:val="20"/>
                <w:color w:val="auto"/>
              </w:rPr>
            </w:pPr>
            <w:r>
              <w:rPr>
                <w:rFonts w:ascii="Arial" w:cs="Arial" w:eastAsia="Arial" w:hAnsi="Arial"/>
                <w:sz w:val="18"/>
                <w:szCs w:val="18"/>
                <w:color w:val="auto"/>
              </w:rPr>
              <w:t>412,088</w:t>
            </w:r>
          </w:p>
        </w:tc>
        <w:tc>
          <w:tcPr>
            <w:tcW w:w="1580" w:type="dxa"/>
            <w:vAlign w:val="bottom"/>
          </w:tcPr>
          <w:p>
            <w:pPr>
              <w:jc w:val="center"/>
              <w:ind w:left="110"/>
              <w:spacing w:after="0"/>
              <w:rPr>
                <w:sz w:val="20"/>
                <w:szCs w:val="20"/>
                <w:color w:val="auto"/>
              </w:rPr>
            </w:pPr>
            <w:r>
              <w:rPr>
                <w:rFonts w:ascii="Arial" w:cs="Arial" w:eastAsia="Arial" w:hAnsi="Arial"/>
                <w:sz w:val="18"/>
                <w:szCs w:val="18"/>
                <w:color w:val="auto"/>
                <w:w w:val="90"/>
              </w:rPr>
              <w:t>12,009</w:t>
            </w:r>
          </w:p>
        </w:tc>
        <w:tc>
          <w:tcPr>
            <w:tcW w:w="1880" w:type="dxa"/>
            <w:vAlign w:val="bottom"/>
          </w:tcPr>
          <w:p>
            <w:pPr>
              <w:jc w:val="center"/>
              <w:ind w:left="230"/>
              <w:spacing w:after="0"/>
              <w:rPr>
                <w:sz w:val="20"/>
                <w:szCs w:val="20"/>
                <w:color w:val="auto"/>
              </w:rPr>
            </w:pPr>
            <w:r>
              <w:rPr>
                <w:rFonts w:ascii="Arial" w:cs="Arial" w:eastAsia="Arial" w:hAnsi="Arial"/>
                <w:sz w:val="18"/>
                <w:szCs w:val="18"/>
                <w:color w:val="auto"/>
                <w:w w:val="89"/>
              </w:rPr>
              <w:t>1,278,181</w:t>
            </w:r>
          </w:p>
        </w:tc>
      </w:tr>
    </w:tbl>
    <w:p>
      <w:pPr>
        <w:spacing w:after="0" w:line="187" w:lineRule="exact"/>
        <w:rPr>
          <w:sz w:val="20"/>
          <w:szCs w:val="20"/>
          <w:color w:val="auto"/>
        </w:rPr>
      </w:pPr>
    </w:p>
    <w:p>
      <w:pPr>
        <w:jc w:val="both"/>
        <w:ind w:right="80" w:firstLine="310"/>
        <w:spacing w:after="0" w:line="277"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proposal to ratify the appointment of Deloitte &amp; Touche LLP as the independent registered public accounting firm of the Company for fiscal year 2020 was approved. The final results of the voting were as follows:</w:t>
      </w:r>
    </w:p>
    <w:p>
      <w:pPr>
        <w:spacing w:after="0" w:line="166"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216"/>
        </w:trPr>
        <w:tc>
          <w:tcPr>
            <w:tcW w:w="22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31,222,775</w:t>
            </w:r>
          </w:p>
        </w:tc>
        <w:tc>
          <w:tcPr>
            <w:tcW w:w="23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1,105,086</w:t>
            </w:r>
          </w:p>
        </w:tc>
        <w:tc>
          <w:tcPr>
            <w:tcW w:w="22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59,245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111760</wp:posOffset>
            </wp:positionV>
            <wp:extent cx="28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Say-on-Pay proposal was approved. The final results of the voting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7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For</w:t>
            </w:r>
          </w:p>
        </w:tc>
        <w:tc>
          <w:tcPr>
            <w:tcW w:w="1680" w:type="dxa"/>
            <w:vAlign w:val="bottom"/>
          </w:tcPr>
          <w:p>
            <w:pPr>
              <w:ind w:left="520"/>
              <w:spacing w:after="0"/>
              <w:rPr>
                <w:sz w:val="20"/>
                <w:szCs w:val="20"/>
                <w:color w:val="auto"/>
              </w:rPr>
            </w:pPr>
            <w:r>
              <w:rPr>
                <w:rFonts w:ascii="Arial" w:cs="Arial" w:eastAsia="Arial" w:hAnsi="Arial"/>
                <w:sz w:val="18"/>
                <w:szCs w:val="18"/>
                <w:b w:val="1"/>
                <w:bCs w:val="1"/>
                <w:color w:val="auto"/>
              </w:rPr>
              <w:t>Against</w:t>
            </w:r>
          </w:p>
        </w:tc>
        <w:tc>
          <w:tcPr>
            <w:tcW w:w="150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Abstain</w:t>
            </w:r>
          </w:p>
        </w:tc>
        <w:tc>
          <w:tcPr>
            <w:tcW w:w="182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Broker Non-Votes</w:t>
            </w:r>
          </w:p>
        </w:tc>
        <w:tc>
          <w:tcPr>
            <w:tcW w:w="2240" w:type="dxa"/>
            <w:vAlign w:val="bottom"/>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1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30,396,616</w:t>
            </w:r>
          </w:p>
        </w:tc>
        <w:tc>
          <w:tcPr>
            <w:tcW w:w="1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697,357</w:t>
            </w:r>
          </w:p>
        </w:tc>
        <w:tc>
          <w:tcPr>
            <w:tcW w:w="1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14,952</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1,278,181</w:t>
            </w:r>
          </w:p>
        </w:tc>
        <w:tc>
          <w:tcPr>
            <w:tcW w:w="2240" w:type="dxa"/>
            <w:vAlign w:val="bottom"/>
          </w:tcPr>
          <w:p>
            <w:pPr>
              <w:spacing w:after="0"/>
              <w:rPr>
                <w:sz w:val="18"/>
                <w:szCs w:val="18"/>
                <w:color w:val="auto"/>
              </w:rPr>
            </w:pPr>
          </w:p>
        </w:tc>
      </w:tr>
      <w:tr>
        <w:trPr>
          <w:trHeight w:val="675"/>
        </w:trPr>
        <w:tc>
          <w:tcPr>
            <w:tcW w:w="2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(Registrant)</w:t>
            </w: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June 15, 2020</w:t>
            </w:r>
          </w:p>
        </w:tc>
        <w:tc>
          <w:tcPr>
            <w:tcW w:w="2780" w:type="dxa"/>
            <w:vAlign w:val="bottom"/>
          </w:tcPr>
          <w:p>
            <w:pPr>
              <w:ind w:left="21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Ajay Ayyappan</w:t>
            </w:r>
          </w:p>
        </w:tc>
      </w:tr>
      <w:tr>
        <w:trPr>
          <w:trHeight w:val="195"/>
        </w:trPr>
        <w:tc>
          <w:tcPr>
            <w:tcW w:w="3540" w:type="dxa"/>
            <w:vAlign w:val="bottom"/>
          </w:tcPr>
          <w:p>
            <w:pPr>
              <w:spacing w:after="0"/>
              <w:rPr>
                <w:sz w:val="16"/>
                <w:szCs w:val="16"/>
                <w:color w:val="auto"/>
              </w:rPr>
            </w:pPr>
          </w:p>
        </w:tc>
        <w:tc>
          <w:tcPr>
            <w:tcW w:w="278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ind w:left="100"/>
              <w:spacing w:after="0" w:line="195" w:lineRule="exact"/>
              <w:rPr>
                <w:sz w:val="20"/>
                <w:szCs w:val="20"/>
                <w:color w:val="auto"/>
              </w:rPr>
            </w:pPr>
            <w:r>
              <w:rPr>
                <w:rFonts w:ascii="Arial" w:cs="Arial" w:eastAsia="Arial" w:hAnsi="Arial"/>
                <w:sz w:val="18"/>
                <w:szCs w:val="18"/>
                <w:color w:val="auto"/>
              </w:rPr>
              <w:t>Ajay Ayyappan</w:t>
            </w:r>
          </w:p>
        </w:tc>
      </w:tr>
      <w:tr>
        <w:trPr>
          <w:trHeight w:val="216"/>
        </w:trPr>
        <w:tc>
          <w:tcPr>
            <w:tcW w:w="3540" w:type="dxa"/>
            <w:vAlign w:val="bottom"/>
          </w:tcPr>
          <w:p>
            <w:pPr>
              <w:spacing w:after="0"/>
              <w:rPr>
                <w:sz w:val="18"/>
                <w:szCs w:val="18"/>
                <w:color w:val="auto"/>
              </w:rPr>
            </w:pPr>
          </w:p>
        </w:tc>
        <w:tc>
          <w:tcPr>
            <w:tcW w:w="2780" w:type="dxa"/>
            <w:vAlign w:val="bottom"/>
          </w:tcPr>
          <w:p>
            <w:pPr>
              <w:ind w:left="2100"/>
              <w:spacing w:after="0"/>
              <w:rPr>
                <w:sz w:val="20"/>
                <w:szCs w:val="20"/>
                <w:color w:val="auto"/>
              </w:rPr>
            </w:pPr>
            <w:r>
              <w:rPr>
                <w:rFonts w:ascii="Arial" w:cs="Arial" w:eastAsia="Arial" w:hAnsi="Arial"/>
                <w:sz w:val="18"/>
                <w:szCs w:val="18"/>
                <w:color w:val="auto"/>
              </w:rPr>
              <w:t>Title:</w:t>
            </w:r>
          </w:p>
        </w:tc>
        <w:tc>
          <w:tcPr>
            <w:tcW w:w="492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230"/>
        </w:trPr>
        <w:tc>
          <w:tcPr>
            <w:tcW w:w="3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r>
        <w:trPr>
          <w:trHeight w:val="1971"/>
        </w:trPr>
        <w:tc>
          <w:tcPr>
            <w:tcW w:w="35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2020-06-16T05:09:35Z</dcterms:created>
  <dcterms:modified xsi:type="dcterms:W3CDTF">2020-06-16T05:09:35Z</dcterms:modified>
</cp:coreProperties>
</file>