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6639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63956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Kapoor Rohit</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02/19/2026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16"/>
          <w:szCs w:val="16"/>
          <w:color w:val="0000FF"/>
        </w:rPr>
        <w:t>Chairman &amp; CEO</w:t>
      </w:r>
    </w:p>
    <w:p>
      <w:pPr>
        <w:spacing w:after="0" w:line="275" w:lineRule="exact"/>
        <w:rPr>
          <w:sz w:val="24"/>
          <w:szCs w:val="24"/>
          <w:color w:val="auto"/>
        </w:rPr>
      </w:pPr>
    </w:p>
    <w:p>
      <w:pPr>
        <w:sectPr>
          <w:pgSz w:w="11900" w:h="16838" w:orient="portrait"/>
          <w:cols w:equalWidth="0" w:num="3">
            <w:col w:w="3180" w:space="720"/>
            <w:col w:w="3117" w:space="720"/>
            <w:col w:w="3343"/>
          </w:cols>
          <w:pgMar w:left="460" w:top="214" w:right="359" w:bottom="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6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700" w:type="dxa"/>
            <w:vAlign w:val="bottom"/>
            <w:gridSpan w:val="6"/>
            <w:vMerge w:val="restart"/>
          </w:tcPr>
          <w:p>
            <w:pPr>
              <w:jc w:val="center"/>
              <w:ind w:right="179"/>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00" w:type="dxa"/>
            <w:vAlign w:val="bottom"/>
            <w:gridSpan w:val="6"/>
            <w:vMerge w:val="continue"/>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10022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gridSpan w:val="5"/>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16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8"/>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3"/>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4"/>
                <w:szCs w:val="14"/>
                <w:color w:val="auto"/>
              </w:rPr>
            </w:pP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jc w:val="right"/>
              <w:ind w:right="215"/>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885,670</w:t>
            </w:r>
          </w:p>
        </w:tc>
        <w:tc>
          <w:tcPr>
            <w:tcW w:w="260" w:type="dxa"/>
            <w:vAlign w:val="bottom"/>
          </w:tcPr>
          <w:p>
            <w:pPr>
              <w:spacing w:after="0"/>
              <w:rPr>
                <w:sz w:val="20"/>
                <w:szCs w:val="20"/>
                <w:color w:val="auto"/>
              </w:rPr>
            </w:pPr>
          </w:p>
        </w:tc>
        <w:tc>
          <w:tcPr>
            <w:tcW w:w="6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420,000</w:t>
            </w:r>
          </w:p>
        </w:tc>
        <w:tc>
          <w:tcPr>
            <w:tcW w:w="260" w:type="dxa"/>
            <w:vAlign w:val="bottom"/>
          </w:tcPr>
          <w:p>
            <w:pPr>
              <w:spacing w:after="0"/>
              <w:rPr>
                <w:sz w:val="20"/>
                <w:szCs w:val="20"/>
                <w:color w:val="auto"/>
              </w:rPr>
            </w:pPr>
          </w:p>
        </w:tc>
        <w:tc>
          <w:tcPr>
            <w:tcW w:w="6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420,000</w:t>
            </w:r>
          </w:p>
        </w:tc>
        <w:tc>
          <w:tcPr>
            <w:tcW w:w="260" w:type="dxa"/>
            <w:vAlign w:val="bottom"/>
          </w:tcPr>
          <w:p>
            <w:pPr>
              <w:spacing w:after="0"/>
              <w:rPr>
                <w:sz w:val="20"/>
                <w:szCs w:val="20"/>
                <w:color w:val="auto"/>
              </w:rPr>
            </w:pPr>
          </w:p>
        </w:tc>
        <w:tc>
          <w:tcPr>
            <w:tcW w:w="6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665,925</w:t>
            </w:r>
          </w:p>
        </w:tc>
        <w:tc>
          <w:tcPr>
            <w:tcW w:w="260" w:type="dxa"/>
            <w:vAlign w:val="bottom"/>
          </w:tcPr>
          <w:p>
            <w:pPr>
              <w:spacing w:after="0"/>
              <w:rPr>
                <w:sz w:val="20"/>
                <w:szCs w:val="20"/>
                <w:color w:val="auto"/>
              </w:rPr>
            </w:pPr>
          </w:p>
        </w:tc>
        <w:tc>
          <w:tcPr>
            <w:tcW w:w="6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201,095</w:t>
            </w:r>
          </w:p>
        </w:tc>
        <w:tc>
          <w:tcPr>
            <w:tcW w:w="260" w:type="dxa"/>
            <w:vAlign w:val="bottom"/>
          </w:tcPr>
          <w:p>
            <w:pPr>
              <w:spacing w:after="0"/>
              <w:rPr>
                <w:sz w:val="20"/>
                <w:szCs w:val="20"/>
                <w:color w:val="auto"/>
              </w:rPr>
            </w:pPr>
          </w:p>
        </w:tc>
        <w:tc>
          <w:tcPr>
            <w:tcW w:w="6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color w:val="0000FF"/>
                <w:w w:val="74"/>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322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80" w:type="dxa"/>
            <w:vAlign w:val="bottom"/>
            <w:tcBorders>
              <w:top w:val="single" w:sz="8" w:color="2C2C2C"/>
              <w:bottom w:val="single" w:sz="8" w:color="2C2C2C"/>
            </w:tcBorders>
            <w:gridSpan w:val="4"/>
          </w:tcPr>
          <w:p>
            <w:pPr>
              <w:jc w:val="right"/>
              <w:ind w:right="77"/>
              <w:spacing w:after="0"/>
              <w:rPr>
                <w:sz w:val="20"/>
                <w:szCs w:val="20"/>
                <w:color w:val="auto"/>
              </w:rPr>
            </w:pPr>
            <w:r>
              <w:rPr>
                <w:rFonts w:ascii="Times New Roman" w:cs="Times New Roman" w:eastAsia="Times New Roman" w:hAnsi="Times New Roman"/>
                <w:sz w:val="16"/>
                <w:szCs w:val="16"/>
                <w:color w:val="0000FF"/>
              </w:rPr>
              <w:t>02/20/2026</w:t>
            </w:r>
          </w:p>
        </w:tc>
        <w:tc>
          <w:tcPr>
            <w:tcW w:w="6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(6)</w:t>
            </w:r>
          </w:p>
        </w:tc>
        <w:tc>
          <w:tcPr>
            <w:tcW w:w="700" w:type="dxa"/>
            <w:vAlign w:val="bottom"/>
            <w:tcBorders>
              <w:top w:val="single" w:sz="8" w:color="2C2C2C"/>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24,236</w:t>
            </w:r>
          </w:p>
        </w:tc>
        <w:tc>
          <w:tcPr>
            <w:tcW w:w="640" w:type="dxa"/>
            <w:vAlign w:val="bottom"/>
            <w:tcBorders>
              <w:top w:val="single" w:sz="8" w:color="2C2C2C"/>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1,288,689</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214"/>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(7)</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jc w:val="right"/>
              <w:ind w:right="256"/>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20" w:type="dxa"/>
            <w:vAlign w:val="bottom"/>
            <w:gridSpan w:val="10"/>
          </w:tcPr>
          <w:p>
            <w:pPr>
              <w:jc w:val="right"/>
              <w:ind w:right="215"/>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0"/>
                <w:szCs w:val="10"/>
                <w:color w:val="auto"/>
              </w:rPr>
            </w:pP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0"/>
                <w:szCs w:val="10"/>
                <w:color w:val="008000"/>
              </w:rPr>
              <w:t>(9)</w:t>
            </w:r>
          </w:p>
        </w:tc>
        <w:tc>
          <w:tcPr>
            <w:tcW w:w="640" w:type="dxa"/>
            <w:vAlign w:val="bottom"/>
          </w:tcPr>
          <w:p>
            <w:pPr>
              <w:jc w:val="center"/>
              <w:ind w:right="1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158,628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color w:val="0000FF"/>
              </w:rPr>
              <w:t>02/19/2026</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158,628</w:t>
            </w:r>
          </w:p>
        </w:tc>
        <w:tc>
          <w:tcPr>
            <w:tcW w:w="4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720" w:type="dxa"/>
            <w:vAlign w:val="bottom"/>
          </w:tcPr>
          <w:p>
            <w:pPr>
              <w:jc w:val="right"/>
              <w:ind w:right="25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40" w:type="dxa"/>
            <w:vAlign w:val="bottom"/>
            <w:gridSpan w:val="2"/>
          </w:tcPr>
          <w:p>
            <w:pPr>
              <w:jc w:val="right"/>
              <w:ind w:right="64"/>
              <w:spacing w:after="0" w:line="138" w:lineRule="exact"/>
              <w:rPr>
                <w:sz w:val="20"/>
                <w:szCs w:val="20"/>
                <w:color w:val="auto"/>
              </w:rPr>
            </w:pPr>
            <w:r>
              <w:rPr>
                <w:rFonts w:ascii="Times New Roman" w:cs="Times New Roman" w:eastAsia="Times New Roman" w:hAnsi="Times New Roman"/>
                <w:sz w:val="13"/>
                <w:szCs w:val="13"/>
                <w:color w:val="0000FF"/>
              </w:rPr>
              <w:t>158,628</w:t>
            </w:r>
          </w:p>
        </w:tc>
        <w:tc>
          <w:tcPr>
            <w:tcW w:w="600" w:type="dxa"/>
            <w:vAlign w:val="bottom"/>
          </w:tcPr>
          <w:p>
            <w:pPr>
              <w:ind w:left="4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ind w:right="19"/>
              <w:spacing w:after="0" w:line="138" w:lineRule="exact"/>
              <w:rPr>
                <w:sz w:val="20"/>
                <w:szCs w:val="20"/>
                <w:color w:val="auto"/>
              </w:rPr>
            </w:pPr>
            <w:r>
              <w:rPr>
                <w:rFonts w:ascii="Times New Roman" w:cs="Times New Roman" w:eastAsia="Times New Roman" w:hAnsi="Times New Roman"/>
                <w:sz w:val="13"/>
                <w:szCs w:val="13"/>
                <w:color w:val="0000FF"/>
              </w:rPr>
              <w:t>$0.001</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40"/>
              <w:spacing w:after="0" w:line="27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(6)</w:t>
            </w: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(10)</w:t>
            </w:r>
          </w:p>
        </w:tc>
        <w:tc>
          <w:tcPr>
            <w:tcW w:w="70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(10)</w:t>
            </w:r>
          </w:p>
        </w:tc>
        <w:tc>
          <w:tcPr>
            <w:tcW w:w="640" w:type="dxa"/>
            <w:vAlign w:val="bottom"/>
          </w:tcPr>
          <w:p>
            <w:pPr>
              <w:jc w:val="center"/>
              <w:ind w:right="1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24,236</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color w:val="0000FF"/>
              </w:rPr>
              <w:t>02/20/2026</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24,236</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2"/>
                <w:szCs w:val="12"/>
                <w:color w:val="auto"/>
              </w:rPr>
            </w:pPr>
          </w:p>
        </w:tc>
        <w:tc>
          <w:tcPr>
            <w:tcW w:w="720" w:type="dxa"/>
            <w:vAlign w:val="bottom"/>
          </w:tcPr>
          <w:p>
            <w:pPr>
              <w:jc w:val="right"/>
              <w:ind w:right="25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40" w:type="dxa"/>
            <w:vAlign w:val="bottom"/>
            <w:gridSpan w:val="2"/>
          </w:tcPr>
          <w:p>
            <w:pPr>
              <w:jc w:val="right"/>
              <w:ind w:right="104"/>
              <w:spacing w:after="0" w:line="138" w:lineRule="exact"/>
              <w:rPr>
                <w:sz w:val="20"/>
                <w:szCs w:val="20"/>
                <w:color w:val="auto"/>
              </w:rPr>
            </w:pPr>
            <w:r>
              <w:rPr>
                <w:rFonts w:ascii="Times New Roman" w:cs="Times New Roman" w:eastAsia="Times New Roman" w:hAnsi="Times New Roman"/>
                <w:sz w:val="13"/>
                <w:szCs w:val="13"/>
                <w:color w:val="0000FF"/>
              </w:rPr>
              <w:t>72,708</w:t>
            </w:r>
          </w:p>
        </w:tc>
        <w:tc>
          <w:tcPr>
            <w:tcW w:w="600" w:type="dxa"/>
            <w:vAlign w:val="bottom"/>
          </w:tcPr>
          <w:p>
            <w:pPr>
              <w:ind w:left="4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$0.001</w:t>
            </w: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38" w:lineRule="exact"/>
        <w:rPr>
          <w:rFonts w:ascii="Times New Roman" w:cs="Times New Roman" w:eastAsia="Times New Roman" w:hAnsi="Times New Roman"/>
          <w:sz w:val="13"/>
          <w:szCs w:val="13"/>
          <w:color w:val="008000"/>
        </w:rPr>
      </w:pPr>
    </w:p>
    <w:p>
      <w:pPr>
        <w:ind w:left="40" w:right="2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22" w:lineRule="exact"/>
        <w:rPr>
          <w:rFonts w:ascii="Times New Roman" w:cs="Times New Roman" w:eastAsia="Times New Roman" w:hAnsi="Times New Roman"/>
          <w:sz w:val="13"/>
          <w:szCs w:val="13"/>
          <w:color w:val="008000"/>
        </w:rPr>
      </w:pPr>
    </w:p>
    <w:p>
      <w:pPr>
        <w:jc w:val="both"/>
        <w:ind w:left="40" w:right="160" w:hanging="2"/>
        <w:spacing w:after="0" w:line="274" w:lineRule="auto"/>
        <w:tabs>
          <w:tab w:leader="none" w:pos="228"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June 17, 2025, the reporting person was granted 96,944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w:t>
      </w:r>
    </w:p>
    <w:p>
      <w:pPr>
        <w:ind w:left="200" w:hanging="162"/>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percent of the restricted stock units will vest on February 20, 2029.</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400"/>
        <w:spacing w:after="0" w:line="331" w:lineRule="auto"/>
        <w:rPr>
          <w:sz w:val="20"/>
          <w:szCs w:val="20"/>
          <w:color w:val="auto"/>
        </w:rPr>
      </w:pPr>
      <w:r>
        <w:rPr>
          <w:rFonts w:ascii="Times New Roman" w:cs="Times New Roman" w:eastAsia="Times New Roman" w:hAnsi="Times New Roman"/>
          <w:sz w:val="11"/>
          <w:szCs w:val="11"/>
          <w:color w:val="008000"/>
        </w:rPr>
        <w:t>On February 19, 2026,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Remarks: Mr. Ayyappan is the Company's General Counsel.</w:t>
      </w:r>
    </w:p>
    <w:p>
      <w:pPr>
        <w:sectPr>
          <w:pgSz w:w="11900" w:h="16838" w:orient="portrait"/>
          <w:cols w:equalWidth="0" w:num="1">
            <w:col w:w="11080"/>
          </w:cols>
          <w:pgMar w:left="460" w:top="214" w:right="359" w:bottom="0" w:gutter="0" w:footer="0" w:header="0"/>
          <w:type w:val="continuous"/>
        </w:sectPr>
      </w:pP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Ajay Ayyappan, Attorney-in- 02/23/2026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-4445</wp:posOffset>
            </wp:positionV>
            <wp:extent cx="187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77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47"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2026-02-23T17:53:37Z</dcterms:created>
  <dcterms:modified xsi:type="dcterms:W3CDTF">2026-02-23T17:53:37Z</dcterms:modified>
</cp:coreProperties>
</file>