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20548</w:t>
      </w:r>
    </w:p>
    <w:p>
      <w:pPr>
        <w:spacing w:after="0" w:line="3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9"/>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-3740785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-3097530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-2317115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-1673860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-1030605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26" w:right="339" w:bottom="0" w:gutter="0" w:footer="0" w:header="0"/>
        </w:sectPr>
      </w:pPr>
    </w:p>
    <w:bookmarkStart w:id="1" w:name="page2"/>
    <w:bookmarkEnd w:id="1"/>
    <w:p>
      <w:pPr>
        <w:ind w:left="446" w:hanging="446"/>
        <w:spacing w:after="0"/>
        <w:tabs>
          <w:tab w:leader="none" w:pos="4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406400</wp:posOffset>
            </wp:positionH>
            <wp:positionV relativeFrom="page">
              <wp:posOffset>483235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t>Form, Schedule or Registration Statement No.:</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446" w:hanging="446"/>
        <w:spacing w:after="0"/>
        <w:tabs>
          <w:tab w:leader="none" w:pos="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-876300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-233045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409575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922"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208280</wp:posOffset>
            </wp:positionV>
            <wp:extent cx="114046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2009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behalf of the board of directors of ExlService Holdings, Inc., I am pleased to invite you to the 2009 Annual Meeting of Stockholders, which will be held on June 24, 2009, in Middletown, Connecticut.</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Annual Meeting will begin with a report on our operations, followed by discussion and voting on the matters set forth in the accompanying notice of Annual Meeting and proxy statement and discussion on other business matters properly brought before the Annual Meeting.</w:t>
      </w:r>
    </w:p>
    <w:p>
      <w:pPr>
        <w:spacing w:after="0" w:line="12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Vikram Talwar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Vikram Talwar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Chairman</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208280</wp:posOffset>
            </wp:positionV>
            <wp:extent cx="114046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2009 ANNUAL MEETING OF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You are cordially invited to the 2009 Annual Meeting of Stockholders of ExlService Holdings, Inc., a Delaware corporation (the “Company”). The Annual Meeting will be held at The Inn at Middletown, 70 Main Street, Middletown, Connecticut 06457, on June 24, 2009, at 2:00 PM, Eastern Time, for the purposes of voting on the following matters:</w:t>
      </w:r>
    </w:p>
    <w:p>
      <w:pPr>
        <w:spacing w:after="0" w:line="51"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III members of the board of directors of the Company for a term of three years each;</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ratification of the selection of Ernst &amp; Young LLP as the independent registered public accounting firm of the Company for fiscal year 2009; and</w:t>
      </w:r>
    </w:p>
    <w:p>
      <w:pPr>
        <w:spacing w:after="0" w:line="113"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adjournment or postponement thereof.</w:t>
      </w:r>
    </w:p>
    <w:p>
      <w:pPr>
        <w:spacing w:after="0" w:line="171"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If you are a stockholder of record at the close of business on May 11, 2009, you are entitled to vote at the Annual Meeting. A list of stockholders as of the record date will be available for examination for any purpose germane to the Annual Meeting, during ordinary business hours, at the Company’s executive offices at 350 Park Avenue, New York, New York 10022, for a period of 10 days prior to the date of the Annual Meeting and at the Annual Meeting itself.</w:t>
      </w:r>
    </w:p>
    <w:p>
      <w:pPr>
        <w:spacing w:after="0" w:line="97" w:lineRule="exact"/>
        <w:rPr>
          <w:sz w:val="20"/>
          <w:szCs w:val="20"/>
          <w:color w:val="auto"/>
        </w:rPr>
      </w:pPr>
    </w:p>
    <w:p>
      <w:pPr>
        <w:jc w:val="both"/>
        <w:ind w:right="280" w:firstLine="456"/>
        <w:spacing w:after="0" w:line="258" w:lineRule="auto"/>
        <w:rPr>
          <w:sz w:val="20"/>
          <w:szCs w:val="20"/>
          <w:color w:val="auto"/>
        </w:rPr>
      </w:pPr>
      <w:r>
        <w:rPr>
          <w:rFonts w:ascii="Times New Roman" w:cs="Times New Roman" w:eastAsia="Times New Roman" w:hAnsi="Times New Roman"/>
          <w:sz w:val="18"/>
          <w:szCs w:val="18"/>
          <w:color w:val="auto"/>
        </w:rPr>
        <w:t>Whether or not you expect to attend the Annual Meeting in person, we encourage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60"/>
        <w:spacing w:after="0"/>
        <w:tabs>
          <w:tab w:leader="none" w:pos="7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Amit Shashank</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Vice President, General Counsel and Corporate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2009</w:t>
      </w:r>
    </w:p>
    <w:p>
      <w:pPr>
        <w:spacing w:after="0" w:line="15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i w:val="1"/>
          <w:iCs w:val="1"/>
          <w:color w:val="auto"/>
        </w:rPr>
        <w:t>The Company’s Annual Report on Form 10-K for fiscal year 2008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77"/>
        </w:trPr>
        <w:tc>
          <w:tcPr>
            <w:tcW w:w="11140" w:type="dxa"/>
            <w:vAlign w:val="bottom"/>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47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OUR BOARD OF DIRECTORS</w:t>
              </w:r>
            </w:hyperlink>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3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CORPORATE GOVERNANCE</w:t>
              </w:r>
            </w:hyperlink>
          </w:p>
        </w:tc>
        <w:tc>
          <w:tcPr>
            <w:tcW w:w="20" w:type="dxa"/>
            <w:vAlign w:val="bottom"/>
            <w:tcBorders>
              <w:top w:val="single" w:sz="8" w:color="0000EE"/>
            </w:tcBorders>
          </w:tcPr>
          <w:p>
            <w:pPr>
              <w:spacing w:after="0"/>
              <w:rPr>
                <w:sz w:val="24"/>
                <w:szCs w:val="24"/>
                <w:color w:val="auto"/>
              </w:rPr>
            </w:pPr>
          </w:p>
        </w:tc>
        <w:tc>
          <w:tcPr>
            <w:tcW w:w="88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2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OUR EXECUTIVE OFFICERS</w:t>
              </w:r>
            </w:hyperlink>
          </w:p>
        </w:tc>
        <w:tc>
          <w:tcPr>
            <w:tcW w:w="8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24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EXECUTIVE COMPENSATION</w:t>
              </w:r>
            </w:hyperlink>
          </w:p>
        </w:tc>
        <w:tc>
          <w:tcPr>
            <w:tcW w:w="87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1140" w:type="dxa"/>
            <w:vAlign w:val="bottom"/>
            <w:gridSpan w:val="13"/>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PRINCIPAL STOCKHOLDERS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CERTAIN RELATIONSHIPS AND RELATED PERSON TRANSACTIONS</w:t>
              </w:r>
            </w:hyperlink>
          </w:p>
        </w:tc>
        <w:tc>
          <w:tcPr>
            <w:tcW w:w="5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4"/>
        </w:trPr>
        <w:tc>
          <w:tcPr>
            <w:tcW w:w="11140" w:type="dxa"/>
            <w:vAlign w:val="bottom"/>
            <w:gridSpan w:val="13"/>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REPORT OF THE AUDIT COMMITTEE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PROPOSAL 1: ELECTION OF DIRECTORS</w:t>
              </w:r>
            </w:hyperlink>
          </w:p>
        </w:tc>
        <w:tc>
          <w:tcPr>
            <w:tcW w:w="78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4"/>
        </w:trPr>
        <w:tc>
          <w:tcPr>
            <w:tcW w:w="11140" w:type="dxa"/>
            <w:vAlign w:val="bottom"/>
            <w:gridSpan w:val="1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PROPOSAL 2: RATIFICATION OF THE APPOINTMENT OF INDEPENDENT REGISTERED PUBLIC ACCOUNTING FIRM</w:t>
              </w:r>
            </w:hyperlink>
          </w:p>
        </w:tc>
        <w:tc>
          <w:tcPr>
            <w:tcW w:w="280" w:type="dxa"/>
            <w:vAlign w:val="bottom"/>
          </w:tcPr>
          <w:p>
            <w:pPr>
              <w:spacing w:after="0"/>
              <w:rPr>
                <w:sz w:val="24"/>
                <w:szCs w:val="24"/>
                <w:color w:val="auto"/>
              </w:rPr>
            </w:pP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7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6"/>
        </w:trPr>
        <w:tc>
          <w:tcPr>
            <w:tcW w:w="5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STOCKHOLDER PROPOSALS FOR THE 2010 ANNUAL MEETING</w:t>
              </w:r>
            </w:hyperlink>
          </w:p>
        </w:tc>
        <w:tc>
          <w:tcPr>
            <w:tcW w:w="60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14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MISCELLANEOUS</w:t>
              </w:r>
            </w:hyperlink>
          </w:p>
        </w:tc>
        <w:tc>
          <w:tcPr>
            <w:tcW w:w="96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4"/>
        </w:trPr>
        <w:tc>
          <w:tcPr>
            <w:tcW w:w="144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53">
              <w:r>
                <w:rPr>
                  <w:rFonts w:ascii="Times New Roman" w:cs="Times New Roman" w:eastAsia="Times New Roman" w:hAnsi="Times New Roman"/>
                  <w:sz w:val="18"/>
                  <w:szCs w:val="18"/>
                  <w:color w:val="0000EE"/>
                  <w:w w:val="95"/>
                </w:rPr>
                <w:t>OTHER MATTERS</w:t>
              </w:r>
            </w:hyperlink>
          </w:p>
        </w:tc>
        <w:tc>
          <w:tcPr>
            <w:tcW w:w="97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208280</wp:posOffset>
            </wp:positionV>
            <wp:extent cx="114046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277-7100</w:t>
      </w:r>
    </w:p>
    <w:p>
      <w:pPr>
        <w:spacing w:after="0" w:line="264" w:lineRule="exact"/>
        <w:rPr>
          <w:rFonts w:ascii="Times New Roman" w:cs="Times New Roman" w:eastAsia="Times New Roman" w:hAnsi="Times New Roman"/>
          <w:sz w:val="18"/>
          <w:szCs w:val="18"/>
          <w:b w:val="1"/>
          <w:bCs w:val="1"/>
          <w:color w:val="auto"/>
        </w:rPr>
      </w:pPr>
    </w:p>
    <w:p>
      <w:pPr>
        <w:ind w:left="4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17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you in connection with the solicitation by the board of directors of ExlService Holdings, Inc., a Delaware corporation (“us,” “we,” “our” or the “Company”), of proxies to be used at our 2009 Annual Meeting of Stockholders to be held at The Inn at Middletown, 70 Main Street, Middletown, Connecticut 06457, at 2:00 PM, Eastern Time, on June 24, 2009, and any adjournments or postponements thereof. This Proxy Statement and the accompanying form of proxy card are being mailed to stockholders on or about May 21, 2009.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92"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Only stockholders who owned shares of our common stock at the close of business on May 11, 2009, the record date for the Annual Meeting, can vote at the Annual Meeting. As of the close of business on April 29, 2009, we had 29,923,833 shares of common stock outstanding and entitled to vote. Each holder of common stock is entitled to one vote for each share held as of the record date for the Annual Meeting. There is no cumulative voting in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3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118"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Voting at the Annual Meeting</w:t>
      </w:r>
      <w:r>
        <w:rPr>
          <w:rFonts w:ascii="Times New Roman" w:cs="Times New Roman" w:eastAsia="Times New Roman" w:hAnsi="Times New Roman"/>
          <w:sz w:val="18"/>
          <w:szCs w:val="18"/>
          <w:color w:val="auto"/>
        </w:rPr>
        <w:t>. Voting by mail will not limit your right to vote at the Annual Meeting if you decide to attend in person.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Annual Meeting;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written notice of revocation to the inspector of elections prior to the Annual Meeting;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executed proxy of a later date to the inspector of elections prior to the Annual Meeting.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00"/>
          </w:cols>
          <w:pgMar w:left="240" w:top="455" w:right="3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Effect of Abstentions and Broker Non-Votes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 quorum, which is a majority of the issued and outstanding shares of our common stock as of May 11, 2009,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Proposals</w:t>
      </w:r>
    </w:p>
    <w:p>
      <w:pPr>
        <w:spacing w:after="0" w:line="9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ratification of the appointment of our independent registered public accounting firm and each other item to be acted upon at the Annual Meeting will require the affirmative vote of a majority of shares present in person or represented by proxy and entitled to vote at the Annual Meeting. You may cast your vote in favor of or against this proposal or you may abstain from voting your shares. For purposes of the vote on Proposal 2 or such other item to be acted upon at the Annual Meeting, abstentions will have the effect of a vote against this proposal.</w:t>
      </w:r>
    </w:p>
    <w:p>
      <w:pPr>
        <w:spacing w:after="0" w:line="134"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If you submit your proxy, but do not mark your voting preference, the proxy holders will vote your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nominees for director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our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to be Acted upon at the Meeting</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92" w:lineRule="exact"/>
        <w:rPr>
          <w:sz w:val="20"/>
          <w:szCs w:val="20"/>
          <w:color w:val="auto"/>
        </w:rPr>
      </w:pPr>
    </w:p>
    <w:p>
      <w:pPr>
        <w:ind w:right="1400" w:firstLine="456"/>
        <w:spacing w:after="0" w:line="275" w:lineRule="auto"/>
        <w:rPr>
          <w:sz w:val="20"/>
          <w:szCs w:val="20"/>
          <w:color w:val="auto"/>
        </w:rPr>
      </w:pPr>
      <w:r>
        <w:rPr>
          <w:rFonts w:ascii="Times New Roman" w:cs="Times New Roman" w:eastAsia="Times New Roman" w:hAnsi="Times New Roman"/>
          <w:sz w:val="18"/>
          <w:szCs w:val="18"/>
          <w:color w:val="auto"/>
        </w:rPr>
        <w:t>Our notice of meeting, proxy statement and form of proxy card are available at our website at http://phx.corporate-ir.net/phoenix.zhtml? c=186954&amp;p=proxy.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90"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114"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All Annual Meeting attendees may be asked to present a valid, government 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you have any further questions about voting your shares or attending the Annual Meeting, please call our Investor Relations Department at (212) 277-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73"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III Directors (term expiring in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expiring in 2010):</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 Gruber, our Lead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Garen K. Staglin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V. Dardani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Rohit Kapoor, our President and Chief Executive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Kiran Karnik</w:t>
      </w:r>
    </w:p>
    <w:p>
      <w:pPr>
        <w:spacing w:after="0" w:line="118" w:lineRule="exact"/>
        <w:rPr>
          <w:sz w:val="20"/>
          <w:szCs w:val="20"/>
          <w:color w:val="auto"/>
        </w:rPr>
      </w:pPr>
    </w:p>
    <w:p>
      <w:pPr>
        <w:sectPr>
          <w:pgSz w:w="11900" w:h="16838" w:orient="portrait"/>
          <w:cols w:equalWidth="0" w:num="2">
            <w:col w:w="4660" w:space="720"/>
            <w:col w:w="6040"/>
          </w:cols>
          <w:pgMar w:left="240" w:top="455" w:right="239" w:bottom="1440" w:gutter="0" w:footer="0" w:header="0"/>
          <w:type w:val="continuous"/>
        </w:sect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Class II Directors (term expiring in 2011):</w:t>
      </w:r>
      <w:r>
        <w:rPr>
          <w:sz w:val="20"/>
          <w:szCs w:val="20"/>
          <w:color w:val="auto"/>
        </w:rPr>
        <w:tab/>
      </w:r>
      <w:r>
        <w:rPr>
          <w:rFonts w:ascii="Times New Roman" w:cs="Times New Roman" w:eastAsia="Times New Roman" w:hAnsi="Times New Roman"/>
          <w:sz w:val="16"/>
          <w:szCs w:val="16"/>
          <w:color w:val="auto"/>
        </w:rPr>
        <w:t>David B. Kelso</w:t>
      </w:r>
    </w:p>
    <w:p>
      <w:pPr>
        <w:spacing w:after="0" w:line="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Clyde W. Ostler</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Vikram Talwar, our Executive Chairman</w:t>
      </w:r>
    </w:p>
    <w:p>
      <w:pPr>
        <w:spacing w:after="0" w:line="17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election of our Class III directors will take place at the Annual Meeting. If elected, each of the Class III director nominees will serve on our board of directors until our annual meeting of stockholders in 2012 or until their successors are duly elected and qualified in accordance with our by-laws.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additional information regarding our directors.</w:t>
      </w:r>
    </w:p>
    <w:p>
      <w:pPr>
        <w:spacing w:after="0" w:line="16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Vikram Talwar</w:t>
      </w:r>
      <w:r>
        <w:rPr>
          <w:rFonts w:ascii="Times New Roman" w:cs="Times New Roman" w:eastAsia="Times New Roman" w:hAnsi="Times New Roman"/>
          <w:sz w:val="18"/>
          <w:szCs w:val="18"/>
          <w:color w:val="auto"/>
        </w:rPr>
        <w:t>—Age: 59—co-founded ExlService.com, Inc., our predecessor (“EXL Inc.”), in April 1999 and has served as our Executive Chairman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2008. Mr. Talwar served as our Chief Executive Officer and Vice Chairman of our board of directors from November 2002 to April 2008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Rohit Kapoor</w:t>
      </w:r>
      <w:r>
        <w:rPr>
          <w:rFonts w:ascii="Times New Roman" w:cs="Times New Roman" w:eastAsia="Times New Roman" w:hAnsi="Times New Roman"/>
          <w:sz w:val="18"/>
          <w:szCs w:val="18"/>
          <w:color w:val="auto"/>
        </w:rPr>
        <w:t>—Age: 44—co-founded EXL Inc. in April 1999 and has served as our President and Chief Executive Officer since May 2008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since November 2002. Mr. Kapoor served as our Chief Financial Officer from November 2002 until June 2005 and from August 2006 to March 2007, as our Chief Operating Officer from June 2007 until April 2008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Steven B. Gruber</w:t>
      </w:r>
      <w:r>
        <w:rPr>
          <w:rFonts w:ascii="Times New Roman" w:cs="Times New Roman" w:eastAsia="Times New Roman" w:hAnsi="Times New Roman"/>
          <w:sz w:val="18"/>
          <w:szCs w:val="18"/>
          <w:color w:val="auto"/>
        </w:rPr>
        <w:t>—Age: 51—has served as our Lead Director since May 2008 and served as our Chairman from November 2002 until April 2008.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1999, Mr. Gruber has been a Managing Partner 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 of directors of American Skiing Company.</w:t>
      </w:r>
    </w:p>
    <w:p>
      <w:pPr>
        <w:spacing w:after="0" w:line="13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Edward V. Dardani</w:t>
      </w:r>
      <w:r>
        <w:rPr>
          <w:rFonts w:ascii="Times New Roman" w:cs="Times New Roman" w:eastAsia="Times New Roman" w:hAnsi="Times New Roman"/>
          <w:sz w:val="18"/>
          <w:szCs w:val="18"/>
          <w:color w:val="auto"/>
        </w:rPr>
        <w:t>—Age: 47—has served as a member of our board of directors since April 2005. Mr. Dardani is a Partner of Oak Hill Capital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one of our 5% stockholders, which he joined in July 2002. Mr. Dardani is responsible for investments in business and financial services sectors. Mr. Dardani began his career at Merrill Lynch in their investment banking group. Mr. Dardani serves on the boards of directors of American Skiing Company, RSC Equipment Rental, Inc. The Jacobson Companies, and Southern Air, Inc.</w:t>
      </w:r>
    </w:p>
    <w:p>
      <w:pPr>
        <w:spacing w:after="0" w:line="133"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David B. Kelso</w:t>
      </w:r>
      <w:r>
        <w:rPr>
          <w:rFonts w:ascii="Times New Roman" w:cs="Times New Roman" w:eastAsia="Times New Roman" w:hAnsi="Times New Roman"/>
          <w:sz w:val="18"/>
          <w:szCs w:val="18"/>
          <w:color w:val="auto"/>
        </w:rPr>
        <w:t>—Age: 56—has served as a director since July 2006. Mr. Kelso most recently served as a senior advisor to Inductis, Inc. (“Inductis”)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2004 through June 2006. He served in the Office of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Mr. Kelso serves on the boards of directors of Aspen Holdings, Ltd. and Assurant Inc.</w:t>
      </w:r>
    </w:p>
    <w:p>
      <w:pPr>
        <w:spacing w:after="0" w:line="130" w:lineRule="exact"/>
        <w:rPr>
          <w:sz w:val="20"/>
          <w:szCs w:val="20"/>
          <w:color w:val="auto"/>
        </w:rPr>
      </w:pPr>
    </w:p>
    <w:p>
      <w:pPr>
        <w:jc w:val="both"/>
        <w:ind w:right="6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Clyde W. Ostler</w:t>
      </w:r>
      <w:r>
        <w:rPr>
          <w:rFonts w:ascii="Times New Roman" w:cs="Times New Roman" w:eastAsia="Times New Roman" w:hAnsi="Times New Roman"/>
          <w:sz w:val="18"/>
          <w:szCs w:val="18"/>
          <w:color w:val="auto"/>
        </w:rPr>
        <w:t>—Age: 62—has served as a member of our board of directors since December 2007. Mr. Ostler is currently Group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Wealth Management Group and Internet Services Group at Wells Fargo &amp; Company, where he has been employed since 1971 in various management positions, including as General Auditor from 1983 to 1986 and Chief Financial Officer from 1986 to 1990.</w:t>
      </w:r>
    </w:p>
    <w:p>
      <w:pPr>
        <w:spacing w:after="0" w:line="127"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Dr. Mohanbir Sawhney</w:t>
      </w:r>
      <w:r>
        <w:rPr>
          <w:rFonts w:ascii="Times New Roman" w:cs="Times New Roman" w:eastAsia="Times New Roman" w:hAnsi="Times New Roman"/>
          <w:sz w:val="18"/>
          <w:szCs w:val="18"/>
          <w:color w:val="auto"/>
        </w:rPr>
        <w:t>—Age: 45—has served as a member of our board of directors since November 2005. Dr. Sawhney is a recognized author, scholar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 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13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Garen K. Staglin</w:t>
      </w:r>
      <w:r>
        <w:rPr>
          <w:rFonts w:ascii="Times New Roman" w:cs="Times New Roman" w:eastAsia="Times New Roman" w:hAnsi="Times New Roman"/>
          <w:sz w:val="18"/>
          <w:szCs w:val="18"/>
          <w:color w:val="auto"/>
        </w:rPr>
        <w:t>—Age: 64—has served as a member of our board of directors since June 2005. Mr. Staglin has over 35 years of experience in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a director on the boards of directors of Solera Holdings, Inc. and Bottomline Technologies, Inc. and several private companies. Mr. Staglin is a member of the Advisory Board of the Cambridge University Business School in the United Kingdom.</w:t>
      </w:r>
    </w:p>
    <w:p>
      <w:pPr>
        <w:spacing w:after="0" w:line="134"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Kiran Karnik</w:t>
      </w:r>
      <w:r>
        <w:rPr>
          <w:rFonts w:ascii="Times New Roman" w:cs="Times New Roman" w:eastAsia="Times New Roman" w:hAnsi="Times New Roman"/>
          <w:sz w:val="18"/>
          <w:szCs w:val="18"/>
          <w:color w:val="auto"/>
        </w:rPr>
        <w:t>—Age: 62—has served as a member of our board of directors since September 2008. From September 2001 through January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Karnik served as President of NASSCOM, an Indian industry body representing companies in the information technology (IT) and IT-enabled services sectors. Prior to his tenure at NASSCOM, Mr. Karnik was the Managing Director at Discovery Networks in India. Earlier, Mr. Karnik was Founder-Director of the Consortium for Educational Communication. Mr. Karnik serves as a director on the board of directors of Satyam Computers Services Ltd.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Our Chairman presides at all meetings of our board of directors. Overall, during 2008, our board of directors met eight times. Each member of our board of directors attended at least 75% of our board of directors meetings during the period in 2008 in which he served on our board of directors. It is our policy that all of our Directors should attend our Annual Meetings of Stockholders absent exceptional cause.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currently has three standing committees: the Audit Committee, the Nominating and Governance Committee and the Compensation Committee.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oversees and assists our board of directors in fulfilling its oversight responsibilities with respect to:</w:t>
      </w:r>
    </w:p>
    <w:p>
      <w:pPr>
        <w:spacing w:after="0" w:line="94" w:lineRule="exact"/>
        <w:rPr>
          <w:sz w:val="20"/>
          <w:szCs w:val="20"/>
          <w:color w:val="auto"/>
        </w:rPr>
      </w:pPr>
    </w:p>
    <w:p>
      <w:pPr>
        <w:ind w:left="900" w:right="6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financial statements;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Kelso is the chairman of our Audit Committee. Messrs. Kelso and Ostler qualify as audit committee financial experts under the rules of the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2008, our Audit Committee met nine times. Each member of our Audit Committee attended at least 75% of our Audit Committee’s meetings in 2008.</w:t>
      </w:r>
    </w:p>
    <w:p>
      <w:pPr>
        <w:spacing w:after="0" w:line="135"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Governance Committee. </w:t>
      </w:r>
      <w:r>
        <w:rPr>
          <w:rFonts w:ascii="Times New Roman" w:cs="Times New Roman" w:eastAsia="Times New Roman" w:hAnsi="Times New Roman"/>
          <w:sz w:val="18"/>
          <w:szCs w:val="18"/>
          <w:color w:val="auto"/>
        </w:rPr>
        <w:t>Our Nominating and Governance Committee identifies individuals qualified to become members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(consistent with criteria approved by our board of directors), selects, or recommends that our board of directors select, candidates for election to our board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350 Park Avenue,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w:t>
      </w:r>
    </w:p>
    <w:p>
      <w:pPr>
        <w:spacing w:after="0" w:line="58"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ethical standards and integrity in personal and professional dealings of the candidate;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of the candidate under legal, regulatory and other applicable standards;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diversity of our existing board of directors, so that we maintain a body of directors from diverse professional and personal backgrounds;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skills and experience of the candidate will complement that of our existing board of directors;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dedicate sufficient time, energy and attention to ensure the diligent performance of his or her board of directors’ duties;</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candidate to read and understand fundamental financial statements and understand the use of financial ratios and information in evaluating our financial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candidate to be accountable for his or her decisions as a director;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candidate to provide wise and thoughtful counsel on a broad range of issues;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interact with other directors in a manner that encourages responsible, open, challenging and inspired discussion;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a history of achievements that reflects high standards;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be committed to, and enthusiastic about, his or her performance for us as a director, both in absolute terms and relative to his or her peers;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possesses the courage to express views openly, even in the face of opposition;</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comply with the duties and responsibilities set forth in our Corporate Governance Guidelines and by-laws;</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adhere to our Code of Conduct and Ethics, including, but not limited to, the policies on conflicts of interest expressed therein;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attributes of the candidate and external factors as our board of directors deems appropriate.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240" w:top="455" w:right="3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120" w:lineRule="exact"/>
        <w:rPr>
          <w:sz w:val="20"/>
          <w:szCs w:val="20"/>
          <w:color w:val="auto"/>
        </w:rPr>
      </w:pPr>
    </w:p>
    <w:p>
      <w:pPr>
        <w:ind w:right="460" w:firstLine="456"/>
        <w:spacing w:after="0" w:line="256" w:lineRule="auto"/>
        <w:rPr>
          <w:sz w:val="20"/>
          <w:szCs w:val="20"/>
          <w:color w:val="auto"/>
        </w:rPr>
      </w:pPr>
      <w:r>
        <w:rPr>
          <w:rFonts w:ascii="Times New Roman" w:cs="Times New Roman" w:eastAsia="Times New Roman" w:hAnsi="Times New Roman"/>
          <w:sz w:val="18"/>
          <w:szCs w:val="18"/>
          <w:color w:val="auto"/>
        </w:rPr>
        <w:t>The members of our Nominating and Governance Committee are appointed by our board of directors. During 2008, our Nominating and Governance Committee met four times. Each member of our Nominating and Governance Committee attended at least 75% of our Audit Committee’s meetings in 2008. Messrs. Dardani, Kelso, Sawhney and Staglin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w:t>
      </w:r>
    </w:p>
    <w:p>
      <w:pPr>
        <w:spacing w:after="0" w:line="13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Committee reviews and recommends policies relating to compensation and benefits of our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employees and is responsible for approving the compensation of our Chief Executive Officer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Chief Executive Officer or other senior executive compensation and to carry out its duties. During 2008, our Compensation Committee did not retain any such advisors, consultants or other professionals. Our Compensation Committee’s report included in this proxy statement is on page 24.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4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Ostler and Staglin are the current members of our Compensation Committee. Mr. Gruber is the chairman of our Compensation Committee. Our board of directors has determined that Messrs. Gruber, Ostler and Staglin meet the independence requirements of the Nasdaq Stock Market and the federal securities laws. During 2008, our Compensation Committee met seven times. Each member of our Compensation Committee attended at least 75% of our Compensation Committee meetings in 2008.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Gruber, Ostler and Staglin are the members of our Compensation Committee.</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During 2008, none of our executive officers served as a member of the board of directors or compensation committee of any entity that has one or more executive officers who serve on our board of directors or Compensation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 Corporate Governance Guidelines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of ExlService Holdings, Inc.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other stockholder communications addressed to our board of directors will be referred to our Chairman and tracked by our Corporate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communications specifically addressed to a particular director will be referred to that director.</w:t>
      </w:r>
    </w:p>
    <w:p>
      <w:pPr>
        <w:spacing w:after="0" w:line="15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a periodic summary report of all such communications for our Audit Committee.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Based solely on our review of the copies of such forms we have received, we believe that, except as set forth in the following sentence, all of our officers, directors and greater than 10% stockholders complied with all Section 16(a) filing requirements applicable to them with respect to transactions during fiscal year 2008. Messrs. Appel, Bagai, Nacha, Shashank and Talwar each filed one late report regarding one transaction each; and Mr. de Villa filed one late report regarding two transactions.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OUR EXECUTIVE OFFICERS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table below sets forth information regarding our executive officers.</w:t>
            </w:r>
          </w:p>
        </w:tc>
        <w:tc>
          <w:tcPr>
            <w:tcW w:w="0" w:type="dxa"/>
            <w:vAlign w:val="bottom"/>
          </w:tcPr>
          <w:p>
            <w:pPr>
              <w:spacing w:after="0"/>
              <w:rPr>
                <w:sz w:val="1"/>
                <w:szCs w:val="1"/>
                <w:color w:val="auto"/>
              </w:rPr>
            </w:pPr>
          </w:p>
        </w:tc>
      </w:tr>
      <w:tr>
        <w:trPr>
          <w:trHeight w:val="353"/>
        </w:trPr>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Appel</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Amitabh Hajela</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Global Head of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Chief Sales and Marketing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General Counsel and Corporate Secretary of the Company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Head of Transformation Services and Managing Principal</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Biographical information for Vikram Talwar and Rohit Kapoor can be found in “Our Board of Directors” above.</w:t>
      </w:r>
    </w:p>
    <w:p>
      <w:pPr>
        <w:spacing w:after="0" w:line="16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Matthew Appel</w:t>
      </w:r>
      <w:r>
        <w:rPr>
          <w:rFonts w:ascii="Times New Roman" w:cs="Times New Roman" w:eastAsia="Times New Roman" w:hAnsi="Times New Roman"/>
          <w:sz w:val="18"/>
          <w:szCs w:val="18"/>
          <w:color w:val="auto"/>
        </w:rPr>
        <w:t>—Age: 53—has served as our Vice President since February 2007 and as our Vice President and Chief Financial Officer since March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Prior to joining us, Mr. Appel was Vice President, BPO Product Management from 2006 to 2007 and Vice President, Finance and Administration BPO from 2003 through 2005 at Electronic Data Systems Corporation. From 2001 to 2003, Mr. Appel was the Senior Vice President, Finance and Accounting BPO at Affiliated Computer Services, Inc.</w:t>
      </w:r>
    </w:p>
    <w:p>
      <w:pPr>
        <w:spacing w:after="0" w:line="133"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Pavan Bagai</w:t>
      </w:r>
      <w:r>
        <w:rPr>
          <w:rFonts w:ascii="Times New Roman" w:cs="Times New Roman" w:eastAsia="Times New Roman" w:hAnsi="Times New Roman"/>
          <w:sz w:val="18"/>
          <w:szCs w:val="18"/>
          <w:color w:val="auto"/>
        </w:rPr>
        <w:t>—Age: 47—has served as our Chief Operating Officer since May 2008 and served as Vice President, Head of Outsourcing Services of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at Bank of America beginning in 1985, including corporate banking, finance, capital markets and trading in various markets across Asia and Europe, including India.</w:t>
      </w:r>
    </w:p>
    <w:p>
      <w:pPr>
        <w:spacing w:after="0" w:line="134"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Amitabh Hajela</w:t>
      </w:r>
      <w:r>
        <w:rPr>
          <w:rFonts w:ascii="Times New Roman" w:cs="Times New Roman" w:eastAsia="Times New Roman" w:hAnsi="Times New Roman"/>
          <w:sz w:val="18"/>
          <w:szCs w:val="18"/>
          <w:color w:val="auto"/>
        </w:rPr>
        <w:t>—Age: 40—has served as our Vice President and Global Head of Human Resources since December 2007. Prior to joining us, Mr. Hajela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Director for Global Talent Acquisition and Leadership Development at Celanese Corporation between February 2007 to October 2007, as Vice President and Business Leader for Strategic Initiatives and Projects at American Express from March 2005 to February 2007 and in several significant capacities with General Electric, both in the U.S. and India, from October 1998 to February 2005.</w:t>
      </w:r>
    </w:p>
    <w:p>
      <w:pPr>
        <w:spacing w:after="0" w:line="133"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Krishna Nacha</w:t>
      </w:r>
      <w:r>
        <w:rPr>
          <w:rFonts w:ascii="Times New Roman" w:cs="Times New Roman" w:eastAsia="Times New Roman" w:hAnsi="Times New Roman"/>
          <w:sz w:val="18"/>
          <w:szCs w:val="18"/>
          <w:color w:val="auto"/>
        </w:rPr>
        <w:t>—Age: 39—has served as our Vice President and Chief Sales and Marketing Officer since August 2007. Prior to joining us, Mr. Nacha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President/Regional Manager at iGate Global Solutions from January 2004 to August 2007 and as Global Sales Manager at Infosys Technologies Ltd. from September 1999 through December 2003.</w:t>
      </w:r>
    </w:p>
    <w:p>
      <w:pPr>
        <w:spacing w:after="0" w:line="127"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Amit Shashank</w:t>
      </w:r>
      <w:r>
        <w:rPr>
          <w:rFonts w:ascii="Times New Roman" w:cs="Times New Roman" w:eastAsia="Times New Roman" w:hAnsi="Times New Roman"/>
          <w:sz w:val="18"/>
          <w:szCs w:val="18"/>
          <w:color w:val="auto"/>
        </w:rPr>
        <w:t>—Age: 39—has served as our General Counsel and Vice President since June 2004. Mr. Shashank also serves as Corporate Secretary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Prior to joining us, Mr. Shashank was an attorney with the law firm of Shearman &amp; Sterling LLP from January 1997 until June 2004.</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Rembert de Villa</w:t>
      </w:r>
      <w:r>
        <w:rPr>
          <w:rFonts w:ascii="Times New Roman" w:cs="Times New Roman" w:eastAsia="Times New Roman" w:hAnsi="Times New Roman"/>
          <w:sz w:val="18"/>
          <w:szCs w:val="18"/>
          <w:color w:val="auto"/>
        </w:rPr>
        <w:t>—Age: 52—has served as our Vice President, Head of Transformation Services and Managing Principal since April 2008.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Mr. de Villa served as the Managing Director and Global Practice Leader, Strategic Services at MasterCard Advisors from December 2005 through April 2008 and as Vice President and Financial Services Practice Leader for North America at Capgemini Ernst &amp; Young from March 2003 to December 2005. Prior to this, he was a Partner at A.T. Kearney’s Global Financial Institutions Group.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long-term success of companies that provide outsourcing and transformation services globally and deliver high quality services to clients is linked closely with their ability to recruit, train, motivate and retain employees at every level. In addition, there is significant competitive pressure in our industry for qualified managers with a demonstrated track record of achievement and the potential for higher achievement. Accordingly, it is critical that we recruit, train, motivate and retain highly talented individuals at all levels of the organization that are committed to our core values of accountability, innovation, excellence, urgency, integrity and mutual respect. We believe that our executive compensation programs are integral to achieving this end.</w:t>
      </w:r>
    </w:p>
    <w:p>
      <w:pPr>
        <w:spacing w:after="0" w:line="139"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Our Compensation Committee bases its executive compensation programs on the following objectives, which guide us in establishing all of our compensation programs:</w:t>
      </w:r>
    </w:p>
    <w:p>
      <w:pPr>
        <w:spacing w:after="0" w:line="37" w:lineRule="exact"/>
        <w:rPr>
          <w:sz w:val="20"/>
          <w:szCs w:val="20"/>
          <w:color w:val="auto"/>
        </w:rPr>
      </w:pPr>
    </w:p>
    <w:p>
      <w:pPr>
        <w:ind w:left="900" w:right="60" w:hanging="325"/>
        <w:spacing w:after="0" w:line="302"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Compensation should be based upon performance</w:t>
      </w:r>
      <w:r>
        <w:rPr>
          <w:rFonts w:ascii="Times New Roman" w:cs="Times New Roman" w:eastAsia="Times New Roman" w:hAnsi="Times New Roman"/>
          <w:sz w:val="16"/>
          <w:szCs w:val="16"/>
          <w:color w:val="auto"/>
        </w:rPr>
        <w:t>. Our programs should deliver top-tier compensation in return for top-tier individual and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9" w:lineRule="exact"/>
        <w:rPr>
          <w:rFonts w:ascii="Times New Roman" w:cs="Times New Roman" w:eastAsia="Times New Roman" w:hAnsi="Times New Roman"/>
          <w:sz w:val="16"/>
          <w:szCs w:val="16"/>
          <w:color w:val="auto"/>
        </w:rPr>
      </w:pPr>
    </w:p>
    <w:p>
      <w:pPr>
        <w:ind w:left="900" w:right="20" w:hanging="325"/>
        <w:spacing w:after="0" w:line="259"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balance long-term focus that is linked with stockholder value and short-term financial objectives</w:t>
      </w:r>
      <w:r>
        <w:rPr>
          <w:rFonts w:ascii="Times New Roman" w:cs="Times New Roman" w:eastAsia="Times New Roman" w:hAnsi="Times New Roman"/>
          <w:sz w:val="18"/>
          <w:szCs w:val="18"/>
          <w:color w:val="auto"/>
        </w:rPr>
        <w:t>. Consistent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51" w:lineRule="exact"/>
        <w:rPr>
          <w:rFonts w:ascii="Times New Roman" w:cs="Times New Roman" w:eastAsia="Times New Roman" w:hAnsi="Times New Roman"/>
          <w:sz w:val="18"/>
          <w:szCs w:val="18"/>
          <w:color w:val="auto"/>
        </w:rPr>
      </w:pPr>
    </w:p>
    <w:p>
      <w:pPr>
        <w:ind w:left="900" w:right="40" w:hanging="325"/>
        <w:spacing w:after="0" w:line="26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be based on the level of job responsibility, individual performance and our performance</w:t>
      </w:r>
      <w:r>
        <w:rPr>
          <w:rFonts w:ascii="Times New Roman" w:cs="Times New Roman" w:eastAsia="Times New Roman" w:hAnsi="Times New Roman"/>
          <w:sz w:val="18"/>
          <w:szCs w:val="18"/>
          <w:color w:val="auto"/>
        </w:rPr>
        <w:t>. As employees progress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in the organization, they are able to more directly affect our results and strategic initiatives, and therefore an increasing proportion of their pay should be linked to our performance and stockholder value.</w:t>
      </w:r>
    </w:p>
    <w:p>
      <w:pPr>
        <w:spacing w:after="0" w:line="46" w:lineRule="exact"/>
        <w:rPr>
          <w:rFonts w:ascii="Times New Roman" w:cs="Times New Roman" w:eastAsia="Times New Roman" w:hAnsi="Times New Roman"/>
          <w:sz w:val="18"/>
          <w:szCs w:val="18"/>
          <w:color w:val="auto"/>
        </w:rPr>
      </w:pPr>
    </w:p>
    <w:p>
      <w:pPr>
        <w:ind w:left="900" w:right="300" w:hanging="325"/>
        <w:spacing w:after="0" w:line="27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reflect the value of the job in the marketplace</w:t>
      </w:r>
      <w:r>
        <w:rPr>
          <w:rFonts w:ascii="Times New Roman" w:cs="Times New Roman" w:eastAsia="Times New Roman" w:hAnsi="Times New Roman"/>
          <w:sz w:val="18"/>
          <w:szCs w:val="18"/>
          <w:color w:val="auto"/>
        </w:rPr>
        <w:t>. We compete for talent globally. In order to attract and retain a highly skilled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force, we must remain competitive with the pay of other employers who compete with us for talent in the relevant markets.</w:t>
      </w:r>
    </w:p>
    <w:p>
      <w:pPr>
        <w:spacing w:after="0" w:line="35" w:lineRule="exact"/>
        <w:rPr>
          <w:rFonts w:ascii="Times New Roman" w:cs="Times New Roman" w:eastAsia="Times New Roman" w:hAnsi="Times New Roman"/>
          <w:sz w:val="18"/>
          <w:szCs w:val="18"/>
          <w:color w:val="auto"/>
        </w:rPr>
      </w:pPr>
    </w:p>
    <w:p>
      <w:pPr>
        <w:ind w:left="900" w:right="40" w:hanging="325"/>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programs should be easy to understand</w:t>
      </w:r>
      <w:r>
        <w:rPr>
          <w:rFonts w:ascii="Times New Roman" w:cs="Times New Roman" w:eastAsia="Times New Roman" w:hAnsi="Times New Roman"/>
          <w:sz w:val="18"/>
          <w:szCs w:val="18"/>
          <w:color w:val="auto"/>
        </w:rPr>
        <w:t>. We believe that all aspects of executive compensation should be clearly, comprehensibly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Named Executive Officers</w:t>
      </w:r>
    </w:p>
    <w:p>
      <w:pPr>
        <w:spacing w:after="0" w:line="92"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Our named executive officers in 2008 were Vikram Talwar, our executive chairman, Rohit Kapoor, our president and chief executive officer, Matthew Appel, our chief financial officer, Amit Shashank, our general counsel, Rembert de Villa, vice president, head of transformation and managing principal, and Krishna Nacha, vice president and chief sales and marketing officer.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Compensation Actions for 2008</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2008, we set performance goals and granted bonus awards under our annual cash incentive bonus program. We granted stock options and restricted stock to named executive officers in 2008. In addition, in connection with the resignation of Matt Appel, our chief financial officer, we entered into a separation agreement.</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Compensation Committee’s Processes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Compensation Committee has established a number of processes to assist it in ensuring that our executive compensation programs are achieving their objectives. Among those are the following:</w:t>
      </w:r>
    </w:p>
    <w:p>
      <w:pPr>
        <w:spacing w:after="0" w:line="37" w:lineRule="exact"/>
        <w:rPr>
          <w:sz w:val="20"/>
          <w:szCs w:val="20"/>
          <w:color w:val="auto"/>
        </w:rPr>
      </w:pPr>
    </w:p>
    <w:p>
      <w:pPr>
        <w:ind w:left="900" w:right="40" w:hanging="325"/>
        <w:spacing w:after="0" w:line="25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Assessment of Company Performance. </w:t>
      </w:r>
      <w:r>
        <w:rPr>
          <w:rFonts w:ascii="Times New Roman" w:cs="Times New Roman" w:eastAsia="Times New Roman" w:hAnsi="Times New Roman"/>
          <w:sz w:val="18"/>
          <w:szCs w:val="18"/>
          <w:color w:val="auto"/>
        </w:rPr>
        <w:t>Our Compensation Committee uses financial performance measures to determine a significant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size of payouts under our cash incentive bonus program. Our financial performance measures, chosen to focus employees on improving both top-line revenues and bottom-line earnings, are established by our Compensation Committee annually at the beginning of the year and are applied uniformly across the company. When we achieve the established financial measures that are set forth in our annual operating plan, our employees that are eligible for cash incentive bonuses receive amounts that are at target. The cash incentive bonus for senior executives that have responsibility for our business lines is also tied to the financial or other performance of the business lines headed by such executives. These measures reflect targets that are intended to be aggressive but attainable. The remainder of an individual’s payout under our cash incentive bonus program is determined by individual performance.</w:t>
      </w:r>
    </w:p>
    <w:p>
      <w:pPr>
        <w:spacing w:after="0" w:line="57" w:lineRule="exact"/>
        <w:rPr>
          <w:rFonts w:ascii="Times New Roman" w:cs="Times New Roman" w:eastAsia="Times New Roman" w:hAnsi="Times New Roman"/>
          <w:sz w:val="18"/>
          <w:szCs w:val="18"/>
          <w:color w:val="auto"/>
        </w:rPr>
      </w:pPr>
    </w:p>
    <w:p>
      <w:pPr>
        <w:ind w:left="900" w:hanging="325"/>
        <w:spacing w:after="0" w:line="25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Assessment of Individual Performance. </w:t>
      </w:r>
      <w:r>
        <w:rPr>
          <w:rFonts w:ascii="Times New Roman" w:cs="Times New Roman" w:eastAsia="Times New Roman" w:hAnsi="Times New Roman"/>
          <w:sz w:val="18"/>
          <w:szCs w:val="18"/>
          <w:color w:val="auto"/>
        </w:rPr>
        <w:t>Individual performance has a strong impact on the compensation of all employees, including Messrs. Talwar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Kapoor, our founder executive officers, and our other executive officers. The evaluation of an individual’s performance determines a portion of the size of payouts under our cash incentive bonus program and also influences any changes in base salary. Early each year, our Nominating and Governance Committee meets separately by itself, with the Compensation Committee and with the founder executive officers to set their respective performance objectives for the year. The performance objectives are initially proposed by the founder executive officers and modified by the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beginning of the following year, our Nominating and Governance Committee meets to conduct a performance review of our founder executive officers based primarily on their respective achievement of the agreed-upon objectives as well as the founder executive officers’ contribution to our performance and other leadership accomplishments. This evaluation and a corresponding numerical performance rating is shared initially by our Nominating and Governance Committee with our Compensation Committee. After the discussion, our Compensation Committee translates the numerical performance rating into specific payouts under our cash incentive bonus program and shares the cash payout information with our founder executive officers and at the same time the Nominating and Governance Committee shares the performance assessment with our founder executive officers. Any changes in base salary are also affected by the Nominating and Governance Committee performance evaluation.</w:t>
      </w:r>
    </w:p>
    <w:p>
      <w:pPr>
        <w:spacing w:after="0" w:line="64" w:lineRule="exact"/>
        <w:rPr>
          <w:sz w:val="20"/>
          <w:szCs w:val="20"/>
          <w:color w:val="auto"/>
        </w:rPr>
      </w:pPr>
    </w:p>
    <w:p>
      <w:pPr>
        <w:ind w:left="920" w:right="20"/>
        <w:spacing w:after="0" w:line="256" w:lineRule="auto"/>
        <w:rPr>
          <w:sz w:val="20"/>
          <w:szCs w:val="20"/>
          <w:color w:val="auto"/>
        </w:rPr>
      </w:pPr>
      <w:r>
        <w:rPr>
          <w:rFonts w:ascii="Times New Roman" w:cs="Times New Roman" w:eastAsia="Times New Roman" w:hAnsi="Times New Roman"/>
          <w:sz w:val="18"/>
          <w:szCs w:val="18"/>
          <w:color w:val="auto"/>
        </w:rPr>
        <w:t>For our other named executive officers, our Compensation Committee receives a performance assessment and compensation recommendation from our founder executive officers. The performance assessments are based on self-evaluations by each of the direct reports of the founder executive officers, including the other named executive officers, and subsequent performance appraisals conducted by one or both founder executive officers in the presence of our Global Head of Human Resources. Our Compensation Committee reviews the performance assessments of these executives with and without our founder executive officers based on the achievement of established objectives 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each executive officer and his or her organization, his or her contribution to our performance and other leadership accomplishments as well as on an evaluation of the executive officer’s competence. In determining the numerical performance rating that translates into specific payouts under our cash incentive bonus program and also influences any changes in base salary, our Compensation Committee may also exercise its judgment based on the board’s interactions with such executive officers.</w:t>
      </w:r>
    </w:p>
    <w:p>
      <w:pPr>
        <w:spacing w:after="0" w:line="67" w:lineRule="exact"/>
        <w:rPr>
          <w:sz w:val="20"/>
          <w:szCs w:val="20"/>
          <w:color w:val="auto"/>
        </w:rPr>
      </w:pPr>
    </w:p>
    <w:p>
      <w:pPr>
        <w:ind w:left="900" w:right="40" w:hanging="325"/>
        <w:spacing w:after="0" w:line="288"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Benchmarking and Use of Compensation Consultant. </w:t>
      </w:r>
      <w:r>
        <w:rPr>
          <w:rFonts w:ascii="Times New Roman" w:cs="Times New Roman" w:eastAsia="Times New Roman" w:hAnsi="Times New Roman"/>
          <w:sz w:val="16"/>
          <w:szCs w:val="16"/>
          <w:color w:val="auto"/>
        </w:rPr>
        <w:t>Our Compensation Committee reviews our executive compensation programs relative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made for our U.S.-based executive officers in 2008, our Compensation Committee reviewed the publicly available information for companies that provided similar services and that had similar market capitalizations or annual revenues. In addition, they considered companies that were located in the most relevant geographic area for each executive officer. Different companies were considered for the compensation benchmark review of each executive officer. Where compensation information was not publicly disclosed for a specific management position for companies that provide business and technology services, our Compensation Committee reviewed data corresponding to the most comparable position and also considered the comparative experience of executives. The list of companies against which we benchmarked the compensation of our U.S.-based executive and other senior officers in 2008 included the following companies:</w:t>
      </w:r>
    </w:p>
    <w:p>
      <w:pPr>
        <w:spacing w:after="0" w:line="35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Comparable Market</w:t>
            </w:r>
          </w:p>
        </w:tc>
        <w:tc>
          <w:tcPr>
            <w:tcW w:w="2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Similar Business</w:t>
            </w:r>
          </w:p>
        </w:tc>
        <w:tc>
          <w:tcPr>
            <w:tcW w:w="20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Capitalization or Revenues</w:t>
            </w:r>
          </w:p>
        </w:tc>
        <w:tc>
          <w:tcPr>
            <w:tcW w:w="200" w:type="dxa"/>
            <w:vAlign w:val="bottom"/>
          </w:tcPr>
          <w:p>
            <w:pPr>
              <w:spacing w:after="0"/>
              <w:rPr>
                <w:sz w:val="15"/>
                <w:szCs w:val="15"/>
                <w:color w:val="auto"/>
              </w:rPr>
            </w:pPr>
          </w:p>
        </w:tc>
        <w:tc>
          <w:tcPr>
            <w:tcW w:w="30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Cognizant Technology Solutions Corporation</w:t>
            </w: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eTelecare Global Solutions, Inc.</w:t>
            </w: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Blackboard,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Genpact Limited</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iGate Corporation</w:t>
            </w: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Huron Consulting Group Inc.</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Kanbay International, Inc.</w:t>
            </w: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LECG Corporation</w:t>
            </w: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Sapient Corp.</w:t>
            </w: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PeopleSupport Inc.</w:t>
            </w: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Sykes Enterprises, Inc.</w:t>
            </w: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Syntel, Inc.</w:t>
            </w: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Teletech Holdings, Inc.</w:t>
            </w:r>
          </w:p>
        </w:tc>
        <w:tc>
          <w:tcPr>
            <w:tcW w:w="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WNS (Holdings) Ltd.</w:t>
            </w:r>
          </w:p>
        </w:tc>
        <w:tc>
          <w:tcPr>
            <w:tcW w:w="2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00" w:right="220"/>
        <w:spacing w:after="0" w:line="296" w:lineRule="auto"/>
        <w:rPr>
          <w:sz w:val="20"/>
          <w:szCs w:val="20"/>
          <w:color w:val="auto"/>
        </w:rPr>
      </w:pPr>
      <w:r>
        <w:rPr>
          <w:rFonts w:ascii="Times New Roman" w:cs="Times New Roman" w:eastAsia="Times New Roman" w:hAnsi="Times New Roman"/>
          <w:sz w:val="16"/>
          <w:szCs w:val="16"/>
          <w:color w:val="auto"/>
        </w:rPr>
        <w:t>Our Compensation Committee will review and revise as appropriate from time to time the list of companies with publicly available compensation information against whom we may benchmark our compensation programs, to ensure that such list includes those companies that are most comparable to us with regard to services provided and relevant geographic areas. For geographic areas where we are not able to obtain reliable publicly available compensation data for our executive officers because such information is not legally required to be disclosed, such as India, our Global Head of Human Resources uses data from a variety of private and informal sources, none of which are paid for providing such data.</w:t>
      </w:r>
    </w:p>
    <w:p>
      <w:pPr>
        <w:spacing w:after="0" w:line="27" w:lineRule="exact"/>
        <w:rPr>
          <w:sz w:val="20"/>
          <w:szCs w:val="20"/>
          <w:color w:val="auto"/>
        </w:rPr>
      </w:pPr>
    </w:p>
    <w:p>
      <w:pPr>
        <w:ind w:left="900" w:right="200"/>
        <w:spacing w:after="0" w:line="256" w:lineRule="auto"/>
        <w:rPr>
          <w:sz w:val="20"/>
          <w:szCs w:val="20"/>
          <w:color w:val="auto"/>
        </w:rPr>
      </w:pPr>
      <w:r>
        <w:rPr>
          <w:rFonts w:ascii="Times New Roman" w:cs="Times New Roman" w:eastAsia="Times New Roman" w:hAnsi="Times New Roman"/>
          <w:sz w:val="18"/>
          <w:szCs w:val="18"/>
          <w:color w:val="auto"/>
        </w:rPr>
        <w:t>Our Compensation Committee uses the data primarily to ensure that our executive compensation programs, including for executive officers are competitive. We incorporate flexibility into our compensation programs and in the assessment process to respond to and adjust for the evolving business environment. Accordingly, our Compensation Committee adjusts individual executive compensation elements based on changes in job responsibilities of the executive, the performance of the executive or the combination of qualifications and skills that an executive uses to enhance our</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300"/>
        <w:spacing w:after="0" w:line="275" w:lineRule="auto"/>
        <w:rPr>
          <w:sz w:val="20"/>
          <w:szCs w:val="20"/>
          <w:color w:val="auto"/>
        </w:rPr>
      </w:pPr>
      <w:r>
        <w:rPr>
          <w:rFonts w:ascii="Times New Roman" w:cs="Times New Roman" w:eastAsia="Times New Roman" w:hAnsi="Times New Roman"/>
          <w:sz w:val="18"/>
          <w:szCs w:val="18"/>
          <w:color w:val="auto"/>
        </w:rPr>
        <w:t>performance. Neither we nor our Compensation Committee has any contractual arrangement with any compensation consultant who has a role in determining or recommending the amount or form of director or executive officer compensation.</w:t>
      </w:r>
    </w:p>
    <w:p>
      <w:pPr>
        <w:spacing w:after="0" w:line="50" w:lineRule="exact"/>
        <w:rPr>
          <w:sz w:val="20"/>
          <w:szCs w:val="20"/>
          <w:color w:val="auto"/>
        </w:rPr>
      </w:pPr>
    </w:p>
    <w:p>
      <w:pPr>
        <w:ind w:left="900" w:hanging="325"/>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Compensation Review. </w:t>
      </w:r>
      <w:r>
        <w:rPr>
          <w:rFonts w:ascii="Times New Roman" w:cs="Times New Roman" w:eastAsia="Times New Roman" w:hAnsi="Times New Roman"/>
          <w:sz w:val="18"/>
          <w:szCs w:val="18"/>
          <w:color w:val="auto"/>
        </w:rPr>
        <w:t>Our Compensation Committee designs the categories and presentation of compensation information required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executive’s base pay, cash incentive bonus and equity incentives when changes in compensation are considered by our Compensation Committee and requests our Global Head of Human Resources to compile such information. 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Our Compensation Committee periodically reviews related matters such as succession planning, evaluation of management performance and consideration of the business environment and considers such matters in making compensation decisions.</w:t>
      </w:r>
    </w:p>
    <w:p>
      <w:pPr>
        <w:spacing w:after="0" w:line="137"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Each named executive officer and our other executive officers is party to an employment agreement or letter that sets forth the terms of his or her employment, including compensation. The employment agreements for our founder executive officers, which were amended and restated in December 2008 to reflect the changes in the revised titles and responsibilities of Messrs. Talwar and Kapoor, have specified expiration terms.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Components of Executive Compensation for 2008</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2008,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or, in the case of our executive officers based in India, fixed compensation;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bonuses;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incentives of stock options and/or restricted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and perquisites;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w:t>
      </w:r>
    </w:p>
    <w:p>
      <w:pPr>
        <w:spacing w:after="0" w:line="17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 commensurate with the executive’s scope of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established financial performance measures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12"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believes that these programs balance both the mix of cash and equity compensation, the mix of currently-paid and longer-term compensation, and the security of comprehensive and severance benefits in a way that furthers the compensation objectives discussed above. The periodic review of each executive’s base pay, cash incentive bonus and equity incentives by our Compensation Committee is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intended to maintain the appropriate balance for each executive officer based on their roles and responsibilities. With the exception of compensation elements that are linked to individual performance, our Compensation Committee believes that each of our founder executive officers should receive substantially equivalent compensation.</w:t>
      </w:r>
    </w:p>
    <w:p>
      <w:pPr>
        <w:spacing w:after="0" w:line="13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Following is a discussion of our Compensation Committee’s considerations in establishing each of the compensation components for our executive officers.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We review base salaries for our named executive officers annually in the first half of each year, and increases are based on our performance and the executives’ individual performance. Base salary determinations reflect the individual’s experience, knowledge, skill set and the market value of that skill set. In setting base salaries for 2008, our Compensation Committee considered the following factors:</w:t>
      </w:r>
    </w:p>
    <w:p>
      <w:pPr>
        <w:spacing w:after="0" w:line="56" w:lineRule="exact"/>
        <w:rPr>
          <w:sz w:val="20"/>
          <w:szCs w:val="20"/>
          <w:color w:val="auto"/>
        </w:rPr>
      </w:pPr>
    </w:p>
    <w:p>
      <w:pPr>
        <w:ind w:left="900" w:right="180" w:hanging="325"/>
        <w:spacing w:after="0" w:line="277"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Individual performance. </w:t>
      </w:r>
      <w:r>
        <w:rPr>
          <w:rFonts w:ascii="Times New Roman" w:cs="Times New Roman" w:eastAsia="Times New Roman" w:hAnsi="Times New Roman"/>
          <w:sz w:val="18"/>
          <w:szCs w:val="18"/>
          <w:color w:val="auto"/>
        </w:rPr>
        <w:t>As described above under “Our Compensation Committee’s Processes,” base salary increases take into account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competence assessments.</w:t>
      </w:r>
    </w:p>
    <w:p>
      <w:pPr>
        <w:spacing w:after="0" w:line="35" w:lineRule="exact"/>
        <w:rPr>
          <w:rFonts w:ascii="Times New Roman" w:cs="Times New Roman" w:eastAsia="Times New Roman" w:hAnsi="Times New Roman"/>
          <w:sz w:val="18"/>
          <w:szCs w:val="18"/>
          <w:color w:val="auto"/>
        </w:rPr>
      </w:pPr>
    </w:p>
    <w:p>
      <w:pPr>
        <w:ind w:left="900" w:right="160" w:hanging="325"/>
        <w:spacing w:after="0" w:line="264"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data specific to the executive’s position, where applicable</w:t>
      </w:r>
      <w:r>
        <w:rPr>
          <w:rFonts w:ascii="Times New Roman" w:cs="Times New Roman" w:eastAsia="Times New Roman" w:hAnsi="Times New Roman"/>
          <w:sz w:val="18"/>
          <w:szCs w:val="18"/>
          <w:color w:val="auto"/>
        </w:rPr>
        <w:t>. As noted above, our Compensation Committee used certain geographical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to test for reasonableness and competitiveness of base salaries, but we also exercised subjective judgment based on the rapid growth of our industry and our view of our compensation objectives.</w:t>
      </w:r>
    </w:p>
    <w:p>
      <w:pPr>
        <w:spacing w:after="0" w:line="46" w:lineRule="exact"/>
        <w:rPr>
          <w:rFonts w:ascii="Times New Roman" w:cs="Times New Roman" w:eastAsia="Times New Roman" w:hAnsi="Times New Roman"/>
          <w:sz w:val="18"/>
          <w:szCs w:val="18"/>
          <w:color w:val="auto"/>
        </w:rPr>
      </w:pPr>
    </w:p>
    <w:p>
      <w:pPr>
        <w:ind w:left="900" w:right="360" w:hanging="325"/>
        <w:spacing w:after="0" w:line="312"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Consideration of the mix of overall compensation. </w:t>
      </w:r>
      <w:r>
        <w:rPr>
          <w:rFonts w:ascii="Times New Roman" w:cs="Times New Roman" w:eastAsia="Times New Roman" w:hAnsi="Times New Roman"/>
          <w:sz w:val="16"/>
          <w:szCs w:val="16"/>
          <w:color w:val="auto"/>
        </w:rPr>
        <w:t>Consistent with our compensation objectives, as employees progress to higher levels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organization, a greater proportion of overall compensation is directly linked to our performance and stockholder value. Thus, for example, the founder executive officers’ overall compensation is more heavily weighted toward equity compensation than that of the other executive officers.</w:t>
      </w:r>
    </w:p>
    <w:p>
      <w:pPr>
        <w:spacing w:after="0" w:line="9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in 2006, our Compensation Committee did not make any changes to their salary levels but increased the base pay for each of our founder executive officers to $420,000 effective January 2007. In 2008, our founder executive officers did not receive an increase in base pay although their respective employment agreements were amended and restated in December 2008 in large part to update responsibilities, perquisite entitlements and to take into account tax code section 409A.</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Mr. de Villa joined us in March 2008. Mr. de Villa’s base salary was determined through an arm’s-length negotiation during the hiring process and based upon his level of responsibility and our assessment of Mr. de Villa’s experience, skills and knowledge and our general compensation guidelines.</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2008, as a component of our focus on cost management and to promote retention of senior executives, we elected to provide an equity award of restricted stock to certain of our executive officers and other senior employees instead of any increases in base pay with a standard vesting schedule with 10% vesting on the first anniversary of the date of grant and an additional 20%, 30% and 40% vesting on each successive anniversary of that date. The amount of the equity award was determined based on the founder executive officer’s evaluation of the executive officer’s individual performance and was prorated based on the period of time in 2007 that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executive officer was employed by us. The founder executive officers made recommendations for the other named executives and our Compensation Committee reviewed similar considerations for such named executives.</w:t>
      </w:r>
    </w:p>
    <w:p>
      <w:pPr>
        <w:spacing w:after="0" w:line="120"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With regard to Mr. Appel’s performance, our Compensation Committee gave particular weight to Mr. Appel’s role in strengthening the finance organization, leadership in achieving compliance with Section 404 of the Sarbanes-Oxley Act of 2002 and other individual contributions. In April 2008, our Compensation Committee awarded Mr. Appel 1,100 shares of restricted stock.</w:t>
      </w:r>
    </w:p>
    <w:p>
      <w:pPr>
        <w:spacing w:after="0" w:line="13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With regard to Mr. Shashank’s performance, our Compensation Committee gave particular weight to Mr. Shashank’s role in enhancing our compliance programs, improving productivity and controlling cost within the legal organization and enabling us to meet certain key business objectives for 2008. In April 2008, our Compensation Committee awarded Mr. Shashank 1,000 shares of restricted stock.</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With regard to Mr. Nacha’s performance, our Compensation Committee gave particular weight to Mr. Nacha’s role in strengthening the sales and marketing department, enhancing the pipeline of prospective clients and other individual contributions. In April 2008, our Compensation Committee awarded Mr. Nacha 250 shares of restricted stock.</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base salary earned during 2008 by each of our named executive officers.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Salary ($)</w:t>
            </w:r>
          </w:p>
        </w:tc>
      </w:tr>
      <w:tr>
        <w:trPr>
          <w:trHeight w:val="210"/>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297,000</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2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249,263</w:t>
            </w: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Incentive Bonus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established an annual cash incentive bonus program in order to align executive officers’ and certain other employees’ goals generally with our revenue and profitability objectives for the current year. A cash incentive bonus program was approved by our Compensation Committee in early 2008 with respect to the cash incentive bonuses to be paid in 2009 to all eligible employees worldwide. The aggregate amount of all cash bonuses paid for 2008 did not exceed the aggregate cash incentive bonus pool approved by our Compensation Committee in 2008. Under the plan, bonus target amounts, expressed as a percentage of base salary, are established for participants at the beginning of each year unless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non-financial goals. When our performance falls short of target, our aggregate funding of the annual cash bonus incentive pool declines, with no funding of the bonus pool if we do not achieve at least 90% of each of our established financial performance objectives. At the end of the performance period, our Compensation Committee has discretion to adjust an award payout from the amount yielded by the formula. For 2008, our Compensation Committee did not adjust an award payout for any executive officer. Our Compensation Committee considered the following when establishing the awards for 2008:</w:t>
      </w:r>
    </w:p>
    <w:p>
      <w:pPr>
        <w:spacing w:after="0" w:line="56" w:lineRule="exact"/>
        <w:rPr>
          <w:sz w:val="20"/>
          <w:szCs w:val="20"/>
          <w:color w:val="auto"/>
        </w:rPr>
      </w:pPr>
    </w:p>
    <w:p>
      <w:pPr>
        <w:ind w:left="900" w:right="240" w:hanging="325"/>
        <w:spacing w:after="0" w:line="264"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Bonus Targets</w:t>
      </w:r>
      <w:r>
        <w:rPr>
          <w:rFonts w:ascii="Times New Roman" w:cs="Times New Roman" w:eastAsia="Times New Roman" w:hAnsi="Times New Roman"/>
          <w:sz w:val="18"/>
          <w:szCs w:val="18"/>
          <w:color w:val="auto"/>
        </w:rPr>
        <w:t>. Bonus targets were based on job responsibilities and comparable market data. Our objective was to set bonus targets such that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cash compensation was within the broad middle range of market data and a substantial portion of that compensation was linked to our performance. Consistent with our executive compensation policy, individuals with greater job</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20" w:right="180"/>
        <w:spacing w:after="0" w:line="262" w:lineRule="auto"/>
        <w:rPr>
          <w:sz w:val="20"/>
          <w:szCs w:val="20"/>
          <w:color w:val="auto"/>
        </w:rPr>
      </w:pPr>
      <w:r>
        <w:rPr>
          <w:rFonts w:ascii="Times New Roman" w:cs="Times New Roman" w:eastAsia="Times New Roman" w:hAnsi="Times New Roman"/>
          <w:sz w:val="18"/>
          <w:szCs w:val="18"/>
          <w:color w:val="auto"/>
        </w:rPr>
        <w:t>responsibilities had a greater proportion of their total cash compensation tied to our performance through the bonus plan. Thus, our Compensation Committee established the following bonus targets for 2008 (expressed as a percentage of base salary as well as maximum bonus targets) for each named executive officer:</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7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Bonus Target</w:t>
            </w:r>
          </w:p>
        </w:tc>
      </w:tr>
      <w:tr>
        <w:trPr>
          <w:trHeight w:val="210"/>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75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75% of base salary; maximum bonus of 150% of base salary</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75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75% of base salary; maximum bonus of 150% of base salary</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Appel</w:t>
            </w:r>
          </w:p>
        </w:tc>
        <w:tc>
          <w:tcPr>
            <w:tcW w:w="75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50% of base salary; maximum bonus of 100% of base salary</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75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40% of base salary; maximum bonus of 80% of base salary</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75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75% of base salary; maximum bonus of 150% of base salary</w:t>
            </w:r>
          </w:p>
        </w:tc>
      </w:tr>
      <w:tr>
        <w:trPr>
          <w:trHeight w:val="202"/>
        </w:trPr>
        <w:tc>
          <w:tcPr>
            <w:tcW w:w="2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Rembert de Villa</w:t>
            </w:r>
          </w:p>
        </w:tc>
        <w:tc>
          <w:tcPr>
            <w:tcW w:w="7540" w:type="dxa"/>
            <w:vAlign w:val="bottom"/>
            <w:gridSpan w:val="2"/>
          </w:tcPr>
          <w:p>
            <w:pPr>
              <w:ind w:left="840"/>
              <w:spacing w:after="0" w:line="201" w:lineRule="exact"/>
              <w:rPr>
                <w:sz w:val="20"/>
                <w:szCs w:val="20"/>
                <w:color w:val="auto"/>
              </w:rPr>
            </w:pPr>
            <w:r>
              <w:rPr>
                <w:rFonts w:ascii="Times New Roman" w:cs="Times New Roman" w:eastAsia="Times New Roman" w:hAnsi="Times New Roman"/>
                <w:sz w:val="18"/>
                <w:szCs w:val="18"/>
                <w:color w:val="auto"/>
              </w:rPr>
              <w:t>70% of base salary; maximum bonus of 140% of base salary; in each case pro rated to</w:t>
            </w:r>
          </w:p>
        </w:tc>
      </w:tr>
      <w:tr>
        <w:trPr>
          <w:trHeight w:val="228"/>
        </w:trPr>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5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April 15, 2008, Mr. de Villa’s joining date.</w:t>
            </w:r>
          </w:p>
        </w:tc>
      </w:tr>
    </w:tbl>
    <w:p>
      <w:pPr>
        <w:spacing w:after="0" w:line="190" w:lineRule="exact"/>
        <w:rPr>
          <w:sz w:val="20"/>
          <w:szCs w:val="20"/>
          <w:color w:val="auto"/>
        </w:rPr>
      </w:pPr>
    </w:p>
    <w:p>
      <w:pPr>
        <w:ind w:left="900" w:right="300"/>
        <w:spacing w:after="0" w:line="258" w:lineRule="auto"/>
        <w:rPr>
          <w:sz w:val="20"/>
          <w:szCs w:val="20"/>
          <w:color w:val="auto"/>
        </w:rPr>
      </w:pPr>
      <w:r>
        <w:rPr>
          <w:rFonts w:ascii="Times New Roman" w:cs="Times New Roman" w:eastAsia="Times New Roman" w:hAnsi="Times New Roman"/>
          <w:sz w:val="18"/>
          <w:szCs w:val="18"/>
          <w:color w:val="auto"/>
        </w:rPr>
        <w:t>As employees progress to higher levels of management, they are able to more directly affect our results and strategic initiatives, and therefore an increasing proportion of their pay is linked to our financial performance. For 2008, the target bonus for each of our executive officers, except for Mr. Nacha, was 60% dependent on our financial performance and 40% dependent on individual performance. The cash incentive bonus for Mr. Nacha was 60% dependent on individual performance and 40% dependent on our financial performance.</w:t>
      </w:r>
    </w:p>
    <w:p>
      <w:pPr>
        <w:spacing w:after="0" w:line="53" w:lineRule="exact"/>
        <w:rPr>
          <w:sz w:val="20"/>
          <w:szCs w:val="20"/>
          <w:color w:val="auto"/>
        </w:rPr>
      </w:pPr>
    </w:p>
    <w:p>
      <w:pPr>
        <w:ind w:left="900" w:right="40" w:hanging="325"/>
        <w:spacing w:after="0" w:line="25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performance measures. </w:t>
      </w:r>
      <w:r>
        <w:rPr>
          <w:rFonts w:ascii="Times New Roman" w:cs="Times New Roman" w:eastAsia="Times New Roman" w:hAnsi="Times New Roman"/>
          <w:sz w:val="18"/>
          <w:szCs w:val="18"/>
          <w:color w:val="auto"/>
        </w:rPr>
        <w:t>For all employees whose cash incentive bonus is linked to our financial performance, including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established 2008 financial performance measures for us based on a weighting of 50% on revenues (target of $205.0 million) and 50% on the profitability measure of earnings before interest and taxes adjusted to exclude the effect of expenses associated with stock compensation as well as the amortization of intangibles as well as foreign exchange gains or losses (Adjusted EBIT) (target of $30.3 million). Our Compensation Committee also set forth the 2008 financial performance measures for our business lines in connection with determining the incentive bonus for employees, including senior executives, whose incentive bonuses are also tied partially to the financial performance of the relevant business lines.</w:t>
      </w:r>
    </w:p>
    <w:p>
      <w:pPr>
        <w:spacing w:after="0" w:line="54" w:lineRule="exact"/>
        <w:rPr>
          <w:rFonts w:ascii="Times New Roman" w:cs="Times New Roman" w:eastAsia="Times New Roman" w:hAnsi="Times New Roman"/>
          <w:sz w:val="18"/>
          <w:szCs w:val="18"/>
          <w:color w:val="auto"/>
        </w:rPr>
      </w:pPr>
    </w:p>
    <w:p>
      <w:pPr>
        <w:ind w:left="900" w:hanging="325"/>
        <w:spacing w:after="0" w:line="287"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to Bonus Pool</w:t>
      </w:r>
      <w:r>
        <w:rPr>
          <w:rFonts w:ascii="Times New Roman" w:cs="Times New Roman" w:eastAsia="Times New Roman" w:hAnsi="Times New Roman"/>
          <w:sz w:val="16"/>
          <w:szCs w:val="16"/>
          <w:color w:val="auto"/>
        </w:rPr>
        <w:t>. For each performance criterion, the amount of bonus pool funding decreases by between 7% and 8%, for each 1% by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miss our target (and if we do not attain at least 90% of the revenues target or the Adjusted EBIT target, then there will be no bonus pool funding in respect of that performance criteria). For each 1% by which we miss our revenues target (up to 90%), the bonus pool funding in respect of that criteria decreases by between 7% and 8%, and for each additional 1% by which we exceed our revenues target, the bonus pool funding in respect of that criteria increases by 13% (with a maximum of 200% funding for that criteria if we equal or exceed 107.5% of the revenues target). For each 1% by which we miss our Adjusted EBIT target (up to 90%), the bonus pool funding in respect of that criteria decreases by between 7% and 8%, and for each additional 1% by which we exceed our Adjusted EBIT target, the bonus pool funding in respect of that criteria increases on an increasing scale of 5% to 9% (with a maximum of 200% funding for that criteria if we equal or exceed 115% of the gross revenue target). With respect to Mr. de Villa, the 60% financial component is separated into two parts: 30% based on our financial performance against the targets as described above, and 30% based on the financial performance of our research and analytics and advisory services business lines and measured in equal parts based on the revenues target of $22 million and $16 million for the research and analytics and advisory services business lines, respectively, and gross margin percentage targets of 37% and 38% for the research and analytics and advisory services business lines, respectively.</w:t>
      </w: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00"/>
        <w:spacing w:after="0" w:line="255" w:lineRule="auto"/>
        <w:rPr>
          <w:sz w:val="20"/>
          <w:szCs w:val="20"/>
          <w:color w:val="auto"/>
        </w:rPr>
      </w:pPr>
      <w:r>
        <w:rPr>
          <w:rFonts w:ascii="Times New Roman" w:cs="Times New Roman" w:eastAsia="Times New Roman" w:hAnsi="Times New Roman"/>
          <w:sz w:val="18"/>
          <w:szCs w:val="18"/>
          <w:color w:val="auto"/>
        </w:rPr>
        <w:t>Our Compensation Committee believes that this mix of performance measures encourages employees to focus appropriately on improving both top-line revenues and bottom-line earnings. The measures are also effective motivators because they are easy to track and clearly understood by employees. In 2008, payouts could have ranged from zero to 200% of target depending on our performance. Our Compensation Committee established the financial performance measures (that is, the thresholds at which the payouts would be percentage for our business lines) for both revenues and Adjusted EBIT (and revenues and gross margin percentage for the research and analytics and advisory services business lines) by applying the principles described above under “Our Compensation Committee’s Processes.”</w:t>
      </w:r>
    </w:p>
    <w:p>
      <w:pPr>
        <w:spacing w:after="0" w:line="56" w:lineRule="exact"/>
        <w:rPr>
          <w:sz w:val="20"/>
          <w:szCs w:val="20"/>
          <w:color w:val="auto"/>
        </w:rPr>
      </w:pPr>
    </w:p>
    <w:p>
      <w:pPr>
        <w:ind w:left="900" w:hanging="325"/>
        <w:spacing w:after="0" w:line="25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Individual performance measures. </w:t>
      </w:r>
      <w:r>
        <w:rPr>
          <w:rFonts w:ascii="Times New Roman" w:cs="Times New Roman" w:eastAsia="Times New Roman" w:hAnsi="Times New Roman"/>
          <w:sz w:val="18"/>
          <w:szCs w:val="18"/>
          <w:color w:val="auto"/>
        </w:rPr>
        <w:t>These goals are designed to balance the attention of our named executive officers between the achievement of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objectives that improve specific processes or performance metrics and somewhat longer term objectives for us. While some of the goals are subjective, certain other goals are capable of objective measurement such as client and employee satisfaction measures. For example, for Mr. Nacha, a number of the individual performance measures, which accounted for the 60% of target bonus dependent on individual performance, are based on sales goals for each business line as well as the robustness of the pipeline of prospective clients. In 2008, payouts could have ranged from zero to 200% of target depending on individual performance as described above under “Our Compensation Committee’s Processes.”</w:t>
      </w:r>
    </w:p>
    <w:p>
      <w:pPr>
        <w:spacing w:after="0" w:line="141"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6"/>
          <w:szCs w:val="16"/>
          <w:color w:val="auto"/>
        </w:rPr>
        <w:t>In establishing each of Mr. Talwar’s and Kapoor’s cash incentive bonus for 2008, our Compensation Committee applied the principles described above under “Our Compensation Committee’s Processes.” Our Nominating and Governance Committee assessed each of our founder executive officer’s performance for 2008. They considered each founder executive officer’s accomplishment of objectives that had been established at the beginning of the year and the Nominating and Governance Committee’s own assessment of their performance, including against the pre-established goals. They noted that under the leadership of our founder executive officers, in 2008, we achieved revenues of $198.3 million and Adjusted EBIT of $20.2 million. As a result of our not achieving the predetermined Adjusted EBIT target, that portion of the bonus pool funding in respect of Adjusted EBIT was reduced to $0, while 78% of the bonus pool was funded for achievement of 97% of the predetermined revenues target. In awarding cash incentive bonuses of $237,510 and $244,125 to Mr. Talwar and</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Kapoor, respectively, each of which was less than the target bonus of $315,000 for each of Mr. Talwar and Mr. Kapoor, our Compensation Committee also noted that our financial performance was commendable in light of the challenging macroeconomic environment, robust operations performance and strengthened client relationships, and reflected Mr. Talwar’s and Kapoor’s performance relating to their significant individual performance goals, which encompassed the CEO succession planning and transition process, development of operations and other organization capabilities and development and strengthening of the business development team, and in the case of Mr. Kapoor, our achievement of key operating objectives.</w:t>
      </w:r>
    </w:p>
    <w:p>
      <w:pPr>
        <w:spacing w:after="0" w:line="13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Our founder executive officers made recommendations for our other named executive officers employed by us at the end of 2008 and our Compensation Committee approved the recommendations after reviewing similar considerations for such named executive officers.</w:t>
      </w:r>
    </w:p>
    <w:p>
      <w:pPr>
        <w:spacing w:after="0" w:line="12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On October 14, 2008, we announced that Mr. Appel would resign effective March 16, 2009, which resignation date was subsequently extended to May 15, 2009. In connection with his resignation, Mr. Appel entered into a separation agreement with us which entitled him to a maximum bonus of $175,000 if Mr. Appel satisfied certain personal performance goals during his tenure with us in addition to assisting in a timely filing of our Annual Report on Form 10-K for the fiscal year ending December 31, 2008. As a result of Mr. Appel’s achievement of his personal performance goals, Mr. Appel was paid a bonus of $175,000.</w:t>
      </w:r>
    </w:p>
    <w:p>
      <w:pPr>
        <w:spacing w:after="0" w:line="10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awarded Mr. Shashank a cash incentive bonus of $89,575, which was less than the target bonus of $118,800. Our Compensation Committee recognized and gave additional weight to Mr. Shashank’s individual performance goal achievements, including Mr. Shashank’s role in enhancing our compliance programs, improving productivity and controlling cost within the legal organization, contributing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executive leadership team’s strategic planning process, effectively engaging with and supporting the Board and enabling us to meet certain key business objectives for 2008.</w:t>
      </w:r>
    </w:p>
    <w:p>
      <w:pPr>
        <w:spacing w:after="0" w:line="120" w:lineRule="exact"/>
        <w:rPr>
          <w:sz w:val="20"/>
          <w:szCs w:val="20"/>
          <w:color w:val="auto"/>
        </w:rPr>
      </w:pPr>
    </w:p>
    <w:p>
      <w:pPr>
        <w:ind w:right="140" w:firstLine="456"/>
        <w:spacing w:after="0" w:line="243" w:lineRule="auto"/>
        <w:rPr>
          <w:sz w:val="20"/>
          <w:szCs w:val="20"/>
          <w:color w:val="auto"/>
        </w:rPr>
      </w:pPr>
      <w:r>
        <w:rPr>
          <w:rFonts w:ascii="Times New Roman" w:cs="Times New Roman" w:eastAsia="Times New Roman" w:hAnsi="Times New Roman"/>
          <w:sz w:val="18"/>
          <w:szCs w:val="18"/>
          <w:color w:val="auto"/>
        </w:rPr>
        <w:t>Our Compensation Committee awarded Mr. Nacha a cash incentive bonus of $157,950, which was less than his target bonus of $168,750. They noted that the new client revenues generated by the sales and marketing department under Mr. Nacha’s leadership grew significantly over the preceding year. Our Compensation Committee recognized and gave additional weight to Mr. Nacha’s individual performance goal achievements, including Mr. Nacha’s role in strengthening the sales and marketing department, enhancing the pipeline of prospective clients and other individual contributions.</w:t>
      </w:r>
    </w:p>
    <w:p>
      <w:pPr>
        <w:spacing w:after="0" w:line="17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6"/>
          <w:szCs w:val="16"/>
          <w:color w:val="auto"/>
        </w:rPr>
        <w:t>Our Compensation Committee awarded Mr. de Villa a cash incentive bonus of $194,606, which reflected the number of days that Mr. de Villa was employed with us during 2008, and which was in excess of his target bonus of $174,484 for such period. They noted that, for purposes of calculating Mr. de Villa’s bonus, the research and analytics business line achieved a gross margin percentage in excess of the target and the advisory service business line achieved revenues in excess of the target. Our Compensation Committee recognized and gave additional weight to Mr. de Villa’s individual performance goal achievements, including leadership of the transformation business and the superior business and financial performance of the transformation business as well as the integration of the various businesses comprising the transformation business (including the research and analytics and advisory services business lines).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Bonuses were paid to our named executive officers in March 2009.</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bonus paid to each of our named executive officers.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Bonus ($)</w:t>
            </w:r>
          </w:p>
        </w:tc>
      </w:tr>
      <w:tr>
        <w:trPr>
          <w:trHeight w:val="210"/>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237,510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244,125</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89,575</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157,950</w:t>
            </w:r>
          </w:p>
        </w:tc>
      </w:tr>
      <w:tr>
        <w:trPr>
          <w:trHeight w:val="22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194,606</w:t>
            </w: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Incentives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also ensure that our executive officers are properly focused on stockholder value. We review long-term equity incentives for our named executive officers and other executives periodically and generally make grants to executives, including our executive officers, for whom grants are recommended by our former executive officers, at one or more pre-scheduled meetings of our Compensation Committee in March or April.</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Prior to our initial public offering, our stock option program was based on grants that were individually negotiated in connection with employment agreements and other grants to our executives. In 2008, we employed two forms of equity incentives to executive officers granted under our 2006 Omnibus Award Plan, which we refer to as the 2006 Plan: stock options and restricted stock. On January 29, 2009, our shareholders approved an amendment to our 2006 Plan increasing the overall share pool to 7,729,238 shares by adding 4,000,000 shares. We increased the share pool to make sure we would have enough shares for awards under the 2006 Plan in coming years.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Incentives—Stock Options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Stock options align employee incentives with stockholders because options have value only if the stock price increases over time. In this sense, stock options are a motivational tool. Our ten-year options under our 2006 Plan are granted at the average of the high and low price on the trading day immediately prior to the date of grant. Stock options granted under our 2006 Plan generally vest over a four 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 year vesting period helps focus employees on long-term growth and helps to retain key employees. Our 2006 Plan prohibits the repricing of stock options under our 2006 Plan without the approval of our stockholders.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Compensation Committee considered the following when making 2008 option grants to all employee recipients, including our executive officers:</w:t>
      </w:r>
    </w:p>
    <w:p>
      <w:pPr>
        <w:spacing w:after="0" w:line="88" w:lineRule="exact"/>
        <w:rPr>
          <w:sz w:val="20"/>
          <w:szCs w:val="20"/>
          <w:color w:val="auto"/>
        </w:rPr>
      </w:pPr>
    </w:p>
    <w:p>
      <w:pPr>
        <w:jc w:val="both"/>
        <w:ind w:left="900" w:right="420" w:hanging="325"/>
        <w:spacing w:after="0" w:line="312"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Grant size. </w:t>
      </w:r>
      <w:r>
        <w:rPr>
          <w:rFonts w:ascii="Times New Roman" w:cs="Times New Roman" w:eastAsia="Times New Roman" w:hAnsi="Times New Roman"/>
          <w:sz w:val="16"/>
          <w:szCs w:val="16"/>
          <w:color w:val="auto"/>
        </w:rPr>
        <w:t>In determining the number of options to be granted to senior executive officers, our Compensation Committee took into account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individual’s position, scope of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11" w:lineRule="exact"/>
        <w:rPr>
          <w:rFonts w:ascii="Times New Roman" w:cs="Times New Roman" w:eastAsia="Times New Roman" w:hAnsi="Times New Roman"/>
          <w:sz w:val="16"/>
          <w:szCs w:val="16"/>
          <w:color w:val="auto"/>
        </w:rPr>
      </w:pPr>
    </w:p>
    <w:p>
      <w:pPr>
        <w:ind w:left="900" w:right="60" w:hanging="325"/>
        <w:spacing w:after="0" w:line="288"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Grant Timing and Price. </w:t>
      </w:r>
      <w:r>
        <w:rPr>
          <w:rFonts w:ascii="Times New Roman" w:cs="Times New Roman" w:eastAsia="Times New Roman" w:hAnsi="Times New Roman"/>
          <w:sz w:val="16"/>
          <w:szCs w:val="16"/>
          <w:color w:val="auto"/>
        </w:rPr>
        <w:t>Our Compensation Committee’s procedure for the timing of equity grants (stock options, restricted stock or any other 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equity award permitted under our 2006 Plan) ensures that grant timing is not being manipulated to result in a price that is favorable to employees. The annual equity grant date for all eligible employees, including executive officers, is generally in March or April (depending on when our Compensation Committee holds its pre-scheduled meeting or meetings discussed above). The grant date timing coincides with our calendar-year-based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Equity incentive grants for Messrs. Talwar and Kapoor are generally considered in January of each year. Other exceptions to the annual equity grant date occur periodically for matters such as new hires of executive officers (including Mr. de Villa in 2008). The primary annual 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333"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granted each founder executive officer a stock option grant of 150,000 shares of our common stock with a per-share exercise price of $16.96, 25% of which vested on January 23, 2009 and the remainder of which will vest in additional 25% increments on each of January 23, 2010, January 23, 2011, and January 23, 2012.</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Grants for new hires are generally made at the next scheduled Compensation Committee meeting after the joining date of such hire. In connection with the entry into our employment agreement with Mr. de Villa in March 2008, we granted Mr. de Villa a stock option grant of 40,000 shares of our common stock, with a per-share exercise price of $23.82. Mr. de Villa’s stock option grant in 2008 vests over a four-year period with 10% vesting on the first anniversary of the date of grant, which was Mr. de Villa’s joining date, an additional 20% vesting on the second anniversary of the date of grant, an additional 30% vesting on the third anniversary 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date of grant and the remaining 40% vesting on the fourth anniversary of the date of grant, subject generally to continued employment through each such vesting date.</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Incentives—Restricted Stock</w:t>
      </w:r>
    </w:p>
    <w:p>
      <w:pPr>
        <w:spacing w:after="0" w:line="94"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Restricted stock awards offer executives the opportunity to receive shares of our common stock on the date that the restriction lapses and serve both to reward and retain executives since the value of the restricted stock awards is linked to the price of our stock on the date that the restriction lapses. In addition, restricted stock awards are potentially less dilutive to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w:t>
      </w:r>
    </w:p>
    <w:p>
      <w:pPr>
        <w:spacing w:after="0" w:line="10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20"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At its regularly scheduled meeting in April 2008 at which equity awards are traditionally considered, our Compensation Committee approved equity awards to the executives for whom grants are recommended by our founder executive officers. In April 2008, our Compensation Committee approved a grant of 6,000 shares of restricted stock to Mr. Appel, 7,500 shares of restricted stock to Mr. Shashank and 2,000 shares of restricted stock to Mr. Nacha. Each of the restricted stock awards to Messrs. Appel, Shashank and Nacha vest over a four-year period with 10% vesting on the first anniversary of the date of grant and an additional 20%, 30% and 40% vesting on each successive anniversary of that date. These awards were in addition to the awards made to Messrs. Appel, Shashank and Nacha instead of any increases in base pay as described above under “Components of Executive Compensation for 2008—Base Salary.”</w:t>
      </w:r>
    </w:p>
    <w:p>
      <w:pPr>
        <w:spacing w:after="0" w:line="1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our employment agreement with Mr. de Villa in March 2008, we granted Mr. de Villa 4,000 restricted shares of our common stock, that vest over a four-year period with 10% vesting on the first anniversary of the date of grant, which was Mr. de Villa’s joining date,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number of shares of restricted stock and stock options granted to each of our named executive officers in 2008.</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Restricted Stock (#)</w:t>
            </w:r>
          </w:p>
        </w:tc>
        <w:tc>
          <w:tcPr>
            <w:tcW w:w="1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Stock 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16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16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Appel</w:t>
            </w:r>
          </w:p>
        </w:tc>
        <w:tc>
          <w:tcPr>
            <w:tcW w:w="116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8"/>
              </w:rPr>
              <w:t>7,100</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116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8"/>
              </w:rPr>
              <w:t>8,500</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116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8"/>
              </w:rPr>
              <w:t>2,250</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116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8"/>
              </w:rPr>
              <w:t>4,000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global work force with a reasonable level of financial support in the event of illness or injury,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productivity and job satisfaction through programs that focus on work/life balance.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 of employee benefits is partially borne by our employees, including our executive officers.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do not provide significant perquisites or personal benefits to executive officers other than our founder executive officers.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below.</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Severance Benefits</w:t>
      </w:r>
    </w:p>
    <w:p>
      <w:pPr>
        <w:spacing w:after="0" w:line="92"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below.</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provided change in control severance protection for certain or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Therefore senior executive officers generally are paid severance for a longer period:</w:t>
      </w:r>
    </w:p>
    <w:p>
      <w:pPr>
        <w:spacing w:after="0" w:line="49" w:lineRule="exact"/>
        <w:rPr>
          <w:sz w:val="20"/>
          <w:szCs w:val="20"/>
          <w:color w:val="auto"/>
        </w:rPr>
      </w:pPr>
    </w:p>
    <w:p>
      <w:pPr>
        <w:ind w:left="900" w:right="100" w:hanging="325"/>
        <w:spacing w:after="0" w:line="27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vesting of equity awards. </w:t>
      </w:r>
      <w:r>
        <w:rPr>
          <w:rFonts w:ascii="Times New Roman" w:cs="Times New Roman" w:eastAsia="Times New Roman" w:hAnsi="Times New Roman"/>
          <w:sz w:val="18"/>
          <w:szCs w:val="18"/>
          <w:color w:val="auto"/>
        </w:rPr>
        <w:t>All executive officers receive an advancement of vesting by one year of all unvested equity awards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termination of employment.</w:t>
      </w:r>
    </w:p>
    <w:p>
      <w:pPr>
        <w:spacing w:after="0" w:line="35" w:lineRule="exact"/>
        <w:rPr>
          <w:rFonts w:ascii="Times New Roman" w:cs="Times New Roman" w:eastAsia="Times New Roman" w:hAnsi="Times New Roman"/>
          <w:sz w:val="18"/>
          <w:szCs w:val="18"/>
          <w:color w:val="auto"/>
        </w:rPr>
      </w:pPr>
    </w:p>
    <w:p>
      <w:pPr>
        <w:ind w:left="900" w:right="740" w:hanging="325"/>
        <w:spacing w:after="0" w:line="27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Covered terminations. </w:t>
      </w:r>
      <w:r>
        <w:rPr>
          <w:rFonts w:ascii="Times New Roman" w:cs="Times New Roman" w:eastAsia="Times New Roman" w:hAnsi="Times New Roman"/>
          <w:sz w:val="18"/>
          <w:szCs w:val="18"/>
          <w:color w:val="auto"/>
        </w:rPr>
        <w:t>Eligible executive officers are eligible for payments if, within one year of the change in control, their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 without cause by us or (ii) for good reason by the executive officer.</w:t>
      </w:r>
    </w:p>
    <w:p>
      <w:pPr>
        <w:spacing w:after="0" w:line="35" w:lineRule="exact"/>
        <w:rPr>
          <w:rFonts w:ascii="Times New Roman" w:cs="Times New Roman" w:eastAsia="Times New Roman" w:hAnsi="Times New Roman"/>
          <w:sz w:val="18"/>
          <w:szCs w:val="18"/>
          <w:color w:val="auto"/>
        </w:rPr>
      </w:pPr>
    </w:p>
    <w:p>
      <w:pPr>
        <w:ind w:left="900" w:right="60" w:hanging="325"/>
        <w:spacing w:after="0" w:line="27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Severance payment. </w:t>
      </w:r>
      <w:r>
        <w:rPr>
          <w:rFonts w:ascii="Times New Roman" w:cs="Times New Roman" w:eastAsia="Times New Roman" w:hAnsi="Times New Roman"/>
          <w:sz w:val="18"/>
          <w:szCs w:val="18"/>
          <w:color w:val="auto"/>
        </w:rPr>
        <w:t>Eligible terminated executive officers receive severance payments reflecting the expected duration for such executive officers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 new employment.</w:t>
      </w:r>
    </w:p>
    <w:p>
      <w:pPr>
        <w:spacing w:after="0" w:line="35" w:lineRule="exact"/>
        <w:rPr>
          <w:rFonts w:ascii="Times New Roman" w:cs="Times New Roman" w:eastAsia="Times New Roman" w:hAnsi="Times New Roman"/>
          <w:sz w:val="18"/>
          <w:szCs w:val="18"/>
          <w:color w:val="auto"/>
        </w:rPr>
      </w:pPr>
    </w:p>
    <w:p>
      <w:pPr>
        <w:ind w:left="900" w:right="480" w:hanging="325"/>
        <w:spacing w:after="0" w:line="27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Benefit continuation. </w:t>
      </w:r>
      <w:r>
        <w:rPr>
          <w:rFonts w:ascii="Times New Roman" w:cs="Times New Roman" w:eastAsia="Times New Roman" w:hAnsi="Times New Roman"/>
          <w:sz w:val="18"/>
          <w:szCs w:val="18"/>
          <w:color w:val="auto"/>
        </w:rPr>
        <w:t>Eligible terminated executive officers receive basic employee benefits such as health and life insurance for up to eighteen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following termination of employment.</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Deductibility Cap on Executive Compensation</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jc w:val="both"/>
        <w:ind w:right="56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2009 Annual Meeting of Stockholders.</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Mr. Steven B. Gruber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Mr. Garen K. Staglin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Mr. Clyde W. Ostler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2008</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for compensation earned in fiscal years 2006, 2007 and 2008 by our named executive officers.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Pension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value and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qualified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deferred</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All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sation</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compen-</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4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4"/>
                <w:szCs w:val="14"/>
                <w:b w:val="1"/>
                <w:bCs w:val="1"/>
                <w:color w:val="auto"/>
              </w:rPr>
              <w:t>Bonus</w:t>
            </w: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6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sation</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earning</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sation</w:t>
            </w: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($)(1)</w:t>
            </w:r>
          </w:p>
        </w:tc>
        <w:tc>
          <w:tcPr>
            <w:tcW w:w="60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w:t>
            </w:r>
          </w:p>
        </w:tc>
        <w:tc>
          <w:tcPr>
            <w:tcW w:w="43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4"/>
                <w:szCs w:val="14"/>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(f)</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Vikram Talwar(4)</w:t>
            </w:r>
          </w:p>
        </w:tc>
        <w:tc>
          <w:tcPr>
            <w:tcW w:w="40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shd w:val="clear" w:color="auto" w:fill="CCEEFF"/>
          </w:tcPr>
          <w:p>
            <w:pPr>
              <w:ind w:left="60"/>
              <w:spacing w:after="0" w:line="134" w:lineRule="exact"/>
              <w:rPr>
                <w:sz w:val="20"/>
                <w:szCs w:val="20"/>
                <w:color w:val="auto"/>
              </w:rPr>
            </w:pPr>
            <w:r>
              <w:rPr>
                <w:rFonts w:ascii="Times New Roman" w:cs="Times New Roman" w:eastAsia="Times New Roman" w:hAnsi="Times New Roman"/>
                <w:sz w:val="14"/>
                <w:szCs w:val="14"/>
                <w:color w:val="auto"/>
                <w:w w:val="87"/>
              </w:rPr>
              <w:t>420,000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630,017</w:t>
            </w:r>
          </w:p>
        </w:tc>
        <w:tc>
          <w:tcPr>
            <w:tcW w:w="720" w:type="dxa"/>
            <w:vAlign w:val="bottom"/>
            <w:gridSpan w:val="3"/>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256,552</w:t>
            </w:r>
          </w:p>
        </w:tc>
        <w:tc>
          <w:tcPr>
            <w:tcW w:w="6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237,510</w:t>
            </w:r>
          </w:p>
        </w:tc>
        <w:tc>
          <w:tcPr>
            <w:tcW w:w="660" w:type="dxa"/>
            <w:vAlign w:val="bottom"/>
            <w:shd w:val="clear" w:color="auto" w:fill="CCEEFF"/>
          </w:tcPr>
          <w:p>
            <w:pPr>
              <w:ind w:left="4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132,075(5)</w:t>
            </w:r>
          </w:p>
        </w:tc>
        <w:tc>
          <w:tcPr>
            <w:tcW w:w="6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1,676,154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Executive Chairman</w:t>
            </w:r>
          </w:p>
        </w:tc>
        <w:tc>
          <w:tcPr>
            <w:tcW w:w="400" w:type="dxa"/>
            <w:vAlign w:val="bottom"/>
            <w:gridSpan w:val="2"/>
            <w:shd w:val="clear" w:color="auto" w:fill="CCEEFF"/>
          </w:tcPr>
          <w:p>
            <w:pPr>
              <w:jc w:val="center"/>
              <w:ind w:right="80"/>
              <w:spacing w:after="0" w:line="151" w:lineRule="exact"/>
              <w:rPr>
                <w:sz w:val="20"/>
                <w:szCs w:val="20"/>
                <w:color w:val="auto"/>
              </w:rPr>
            </w:pPr>
            <w:r>
              <w:rPr>
                <w:rFonts w:ascii="Times New Roman" w:cs="Times New Roman" w:eastAsia="Times New Roman" w:hAnsi="Times New Roman"/>
                <w:sz w:val="14"/>
                <w:szCs w:val="14"/>
                <w:color w:val="auto"/>
                <w:w w:val="99"/>
              </w:rPr>
              <w:t>2007</w:t>
            </w:r>
          </w:p>
        </w:tc>
        <w:tc>
          <w:tcPr>
            <w:tcW w:w="48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w w:val="87"/>
              </w:rPr>
              <w:t>416,667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598,207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306,369</w:t>
            </w:r>
          </w:p>
        </w:tc>
        <w:tc>
          <w:tcPr>
            <w:tcW w:w="660" w:type="dxa"/>
            <w:vAlign w:val="bottom"/>
            <w:shd w:val="clear" w:color="auto" w:fill="CCEEFF"/>
          </w:tcPr>
          <w:p>
            <w:pPr>
              <w:ind w:left="4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235,762</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1,557,005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2006</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7"/>
              </w:rPr>
              <w:t>400,000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208,566</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490,000</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153,596</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color w:val="auto"/>
              </w:rPr>
              <w:t>Rohit Kapoor(6)</w:t>
            </w:r>
          </w:p>
        </w:tc>
        <w:tc>
          <w:tcPr>
            <w:tcW w:w="4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color w:val="auto"/>
                <w:w w:val="87"/>
              </w:rPr>
              <w:t>420,000</w:t>
            </w:r>
          </w:p>
        </w:tc>
        <w:tc>
          <w:tcPr>
            <w:tcW w:w="120" w:type="dxa"/>
            <w:vAlign w:val="bottom"/>
          </w:tcPr>
          <w:p>
            <w:pPr>
              <w:spacing w:after="0"/>
              <w:rPr>
                <w:sz w:val="11"/>
                <w:szCs w:val="11"/>
                <w:color w:val="auto"/>
              </w:rPr>
            </w:pPr>
          </w:p>
        </w:tc>
        <w:tc>
          <w:tcPr>
            <w:tcW w:w="78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445,171</w:t>
            </w:r>
          </w:p>
        </w:tc>
        <w:tc>
          <w:tcPr>
            <w:tcW w:w="72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441,947</w:t>
            </w:r>
          </w:p>
        </w:tc>
        <w:tc>
          <w:tcPr>
            <w:tcW w:w="6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244,125</w:t>
            </w:r>
          </w:p>
        </w:tc>
        <w:tc>
          <w:tcPr>
            <w:tcW w:w="660" w:type="dxa"/>
            <w:vAlign w:val="bottom"/>
          </w:tcPr>
          <w:p>
            <w:pPr>
              <w:ind w:left="4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157,317(7)</w:t>
            </w: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1,708,560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48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40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color w:val="auto"/>
                <w:w w:val="99"/>
              </w:rPr>
              <w:t>2007</w:t>
            </w:r>
          </w:p>
        </w:tc>
        <w:tc>
          <w:tcPr>
            <w:tcW w:w="4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w w:val="87"/>
              </w:rPr>
              <w:t>416,667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413,547</w:t>
            </w:r>
          </w:p>
        </w:tc>
        <w:tc>
          <w:tcPr>
            <w:tcW w:w="720" w:type="dxa"/>
            <w:vAlign w:val="bottom"/>
            <w:gridSpan w:val="3"/>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185,200</w:t>
            </w:r>
          </w:p>
        </w:tc>
        <w:tc>
          <w:tcPr>
            <w:tcW w:w="68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306,369</w:t>
            </w:r>
          </w:p>
        </w:tc>
        <w:tc>
          <w:tcPr>
            <w:tcW w:w="660" w:type="dxa"/>
            <w:vAlign w:val="bottom"/>
          </w:tcPr>
          <w:p>
            <w:pPr>
              <w:ind w:left="4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76,232</w:t>
            </w:r>
          </w:p>
        </w:tc>
        <w:tc>
          <w:tcPr>
            <w:tcW w:w="280" w:type="dxa"/>
            <w:vAlign w:val="bottom"/>
          </w:tcPr>
          <w:p>
            <w:pPr>
              <w:spacing w:after="0"/>
              <w:rPr>
                <w:sz w:val="13"/>
                <w:szCs w:val="13"/>
                <w:color w:val="auto"/>
              </w:rPr>
            </w:pPr>
          </w:p>
        </w:tc>
        <w:tc>
          <w:tcPr>
            <w:tcW w:w="66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1,398,015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2006</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7"/>
              </w:rPr>
              <w:t>400,000</w:t>
            </w: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209,195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490,000</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87,793</w:t>
            </w:r>
          </w:p>
        </w:tc>
        <w:tc>
          <w:tcPr>
            <w:tcW w:w="2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1,186,988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Matthew Appel(8)</w:t>
            </w:r>
          </w:p>
        </w:tc>
        <w:tc>
          <w:tcPr>
            <w:tcW w:w="4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7"/>
              </w:rPr>
              <w:t>375,000</w:t>
            </w:r>
          </w:p>
        </w:tc>
        <w:tc>
          <w:tcPr>
            <w:tcW w:w="9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175,000(9)</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131,710</w:t>
            </w: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326,534</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12,983</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2007</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7"/>
              </w:rPr>
              <w:t>312,500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273,896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216,375</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78,044</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color w:val="auto"/>
              </w:rPr>
              <w:t>Amit Shashank</w:t>
            </w:r>
          </w:p>
        </w:tc>
        <w:tc>
          <w:tcPr>
            <w:tcW w:w="4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color w:val="auto"/>
                <w:w w:val="87"/>
              </w:rPr>
              <w:t>297,000</w:t>
            </w:r>
          </w:p>
        </w:tc>
        <w:tc>
          <w:tcPr>
            <w:tcW w:w="120" w:type="dxa"/>
            <w:vAlign w:val="bottom"/>
          </w:tcPr>
          <w:p>
            <w:pPr>
              <w:spacing w:after="0"/>
              <w:rPr>
                <w:sz w:val="11"/>
                <w:szCs w:val="11"/>
                <w:color w:val="auto"/>
              </w:rPr>
            </w:pPr>
          </w:p>
        </w:tc>
        <w:tc>
          <w:tcPr>
            <w:tcW w:w="78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118,912</w:t>
            </w:r>
          </w:p>
        </w:tc>
        <w:tc>
          <w:tcPr>
            <w:tcW w:w="72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122,259</w:t>
            </w:r>
          </w:p>
        </w:tc>
        <w:tc>
          <w:tcPr>
            <w:tcW w:w="6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89,575</w:t>
            </w:r>
          </w:p>
        </w:tc>
        <w:tc>
          <w:tcPr>
            <w:tcW w:w="660" w:type="dxa"/>
            <w:vAlign w:val="bottom"/>
          </w:tcPr>
          <w:p>
            <w:pPr>
              <w:ind w:left="4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color w:val="auto"/>
              </w:rPr>
              <w:t>16,614</w:t>
            </w:r>
          </w:p>
        </w:tc>
        <w:tc>
          <w:tcPr>
            <w:tcW w:w="2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644,360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48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General Counsel</w:t>
            </w:r>
          </w:p>
        </w:tc>
        <w:tc>
          <w:tcPr>
            <w:tcW w:w="40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color w:val="auto"/>
                <w:w w:val="99"/>
              </w:rPr>
              <w:t>2007</w:t>
            </w:r>
          </w:p>
        </w:tc>
        <w:tc>
          <w:tcPr>
            <w:tcW w:w="4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w w:val="87"/>
              </w:rPr>
              <w:t>290,625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108,990</w:t>
            </w:r>
          </w:p>
        </w:tc>
        <w:tc>
          <w:tcPr>
            <w:tcW w:w="720" w:type="dxa"/>
            <w:vAlign w:val="bottom"/>
            <w:gridSpan w:val="3"/>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154,108</w:t>
            </w:r>
          </w:p>
        </w:tc>
        <w:tc>
          <w:tcPr>
            <w:tcW w:w="68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130,449</w:t>
            </w:r>
          </w:p>
        </w:tc>
        <w:tc>
          <w:tcPr>
            <w:tcW w:w="660" w:type="dxa"/>
            <w:vAlign w:val="bottom"/>
          </w:tcPr>
          <w:p>
            <w:pPr>
              <w:ind w:left="4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13,334</w:t>
            </w:r>
          </w:p>
        </w:tc>
        <w:tc>
          <w:tcPr>
            <w:tcW w:w="280" w:type="dxa"/>
            <w:vAlign w:val="bottom"/>
          </w:tcPr>
          <w:p>
            <w:pPr>
              <w:spacing w:after="0"/>
              <w:rPr>
                <w:sz w:val="13"/>
                <w:szCs w:val="13"/>
                <w:color w:val="auto"/>
              </w:rPr>
            </w:pPr>
          </w:p>
        </w:tc>
        <w:tc>
          <w:tcPr>
            <w:tcW w:w="66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697,506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2006</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7"/>
              </w:rPr>
              <w:t>256,000</w:t>
            </w: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34,338</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181,221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99,523</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184,003</w:t>
            </w:r>
          </w:p>
        </w:tc>
        <w:tc>
          <w:tcPr>
            <w:tcW w:w="2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755,085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Rembert de Villa</w:t>
            </w:r>
          </w:p>
        </w:tc>
        <w:tc>
          <w:tcPr>
            <w:tcW w:w="4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7"/>
              </w:rPr>
              <w:t>249,263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16,442</w:t>
            </w: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48,267</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194,606</w:t>
            </w: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Vice President, Head of Transformation Services and Managing Principal</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color w:val="auto"/>
              </w:rPr>
              <w:t>Krishna Nacha</w:t>
            </w:r>
          </w:p>
        </w:tc>
        <w:tc>
          <w:tcPr>
            <w:tcW w:w="4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color w:val="auto"/>
                <w:w w:val="99"/>
              </w:rPr>
              <w:t>2008</w:t>
            </w:r>
          </w:p>
        </w:tc>
        <w:tc>
          <w:tcPr>
            <w:tcW w:w="48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color w:val="auto"/>
                <w:w w:val="87"/>
              </w:rPr>
              <w:t>225,000</w:t>
            </w:r>
          </w:p>
        </w:tc>
        <w:tc>
          <w:tcPr>
            <w:tcW w:w="120" w:type="dxa"/>
            <w:vAlign w:val="bottom"/>
          </w:tcPr>
          <w:p>
            <w:pPr>
              <w:spacing w:after="0"/>
              <w:rPr>
                <w:sz w:val="11"/>
                <w:szCs w:val="11"/>
                <w:color w:val="auto"/>
              </w:rPr>
            </w:pPr>
          </w:p>
        </w:tc>
        <w:tc>
          <w:tcPr>
            <w:tcW w:w="78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9,249</w:t>
            </w:r>
          </w:p>
        </w:tc>
        <w:tc>
          <w:tcPr>
            <w:tcW w:w="72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151,072</w:t>
            </w:r>
          </w:p>
        </w:tc>
        <w:tc>
          <w:tcPr>
            <w:tcW w:w="6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157,950</w:t>
            </w:r>
          </w:p>
        </w:tc>
        <w:tc>
          <w:tcPr>
            <w:tcW w:w="660" w:type="dxa"/>
            <w:vAlign w:val="bottom"/>
          </w:tcPr>
          <w:p>
            <w:pPr>
              <w:ind w:left="4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color w:val="auto"/>
              </w:rPr>
              <w:t>7,894</w:t>
            </w:r>
          </w:p>
        </w:tc>
        <w:tc>
          <w:tcPr>
            <w:tcW w:w="2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551,165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Vice President and Chief Sales and Marketing Officer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hanging="332"/>
        <w:spacing w:after="0" w:line="227"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(e) reflect the dollar amount of awards recognized for financial statement reporting purposes for the fiscal year ended December 31, 2008, in accordance with FAS 123(R) (disregarding any forfeiture assumptions). Assumptions used in the calculation of these amounts are included (i) for 2008, in footnotes 2 and 11 to our audited financial statements for the fiscal year ended December 31, 2008 included in our Annual Report on Form 10-K filed with the Securities and Exchange Commission on March 16, 2009; (ii) for 2007, in footnotes 2 and 13 to our audited financial statements for the fiscal year ended December 31, 2007 included in our Annual Report on Form 10-K filed with the Securities and Exchange Commission on March 17, 2008; and (iii) for 2006, in footnotes 2 and 13 to our audited financial statements for the fiscal year ended December 31, 2006 included in our Annual Report on Form 10-K filed with the Securities and Exchange Commission on March 30, 2007.</w:t>
      </w:r>
    </w:p>
    <w:p>
      <w:pPr>
        <w:spacing w:after="0" w:line="45" w:lineRule="exact"/>
        <w:rPr>
          <w:rFonts w:ascii="Times New Roman" w:cs="Times New Roman" w:eastAsia="Times New Roman" w:hAnsi="Times New Roman"/>
          <w:sz w:val="14"/>
          <w:szCs w:val="14"/>
          <w:color w:val="auto"/>
        </w:rPr>
      </w:pPr>
    </w:p>
    <w:p>
      <w:pPr>
        <w:ind w:left="340" w:right="140" w:hanging="332"/>
        <w:spacing w:after="0" w:line="227"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the dollar amount of awards recognized for financial statement reporting purposes for the fiscal year ended December 31, 2008, in accordance with FAS 123(R) (disregarding any forfeiture assumptions). Assumptions used in the calculation of this amount are included (i) for 2008, in footnotes 2 and 11 to our audited financial statements for the fiscal year ended December 31, 2008 included in our Annual Report on Form 10-K filed with the Securities and Exchange Commission on March 16, 2009; (ii) for 2007, in footnotes 2 and 13 to our audited financial statements for the fiscal year ended December 31, 2007 included in our Annual Report on Form 10-K filed with the Securities and Exchange Commission on March 17, 2008; and (iii) for 2006, in footnotes 2 and 13 to our audited financial statements for the fiscal year ended December 31, 2006 included in our Annual Report on Form 10-K filed with the Securities and Exchange Commission on March 30, 2007.</w:t>
      </w:r>
    </w:p>
    <w:p>
      <w:pPr>
        <w:spacing w:after="0" w:line="4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(g) reflect cash bonuses earned. For details of our cash bonus program, see “Compensation Discussion and Analysis—Cash Incentive Bonus” on page 17.</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Talwar served as our Chief Executive Officer until May 1, 2008.</w:t>
      </w:r>
    </w:p>
    <w:p>
      <w:pPr>
        <w:spacing w:after="0" w:line="55" w:lineRule="exact"/>
        <w:rPr>
          <w:rFonts w:ascii="Times New Roman" w:cs="Times New Roman" w:eastAsia="Times New Roman" w:hAnsi="Times New Roman"/>
          <w:sz w:val="14"/>
          <w:szCs w:val="14"/>
          <w:color w:val="auto"/>
        </w:rPr>
      </w:pPr>
    </w:p>
    <w:p>
      <w:pPr>
        <w:ind w:left="340" w:right="300" w:hanging="332"/>
        <w:spacing w:after="0" w:line="23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Vikram Talwar includes $37,766 for business class airfare between India and the United States for Mr. Talwar and his family and $28,596 in travel allowance for Mr. Talwar’s spouse. Other items include car payments and related insurance and fuel and toll expenses in the United States, associated automobile insurance, driver’s wages and fuel charges for an automobile in India, employer contributions to our 401(k) plan and payments toward personal security protection in India, life insurance premiums, medical insurance premiums, payments towards expenses while traveling outside of India for work, and payment of a club membership.</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Rohit Kapoor served as our President and Chief Operating Officer through April 30, 2008 and became our Chief Executive Officer and President on May 1, 2008.</w:t>
      </w:r>
    </w:p>
    <w:p>
      <w:pPr>
        <w:spacing w:after="0" w:line="55" w:lineRule="exact"/>
        <w:rPr>
          <w:rFonts w:ascii="Times New Roman" w:cs="Times New Roman" w:eastAsia="Times New Roman" w:hAnsi="Times New Roman"/>
          <w:sz w:val="14"/>
          <w:szCs w:val="14"/>
          <w:color w:val="auto"/>
        </w:rPr>
      </w:pPr>
    </w:p>
    <w:p>
      <w:pPr>
        <w:ind w:left="340" w:right="120" w:hanging="332"/>
        <w:spacing w:after="0" w:line="234"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Rohit Kapoor includes $26,670 for business class airfare between India and the United States for Mr. Kapoor and his family and $82,638 for an automobile in India. Other items include car payments and related insurance, fuel, toll and repair expenses in the United States, employer contributions to our 401(k) plan, life insurance premiums, medical insurance premiums, automobile parking expenses, expenses while traveling out of the United States for work, personal security protection in India and home internet costs.</w:t>
      </w:r>
    </w:p>
    <w:p>
      <w:pPr>
        <w:spacing w:after="0" w:line="4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Appel became our Chief Financial Officer on March 31, 2007.</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cash incentive bonus in respect of Mr. Appel’s achievement of his personal performance goals, as discussed on page 19.</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455" w:right="3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Table for Fiscal Year 2008</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grants of stock and option awards and non-equity incentive plan awards granted to our named executive officers during fiscal year 2008: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All other</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0" w:type="dxa"/>
            <w:vAlign w:val="bottom"/>
            <w:gridSpan w:val="5"/>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Non-Equity</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66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Closing</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Market</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Plan Awards(1)</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20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Thres-</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Maxi-</w:t>
            </w:r>
          </w:p>
        </w:tc>
        <w:tc>
          <w:tcPr>
            <w:tcW w:w="420" w:type="dxa"/>
            <w:vAlign w:val="bottom"/>
          </w:tcPr>
          <w:p>
            <w:pPr>
              <w:spacing w:after="0"/>
              <w:rPr>
                <w:sz w:val="10"/>
                <w:szCs w:val="10"/>
                <w:color w:val="auto"/>
              </w:rPr>
            </w:pP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200" w:type="dxa"/>
            <w:vAlign w:val="bottom"/>
          </w:tcPr>
          <w:p>
            <w:pPr>
              <w:spacing w:after="0"/>
              <w:rPr>
                <w:sz w:val="10"/>
                <w:szCs w:val="10"/>
                <w:color w:val="auto"/>
              </w:rPr>
            </w:pPr>
          </w:p>
        </w:tc>
        <w:tc>
          <w:tcPr>
            <w:tcW w:w="5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00" w:type="dxa"/>
            <w:vAlign w:val="bottom"/>
          </w:tcPr>
          <w:p>
            <w:pPr>
              <w:spacing w:after="0"/>
              <w:rPr>
                <w:sz w:val="10"/>
                <w:szCs w:val="10"/>
                <w:color w:val="auto"/>
              </w:rPr>
            </w:pPr>
          </w:p>
        </w:tc>
        <w:tc>
          <w:tcPr>
            <w:tcW w:w="720" w:type="dxa"/>
            <w:vAlign w:val="bottom"/>
            <w:gridSpan w:val="2"/>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Grant</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hold</w:t>
            </w:r>
          </w:p>
        </w:tc>
        <w:tc>
          <w:tcPr>
            <w:tcW w:w="20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mum</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138"/>
        </w:trPr>
        <w:tc>
          <w:tcPr>
            <w:tcW w:w="4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gridSpan w:val="2"/>
          </w:tcPr>
          <w:p>
            <w:pPr>
              <w:ind w:left="42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680" w:type="dxa"/>
            <w:vAlign w:val="bottom"/>
            <w:gridSpan w:val="2"/>
          </w:tcPr>
          <w:p>
            <w:pPr>
              <w:jc w:val="center"/>
              <w:ind w:left="117"/>
              <w:spacing w:after="0" w:line="13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2"/>
              </w:rPr>
              <w:t>Grant</w:t>
            </w:r>
          </w:p>
        </w:tc>
        <w:tc>
          <w:tcPr>
            <w:tcW w:w="800" w:type="dxa"/>
            <w:vAlign w:val="bottom"/>
            <w:gridSpan w:val="2"/>
          </w:tcPr>
          <w:p>
            <w:pPr>
              <w:jc w:val="center"/>
              <w:ind w:left="15"/>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4"/>
                <w:szCs w:val="14"/>
                <w:color w:val="auto"/>
              </w:rPr>
            </w:pPr>
          </w:p>
        </w:tc>
        <w:tc>
          <w:tcPr>
            <w:tcW w:w="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4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(k)</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1/23/08</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76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19.11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315,000</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630,000</w:t>
            </w:r>
          </w:p>
        </w:tc>
        <w:tc>
          <w:tcPr>
            <w:tcW w:w="8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Rohit Kapoor</w:t>
            </w:r>
          </w:p>
        </w:tc>
        <w:tc>
          <w:tcPr>
            <w:tcW w:w="94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1/23/08</w:t>
            </w:r>
          </w:p>
        </w:tc>
        <w:tc>
          <w:tcPr>
            <w:tcW w:w="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7"/>
                <w:szCs w:val="17"/>
                <w:color w:val="auto"/>
              </w:rPr>
            </w:pPr>
          </w:p>
        </w:tc>
        <w:tc>
          <w:tcPr>
            <w:tcW w:w="100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left="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150,000</w:t>
            </w:r>
          </w:p>
        </w:tc>
        <w:tc>
          <w:tcPr>
            <w:tcW w:w="6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16.96</w:t>
            </w:r>
          </w:p>
        </w:tc>
        <w:tc>
          <w:tcPr>
            <w:tcW w:w="760" w:type="dxa"/>
            <w:vAlign w:val="bottom"/>
            <w:gridSpan w:val="3"/>
          </w:tcPr>
          <w:p>
            <w:pPr>
              <w:jc w:val="center"/>
              <w:ind w:left="72"/>
              <w:spacing w:after="0" w:line="201" w:lineRule="exact"/>
              <w:rPr>
                <w:sz w:val="20"/>
                <w:szCs w:val="20"/>
                <w:color w:val="auto"/>
              </w:rPr>
            </w:pPr>
            <w:r>
              <w:rPr>
                <w:rFonts w:ascii="Times New Roman" w:cs="Times New Roman" w:eastAsia="Times New Roman" w:hAnsi="Times New Roman"/>
                <w:sz w:val="18"/>
                <w:szCs w:val="18"/>
                <w:color w:val="auto"/>
                <w:w w:val="98"/>
              </w:rPr>
              <w:t>19.11</w:t>
            </w:r>
          </w:p>
        </w:tc>
        <w:tc>
          <w:tcPr>
            <w:tcW w:w="8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1,090,345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315,000</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630,000</w:t>
            </w:r>
          </w:p>
        </w:tc>
        <w:tc>
          <w:tcPr>
            <w:tcW w:w="840" w:type="dxa"/>
            <w:vAlign w:val="bottom"/>
            <w:gridSpan w:val="2"/>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Appel</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4/24/08</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7,100</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187,500(4)</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375,000(4)</w:t>
            </w:r>
          </w:p>
        </w:tc>
        <w:tc>
          <w:tcPr>
            <w:tcW w:w="8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Amit Shashank</w:t>
            </w:r>
          </w:p>
        </w:tc>
        <w:tc>
          <w:tcPr>
            <w:tcW w:w="94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4/24/08</w:t>
            </w:r>
          </w:p>
        </w:tc>
        <w:tc>
          <w:tcPr>
            <w:tcW w:w="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7"/>
                <w:szCs w:val="17"/>
                <w:color w:val="auto"/>
              </w:rPr>
            </w:pPr>
          </w:p>
        </w:tc>
        <w:tc>
          <w:tcPr>
            <w:tcW w:w="100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8,500</w:t>
            </w:r>
          </w:p>
        </w:tc>
        <w:tc>
          <w:tcPr>
            <w:tcW w:w="660" w:type="dxa"/>
            <w:vAlign w:val="bottom"/>
          </w:tcPr>
          <w:p>
            <w:pPr>
              <w:jc w:val="right"/>
              <w:ind w:right="1"/>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56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202,428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118,800</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237,600</w:t>
            </w:r>
          </w:p>
        </w:tc>
        <w:tc>
          <w:tcPr>
            <w:tcW w:w="840" w:type="dxa"/>
            <w:vAlign w:val="bottom"/>
            <w:gridSpan w:val="2"/>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4/24/08</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76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24.60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4/24/08</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174,484</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348,968</w:t>
            </w:r>
          </w:p>
        </w:tc>
        <w:tc>
          <w:tcPr>
            <w:tcW w:w="8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20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4/24/08</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168,750</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337,500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2,250</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50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target and maximum cash bonuses set for 2008. For details of our cash bonus program, see “Compensation Discussion and Analysis—Cash Incentive Bonus” on page 17.</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of the grants mentioned in the table are as follows (and assume continued employment through each applicable vesting date):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start</w:t>
            </w:r>
          </w:p>
        </w:tc>
        <w:tc>
          <w:tcPr>
            <w:tcW w:w="50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0" w:type="dxa"/>
            <w:vAlign w:val="bottom"/>
          </w:tcPr>
          <w:p>
            <w:pPr>
              <w:spacing w:after="0"/>
              <w:rPr>
                <w:sz w:val="1"/>
                <w:szCs w:val="1"/>
                <w:color w:val="auto"/>
              </w:rPr>
            </w:pPr>
          </w:p>
        </w:tc>
      </w:tr>
      <w:tr>
        <w:trPr>
          <w:trHeight w:val="165"/>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1/23/09</w:t>
            </w: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1/23/09</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Appel</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4/24/09</w:t>
            </w: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4/24/08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4/24/09</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4/24/09</w:t>
            </w: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4/24/08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4/24/09</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Messrs. Talwar’s, Kapoor’s and de Villa’s options were set equal to the average of the high and low sales prices of our common stock on the day before the date of grant.</w:t>
      </w:r>
    </w:p>
    <w:p>
      <w:pPr>
        <w:spacing w:after="0" w:line="25"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Appel’s resignation, no bonus will be paid to Mr. Appel under our cash bonus program. Instead, Mr. Appel earned a separate bonus discussed in footnote 9 to the Summary Compensation Table.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Vikram Talwar and Rohit Kapoor</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entered into employment agreements with Messrs. Talwar and Kapoor, effective September 30, 2006, as amended and restated on December 16, 2008. Mr. Talwar serves as our Executive Chairman, served as our Chief Executive Officer and Vice Chairman between November 2002 and May 2008 and is based at our executive offices in India. Mr. Kapoor serves as our President and Chief Executive Officer, served as our Chief Financial Officer between August 2006 and March 30, 2007 and for certain periods prior to such dates and is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137"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Salary and Bonus. </w:t>
      </w:r>
      <w:r>
        <w:rPr>
          <w:rFonts w:ascii="Times New Roman" w:cs="Times New Roman" w:eastAsia="Times New Roman" w:hAnsi="Times New Roman"/>
          <w:sz w:val="18"/>
          <w:szCs w:val="18"/>
          <w:color w:val="auto"/>
        </w:rPr>
        <w:t>Messrs. Talwar and Kapoor each receive an annual base salary of $420,000. This base salary can be increased at our sole discretion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decreased unless a company-wide decrease in pay is implemented. Messrs. Talwar and Kapoor can each earn an annual cash bonus, with a target of 75% of base salary and a maximum of 150% of base salary, based upon the attainment of criteria determined by the Compensation Committee.</w:t>
      </w:r>
    </w:p>
    <w:p>
      <w:pPr>
        <w:spacing w:after="0" w:line="12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Messrs. Talwar and Kapoor are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Benefits. </w:t>
      </w:r>
      <w:r>
        <w:rPr>
          <w:rFonts w:ascii="Times New Roman" w:cs="Times New Roman" w:eastAsia="Times New Roman" w:hAnsi="Times New Roman"/>
          <w:sz w:val="18"/>
          <w:szCs w:val="18"/>
          <w:color w:val="auto"/>
        </w:rPr>
        <w:t>Messrs. Talwar and Kapoor can participate in all the benefit plans we provide to senior executives and employees generally.</w:t>
      </w:r>
    </w:p>
    <w:p>
      <w:pPr>
        <w:spacing w:after="0" w:line="173"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If we require either Mr. Talwar or Mr. Kapoor to relocate, we will pay the relocation costs. We will reimburse the executive for the after-tax cost of maintaining his existing home. He will need to use his best efforts to mitigate our cost by either renting or selling his home.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Personal Benefits. </w:t>
      </w:r>
      <w:r>
        <w:rPr>
          <w:rFonts w:ascii="Times New Roman" w:cs="Times New Roman" w:eastAsia="Times New Roman" w:hAnsi="Times New Roman"/>
          <w:sz w:val="18"/>
          <w:szCs w:val="18"/>
          <w:color w:val="auto"/>
        </w:rPr>
        <w:t>We provide Messrs. Talwar and Kapoor with certain personal benefits, including:</w:t>
      </w:r>
    </w:p>
    <w:p>
      <w:pPr>
        <w:spacing w:after="0" w:line="92"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maintaining an automobile in the United States (including up to $1,200 per month for lease or loan payments);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weeks paid vacation each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$12,000 for personal tax and estate planning expenses during the term of the agreement;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club memberships up to $3,500 per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additional taxes the executive must pay because he either works or lives in India or travels to India for work;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equipment for a home office;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once-a-year business class airfare between the United States and India (or India and the United States, as applicable) for the executive and his family;</w:t>
      </w:r>
    </w:p>
    <w:p>
      <w:pPr>
        <w:spacing w:after="0" w:line="113" w:lineRule="exact"/>
        <w:rPr>
          <w:rFonts w:ascii="Times New Roman" w:cs="Times New Roman" w:eastAsia="Times New Roman" w:hAnsi="Times New Roman"/>
          <w:sz w:val="16"/>
          <w:szCs w:val="16"/>
          <w:color w:val="auto"/>
        </w:rPr>
      </w:pPr>
    </w:p>
    <w:p>
      <w:pPr>
        <w:ind w:left="900" w:right="52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allowance for private school tuition for executive’s children through secondary school during the period when the executive and his immediate family live outside the United States in connection with company business;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life insurance policy with a face value of $500,000.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Personal Benefits for Mr. Talwar. </w:t>
      </w:r>
      <w:r>
        <w:rPr>
          <w:rFonts w:ascii="Times New Roman" w:cs="Times New Roman" w:eastAsia="Times New Roman" w:hAnsi="Times New Roman"/>
          <w:sz w:val="18"/>
          <w:szCs w:val="18"/>
          <w:color w:val="auto"/>
        </w:rPr>
        <w:t>The benefits Mr. Talwar will receive which Mr. Kapoor will not receive include the following:</w:t>
      </w:r>
    </w:p>
    <w:p>
      <w:pPr>
        <w:spacing w:after="0" w:line="92"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associated with maintaining an automobile in India (including the cost of a driver);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for the executive and his family; and</w:t>
      </w:r>
    </w:p>
    <w:p>
      <w:pPr>
        <w:spacing w:after="0" w:line="90"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per diem billeting allowance for each night that the executive does not stay in a hotel during travel to the United States on company business, thereby saving us from incurring boarding and lodging expenses, while living outside the United States.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Personal Benefits for Mr. Kapoor. </w:t>
      </w:r>
      <w:r>
        <w:rPr>
          <w:rFonts w:ascii="Times New Roman" w:cs="Times New Roman" w:eastAsia="Times New Roman" w:hAnsi="Times New Roman"/>
          <w:sz w:val="18"/>
          <w:szCs w:val="18"/>
          <w:color w:val="auto"/>
        </w:rPr>
        <w:t>The benefits Mr. Kapoor will receive which Mr. Talwar will not receive include the following:</w:t>
      </w:r>
    </w:p>
    <w:p>
      <w:pPr>
        <w:spacing w:after="0" w:line="92"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$12,000 for expenses associated with maintaining an automobile in India (including the cost of a driver);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for the executive and his family while in India; and</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per diem billeting allowance for each night that the executive does not stay in a hotel during travel to India on company business, thereby saving us from incurring boarding and lodging expenses, while domiciled in the United States.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Matthew Appel</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current employment agreement with Mr. Appel became effective on February 28, 2007, and he began serving as our Chief Financial Officer on March 31, 2007. Mr. Appel receives an annual base salary of $375,000 and is eligible to receive an annual bonus with a target of 50% of his base salary in effect, subject to any Company policies in effect from time to time which pertain to or limit compensation generally. The bonus amount may exceed 50% of Mr. Appel’s base salary if and to the extent the targets are exceeded. Mr. Appel was also entitled to receive a one-time signing bonus of $30,000. Mr. Appel is eligible to participate in our health, dental, vision, life insurance and disability plans and to participate in our 401(k) plan in accordance with its terms.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October 10, 2008, Mr. Appel entered into a Separation Agreement with the Company. The Agreement provided that Mr. Appel would assist the Company in filing its Annual Report on Form 10-K for the fiscal year ending December 31, 2008 on or before March 16, 2009. On March 11, 2009, we announced that we and Mr. Appel had entered into an amendment to the Separation Agreement, which amendment provides that Mr. Appel will resign on May 15, 2009. The amendment provides that Mr. Appel will assist the Company in filing its Quarterly Report on Form 10-Q for the fiscal quarter ending March 31, 2009 on or before May 11, 2009. If Mr. Appel satisfies certain personal performance goals during his remaining tenure with the Company in addition to assisting in a timely filing of the 2009 First Quarter Quarterly Report on Form 10-Q, Mr. Appel will be entitled to receive a bonus. The Company is engaged in a comprehensive search for Mr. Appel’s successor. Mr. Appel’s scheduled departure is expected to enable the Company to conduct an orderly transition of Mr. Appel’s duties to his successor.</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Amit Shashank</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current employment agreement with Mr. Shashank became effective on October 1, 2006 and was amended on December 31, 2008 to take into account Section 409A of the Code. Mr. Shashank joined us in June 2004. The agreement provides for Mr. Shashank to receive an annual base salary of $280,000, which can be increased based on annual performance reviews (it is currently $297,000). Mr. Shashank is eligible to earn an annual cash bonus, with a target of 40% of Mr. Shashank’s annual base salary for the year, which can be increased based on annual performance reviews. Mr. Shashank is eligible to participate in our health, dental, vision, life insurance and disability plans and to participate in our 401(k) plan in accordance with its terms.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Krishna Nacha</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We entered into our current employment agreement with Mr. Nacha on July 26, 2007. Mr. Nacha receives an annual base salary of $225,000. For 2008, Mr. Nacha was eligible to earn an annual cash bonus, with a target of 75% of his annual base salary. Mr. Nacha is eligible to participate in our health, dental, vision, life insurance and disability plans and to participate in our 401(k) plan in accordance with its terms.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Rembert de Villa</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entered into our current employment agreement with Mr. de Villa on March 20, 2008. Mr. de Villa receives an annual base salary of $350,000, which was prorated in 2008, and will be eligible to receive an annual cash bonus with a target equal to 70% of his annual base salary. Mr. de Villa did not receive a cash bonus during 2008. Mr. de Villa is eligible to participate in our health, dental, vision, life insurance and disability plans and to participate in our 401(k) plan in accordance with its terms.</w:t>
      </w:r>
    </w:p>
    <w:p>
      <w:pPr>
        <w:spacing w:after="0" w:line="13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his employment, Mr. de Villa received on April 24, 2008 a stock option grant to purchase 40,000 shares of our common stock, and a grant of 4,000 shares of restricted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2008 Year-End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equity awards we have made to our named executive officers that were outstanding as of December 31, 2008: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Units</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Other</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That Have</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That</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32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1120" w:type="dxa"/>
            <w:vAlign w:val="bottom"/>
            <w:gridSpan w:val="2"/>
          </w:tcPr>
          <w:p>
            <w:pPr>
              <w:jc w:val="center"/>
              <w:ind w:left="2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0" w:type="dxa"/>
            <w:vAlign w:val="bottom"/>
          </w:tcPr>
          <w:p>
            <w:pPr>
              <w:spacing w:after="0"/>
              <w:rPr>
                <w:sz w:val="1"/>
                <w:szCs w:val="1"/>
                <w:color w:val="auto"/>
              </w:rPr>
            </w:pPr>
          </w:p>
        </w:tc>
      </w:tr>
      <w:tr>
        <w:trPr>
          <w:trHeight w:val="138"/>
        </w:trPr>
        <w:tc>
          <w:tcPr>
            <w:tcW w:w="2740" w:type="dxa"/>
            <w:vAlign w:val="bottom"/>
            <w:gridSpan w:val="3"/>
            <w:vMerge w:val="continue"/>
          </w:tcPr>
          <w:p>
            <w:pPr>
              <w:spacing w:after="0"/>
              <w:rPr>
                <w:sz w:val="12"/>
                <w:szCs w:val="12"/>
                <w:color w:val="auto"/>
              </w:rPr>
            </w:pPr>
          </w:p>
        </w:tc>
        <w:tc>
          <w:tcPr>
            <w:tcW w:w="104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800" w:type="dxa"/>
            <w:vAlign w:val="bottom"/>
            <w:gridSpan w:val="2"/>
          </w:tcPr>
          <w:p>
            <w:pPr>
              <w:jc w:val="center"/>
              <w:ind w:left="21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880" w:type="dxa"/>
            <w:vAlign w:val="bottom"/>
            <w:gridSpan w:val="2"/>
          </w:tcPr>
          <w:p>
            <w:pPr>
              <w:jc w:val="center"/>
              <w:ind w:left="25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23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center"/>
              <w:ind w:left="25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23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(f)</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Vikram Talwar</w:t>
            </w:r>
          </w:p>
        </w:tc>
        <w:tc>
          <w:tcPr>
            <w:tcW w:w="10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center"/>
              <w:ind w:left="412"/>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1/23/2018</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642,750</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Rohit Kapoor</w:t>
            </w:r>
          </w:p>
        </w:tc>
        <w:tc>
          <w:tcPr>
            <w:tcW w:w="1040" w:type="dxa"/>
            <w:vAlign w:val="bottom"/>
            <w:gridSpan w:val="2"/>
          </w:tcPr>
          <w:p>
            <w:pPr>
              <w:jc w:val="right"/>
              <w:ind w:right="3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4"/>
                <w:szCs w:val="14"/>
                <w:color w:val="auto"/>
              </w:rPr>
              <w:t>150,000</w:t>
            </w:r>
          </w:p>
        </w:tc>
        <w:tc>
          <w:tcPr>
            <w:tcW w:w="280" w:type="dxa"/>
            <w:vAlign w:val="bottom"/>
          </w:tcPr>
          <w:p>
            <w:pPr>
              <w:spacing w:after="0"/>
              <w:rPr>
                <w:sz w:val="11"/>
                <w:szCs w:val="11"/>
                <w:color w:val="auto"/>
              </w:rPr>
            </w:pPr>
          </w:p>
        </w:tc>
        <w:tc>
          <w:tcPr>
            <w:tcW w:w="84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left="412"/>
              <w:spacing w:after="0" w:line="136" w:lineRule="exact"/>
              <w:rPr>
                <w:sz w:val="20"/>
                <w:szCs w:val="20"/>
                <w:color w:val="auto"/>
              </w:rPr>
            </w:pPr>
            <w:r>
              <w:rPr>
                <w:rFonts w:ascii="Times New Roman" w:cs="Times New Roman" w:eastAsia="Times New Roman" w:hAnsi="Times New Roman"/>
                <w:sz w:val="14"/>
                <w:szCs w:val="14"/>
                <w:color w:val="auto"/>
              </w:rPr>
              <w:t>16.96</w:t>
            </w:r>
          </w:p>
        </w:tc>
        <w:tc>
          <w:tcPr>
            <w:tcW w:w="30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1/23/2018</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56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40" w:type="dxa"/>
            <w:vAlign w:val="bottom"/>
          </w:tcPr>
          <w:p>
            <w:pPr>
              <w:ind w:left="6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112,500</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37,500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center"/>
              <w:ind w:left="132"/>
              <w:spacing w:after="0" w:line="149" w:lineRule="exact"/>
              <w:rPr>
                <w:sz w:val="20"/>
                <w:szCs w:val="20"/>
                <w:color w:val="auto"/>
              </w:rPr>
            </w:pPr>
            <w:r>
              <w:rPr>
                <w:rFonts w:ascii="Times New Roman" w:cs="Times New Roman" w:eastAsia="Times New Roman" w:hAnsi="Times New Roman"/>
                <w:sz w:val="14"/>
                <w:szCs w:val="14"/>
                <w:color w:val="auto"/>
                <w:w w:val="95"/>
              </w:rPr>
              <w:t>11.88</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482,063</w:t>
            </w:r>
          </w:p>
        </w:tc>
        <w:tc>
          <w:tcPr>
            <w:tcW w:w="3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Matthew Appel</w:t>
            </w:r>
          </w:p>
        </w:tc>
        <w:tc>
          <w:tcPr>
            <w:tcW w:w="10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center"/>
              <w:ind w:left="412"/>
              <w:spacing w:after="0" w:line="149" w:lineRule="exact"/>
              <w:rPr>
                <w:sz w:val="20"/>
                <w:szCs w:val="20"/>
                <w:color w:val="auto"/>
              </w:rPr>
            </w:pPr>
            <w:r>
              <w:rPr>
                <w:rFonts w:ascii="Times New Roman" w:cs="Times New Roman" w:eastAsia="Times New Roman" w:hAnsi="Times New Roman"/>
                <w:sz w:val="14"/>
                <w:szCs w:val="14"/>
                <w:color w:val="auto"/>
              </w:rPr>
              <w:t>24.10</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2/28/2017</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191,968</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Amit Shashank</w:t>
            </w:r>
          </w:p>
        </w:tc>
        <w:tc>
          <w:tcPr>
            <w:tcW w:w="104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4"/>
                <w:szCs w:val="14"/>
                <w:color w:val="auto"/>
              </w:rPr>
              <w:t>51,000</w:t>
            </w:r>
          </w:p>
        </w:tc>
        <w:tc>
          <w:tcPr>
            <w:tcW w:w="8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84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left="412"/>
              <w:spacing w:after="0" w:line="136" w:lineRule="exact"/>
              <w:rPr>
                <w:sz w:val="20"/>
                <w:szCs w:val="20"/>
                <w:color w:val="auto"/>
              </w:rPr>
            </w:pPr>
            <w:r>
              <w:rPr>
                <w:rFonts w:ascii="Times New Roman" w:cs="Times New Roman" w:eastAsia="Times New Roman" w:hAnsi="Times New Roman"/>
                <w:sz w:val="14"/>
                <w:szCs w:val="14"/>
                <w:color w:val="auto"/>
              </w:rPr>
              <w:t>10.62</w:t>
            </w:r>
          </w:p>
        </w:tc>
        <w:tc>
          <w:tcPr>
            <w:tcW w:w="30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6/6/2014</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56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40" w:type="dxa"/>
            <w:vAlign w:val="bottom"/>
          </w:tcPr>
          <w:p>
            <w:pPr>
              <w:ind w:left="6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center"/>
              <w:ind w:left="132"/>
              <w:spacing w:after="0" w:line="149" w:lineRule="exact"/>
              <w:rPr>
                <w:sz w:val="20"/>
                <w:szCs w:val="20"/>
                <w:color w:val="auto"/>
              </w:rPr>
            </w:pPr>
            <w:r>
              <w:rPr>
                <w:rFonts w:ascii="Times New Roman" w:cs="Times New Roman" w:eastAsia="Times New Roman" w:hAnsi="Times New Roman"/>
                <w:sz w:val="14"/>
                <w:szCs w:val="14"/>
                <w:color w:val="auto"/>
                <w:w w:val="95"/>
              </w:rPr>
              <w:t>11.88</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5/31/2015</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center"/>
              <w:ind w:left="132"/>
              <w:spacing w:after="0" w:line="149" w:lineRule="exact"/>
              <w:rPr>
                <w:sz w:val="20"/>
                <w:szCs w:val="20"/>
                <w:color w:val="auto"/>
              </w:rPr>
            </w:pPr>
            <w:r>
              <w:rPr>
                <w:rFonts w:ascii="Times New Roman" w:cs="Times New Roman" w:eastAsia="Times New Roman" w:hAnsi="Times New Roman"/>
                <w:sz w:val="14"/>
                <w:szCs w:val="14"/>
                <w:color w:val="auto"/>
                <w:w w:val="95"/>
              </w:rPr>
              <w:t>11.88</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4/19/2016</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2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left="412"/>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3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7"/>
              </w:rPr>
              <w:t>10/18/2016</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149,975</w:t>
            </w:r>
          </w:p>
        </w:tc>
        <w:tc>
          <w:tcPr>
            <w:tcW w:w="3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Rembert de Villa</w:t>
            </w:r>
          </w:p>
        </w:tc>
        <w:tc>
          <w:tcPr>
            <w:tcW w:w="10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center"/>
              <w:ind w:left="412"/>
              <w:spacing w:after="0" w:line="149" w:lineRule="exact"/>
              <w:rPr>
                <w:sz w:val="20"/>
                <w:szCs w:val="20"/>
                <w:color w:val="auto"/>
              </w:rPr>
            </w:pPr>
            <w:r>
              <w:rPr>
                <w:rFonts w:ascii="Times New Roman" w:cs="Times New Roman" w:eastAsia="Times New Roman" w:hAnsi="Times New Roman"/>
                <w:sz w:val="14"/>
                <w:szCs w:val="14"/>
                <w:color w:val="auto"/>
              </w:rPr>
              <w:t>23.82</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4/24/2018</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34,280</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Krishna Nacha</w:t>
            </w:r>
          </w:p>
        </w:tc>
        <w:tc>
          <w:tcPr>
            <w:tcW w:w="104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4"/>
                <w:szCs w:val="14"/>
                <w:color w:val="auto"/>
              </w:rPr>
              <w:t>6,000</w:t>
            </w:r>
          </w:p>
        </w:tc>
        <w:tc>
          <w:tcPr>
            <w:tcW w:w="8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4"/>
                <w:szCs w:val="14"/>
                <w:color w:val="auto"/>
              </w:rPr>
              <w:t>54,000</w:t>
            </w:r>
          </w:p>
        </w:tc>
        <w:tc>
          <w:tcPr>
            <w:tcW w:w="280" w:type="dxa"/>
            <w:vAlign w:val="bottom"/>
          </w:tcPr>
          <w:p>
            <w:pPr>
              <w:spacing w:after="0"/>
              <w:rPr>
                <w:sz w:val="11"/>
                <w:szCs w:val="11"/>
                <w:color w:val="auto"/>
              </w:rPr>
            </w:pPr>
          </w:p>
        </w:tc>
        <w:tc>
          <w:tcPr>
            <w:tcW w:w="84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left="412"/>
              <w:spacing w:after="0" w:line="136" w:lineRule="exact"/>
              <w:rPr>
                <w:sz w:val="20"/>
                <w:szCs w:val="20"/>
                <w:color w:val="auto"/>
              </w:rPr>
            </w:pPr>
            <w:r>
              <w:rPr>
                <w:rFonts w:ascii="Times New Roman" w:cs="Times New Roman" w:eastAsia="Times New Roman" w:hAnsi="Times New Roman"/>
                <w:sz w:val="14"/>
                <w:szCs w:val="14"/>
                <w:color w:val="auto"/>
              </w:rPr>
              <w:t>18.72</w:t>
            </w:r>
          </w:p>
        </w:tc>
        <w:tc>
          <w:tcPr>
            <w:tcW w:w="30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Times New Roman" w:cs="Times New Roman" w:eastAsia="Times New Roman" w:hAnsi="Times New Roman"/>
                <w:sz w:val="14"/>
                <w:szCs w:val="14"/>
                <w:color w:val="auto"/>
              </w:rPr>
              <w:t>8/30/2017</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56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40" w:type="dxa"/>
            <w:vAlign w:val="bottom"/>
          </w:tcPr>
          <w:p>
            <w:pPr>
              <w:ind w:left="6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19,283</w:t>
            </w:r>
          </w:p>
        </w:tc>
        <w:tc>
          <w:tcPr>
            <w:tcW w:w="3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right="160" w:hanging="332"/>
        <w:spacing w:after="0" w:line="24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Talwar’s 150,000 unvested options will vest in equal, 25% installments on each of the first four anniversaries of January 23, 2008. Mr. Kapoor’s unvested options will vest as follows: 37,500 vest on November 15, 2009 and 150,000 vest in equal, 25% installments on each of the first four anniversaries of January 23, 2008. Mr. Appel’s unvested options vest as to 20%, 30%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right="60"/>
        <w:spacing w:after="0" w:line="231" w:lineRule="auto"/>
        <w:rPr>
          <w:sz w:val="20"/>
          <w:szCs w:val="20"/>
          <w:color w:val="auto"/>
        </w:rPr>
      </w:pPr>
      <w:r>
        <w:rPr>
          <w:rFonts w:ascii="Times New Roman" w:cs="Times New Roman" w:eastAsia="Times New Roman" w:hAnsi="Times New Roman"/>
          <w:sz w:val="14"/>
          <w:szCs w:val="14"/>
          <w:color w:val="auto"/>
        </w:rPr>
        <w:t>40% of the options on February 28, 2009, 2010 and 2011, respectively. Unvested options that were granted prior to 2006 to Mr. Shashank vest 25% per year on each of the first four anniversaries of the date of grant. Unvested options that were granted during 2006 to Mr. Shashank and unvested options granted subsequent to 2006 to executives other than Messrs. Talwar and Kapoor vest as to 10%, 20%, 30% and 40% of the options on each of the first, second, third and fourth anniversaries of the date of grant, respectively. Vesting of options is subject to continued employment on each vesting date, except as provided in “—Potential Payments Upon Termination or Change in Control.”</w:t>
      </w:r>
    </w:p>
    <w:p>
      <w:pPr>
        <w:spacing w:after="0" w:line="5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Talwar’s restricted shares vest as follows: 18,750 shares on November 15, 2009; and 18,750 shares on each of January 26, 2009, 2010 and 2011. Mr. Kapoor’s restricted shares vest as to 18,750 shares</w:t>
      </w:r>
    </w:p>
    <w:p>
      <w:pPr>
        <w:spacing w:after="0" w:line="24" w:lineRule="exact"/>
        <w:rPr>
          <w:rFonts w:ascii="Times New Roman" w:cs="Times New Roman" w:eastAsia="Times New Roman" w:hAnsi="Times New Roman"/>
          <w:sz w:val="12"/>
          <w:szCs w:val="12"/>
          <w:color w:val="auto"/>
        </w:rPr>
      </w:pPr>
    </w:p>
    <w:p>
      <w:pPr>
        <w:ind w:left="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of January 26, 2009, 2010 and 2011. Mr. Appel’s restricted shares vest as follows: 3,400, 5,100 and 6,800 of the shares vest on each of February 28, 2009, 2010, and 2011, respectively and 7,100</w:t>
      </w:r>
    </w:p>
    <w:p>
      <w:pPr>
        <w:spacing w:after="0" w:line="10" w:lineRule="exact"/>
        <w:rPr>
          <w:rFonts w:ascii="Times New Roman" w:cs="Times New Roman" w:eastAsia="Times New Roman" w:hAnsi="Times New Roman"/>
          <w:sz w:val="12"/>
          <w:szCs w:val="12"/>
          <w:color w:val="auto"/>
        </w:rPr>
      </w:pPr>
    </w:p>
    <w:p>
      <w:pPr>
        <w:ind w:left="340" w:right="40"/>
        <w:spacing w:after="0" w:line="22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restricted shares vest as to 10%, 20%, 30% and 40% of the shares on each of April 24, 2009, 2010, 2011 and 2012. Mr. Shashank’s restricted shares vest as follows: 2,000, 3,000 and 4,000 of the shares vest on each of April 25, 2009, 2010, and 2011, respectively and 8,500 restricted shares vest as to 10%, 20%, 30% and 40% of the shares on each of April 24, 2009, 2010, 2011 and 2012. Mr. de Villa’s 4,000 restricted shares vest as to 10%, 20%, 30% and 40% of the shares on each of April 24, 2009, 2010, 2011 and 2012. Mr. Nacha’s 2,250 restricted shares vest as to 10%, 20%, 30% and 40% of the shares on each of April 24, 2009, 2010, 2011 and 2012. Vesting of restricted stock is subject to continued employment on each vesting date, except as provided in “—Potential Payments Upon Termination or Change in Control.”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2008</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value realized by our named executive officers on option award exercises and stock award vesting during fiscal year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4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2040" w:type="dxa"/>
            <w:vAlign w:val="bottom"/>
            <w:gridSpan w:val="2"/>
          </w:tcPr>
          <w:p>
            <w:pPr>
              <w:jc w:val="center"/>
              <w:ind w:right="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 of Shares</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 Vesting</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0" w:type="dxa"/>
            <w:vAlign w:val="bottom"/>
          </w:tcPr>
          <w:p>
            <w:pPr>
              <w:spacing w:after="0"/>
              <w:rPr>
                <w:sz w:val="1"/>
                <w:szCs w:val="1"/>
                <w:color w:val="auto"/>
              </w:rPr>
            </w:pPr>
          </w:p>
        </w:tc>
      </w:tr>
      <w:tr>
        <w:trPr>
          <w:trHeight w:val="138"/>
        </w:trPr>
        <w:tc>
          <w:tcPr>
            <w:tcW w:w="8520" w:type="dxa"/>
            <w:vAlign w:val="bottom"/>
            <w:gridSpan w:val="3"/>
            <w:vMerge w:val="continue"/>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8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Vikram Talwar</w:t>
            </w:r>
          </w:p>
        </w:tc>
        <w:tc>
          <w:tcPr>
            <w:tcW w:w="11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18,750</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126,469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8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8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Appel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Amit Shashank</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w:t>
            </w:r>
          </w:p>
        </w:tc>
        <w:tc>
          <w:tcPr>
            <w:tcW w:w="8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24,445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8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125,155</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Vikram Talwar and Rohit Kapoor</w:t>
      </w:r>
    </w:p>
    <w:p>
      <w:pPr>
        <w:spacing w:after="0" w:line="90"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Severance. </w:t>
      </w:r>
      <w:r>
        <w:rPr>
          <w:rFonts w:ascii="Times New Roman" w:cs="Times New Roman" w:eastAsia="Times New Roman" w:hAnsi="Times New Roman"/>
          <w:sz w:val="18"/>
          <w:szCs w:val="18"/>
          <w:color w:val="auto"/>
        </w:rPr>
        <w:t>If either Mr. Talwar’s or Mr. Kapoor’s employment is terminated by us without “cause” or by the executive for “good reason” (in each case,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the executive will be entitled to severance consisting of:</w:t>
      </w:r>
    </w:p>
    <w:p>
      <w:pPr>
        <w:spacing w:after="0" w:line="37"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base salary for 24 months;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life insurance coverage for 18 months. The life insurance coverage will terminate at the time the executive commences employment with another employer.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90" w:lineRule="exact"/>
        <w:rPr>
          <w:sz w:val="20"/>
          <w:szCs w:val="20"/>
          <w:color w:val="auto"/>
        </w:rPr>
      </w:pPr>
    </w:p>
    <w:p>
      <w:pPr>
        <w:ind w:left="900" w:right="8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serious injury to our reputation;</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engages in fraud, embezzlement, self-dealing, gross negligence, dishonesty or other gross and willful misconduct which causes serious and demonstrable injury to us;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materially violates any of our material policies or materially, knowingly and intentionally fails to comply with certain applicable laws;</w:t>
      </w:r>
    </w:p>
    <w:p>
      <w:pPr>
        <w:spacing w:after="0" w:line="113" w:lineRule="exact"/>
        <w:rPr>
          <w:rFonts w:ascii="Times New Roman" w:cs="Times New Roman" w:eastAsia="Times New Roman" w:hAnsi="Times New Roman"/>
          <w:sz w:val="16"/>
          <w:szCs w:val="16"/>
          <w:color w:val="auto"/>
        </w:rPr>
      </w:pPr>
    </w:p>
    <w:p>
      <w:pPr>
        <w:ind w:left="900" w:right="34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fails to substantially perform his duties for 15 days (other than for reason of physical or mental incapacity) after we notify him;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reasonably cooperate in a governmental investigation involving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fails to follow our board of directors’ lawful instructions and does not remedy the failure for 15 days after we give him written notice;</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use of alcohol or drugs materially interferes with the performance of his duties; or</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take reasonable steps to end certain affiliations specified in his employment agreement within six months after a request by our board of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or responsibilities are substantially diminished, or he is required to report to anyone other than our board of directors;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title as our officer is adversely changed, except if the change occurs after a change in control and his new title and duties are similar to his old title and duties;</w:t>
      </w:r>
    </w:p>
    <w:p>
      <w:pPr>
        <w:spacing w:after="0" w:line="38"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base salary is reduced, or his target annual bonus opportunity is reduced below 75% of his base salary, unless a Company-wide decrease in pay is implemented;</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the executive is based is moved more than 30 miles, and the new location is more than 30 miles from his primary residence in the metropolitan New York City area (other than a relocation to Delhi, India in the case of Mr. Kapoor);</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Kapoor only, if we have relocated Mr. Kapoor to the metropolitan Delhi, India area, the location where Mr. Kapoor is based in Delhi, India is moved more than 30 miles, and the new location is more than 30 miles from Mr. Kapoor’s primary residence in the Delhi, India area;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executive’s employment agreement.</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Mr. Kapoor, good reason does not include a request by the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the executive plans to terminate his employment for good reason, he must notify us within 30 days following the date the problem began and must allow us 15 days to remedy the problem.</w:t>
      </w:r>
    </w:p>
    <w:p>
      <w:pPr>
        <w:spacing w:after="0" w:line="118"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Change in Control Severance. </w:t>
      </w:r>
      <w:r>
        <w:rPr>
          <w:rFonts w:ascii="Times New Roman" w:cs="Times New Roman" w:eastAsia="Times New Roman" w:hAnsi="Times New Roman"/>
          <w:sz w:val="18"/>
          <w:szCs w:val="18"/>
          <w:color w:val="auto"/>
        </w:rPr>
        <w:t>If a termination described above occurs within 12 months following a “change in control” that satisfies the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409A of the Code, the executive will receive, in lieu of the severance described above, a lump sum payment of $999,000. If the change in control referenced in the preceding sentence does not satisfy the requirements of Section 409A of the Code, $999,000 will not be paid in a lump sum but will instead be paid ratably for 24 months.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in control” means any of the following events:</w:t>
      </w:r>
    </w:p>
    <w:p>
      <w:pPr>
        <w:spacing w:after="0" w:line="90" w:lineRule="exact"/>
        <w:rPr>
          <w:sz w:val="20"/>
          <w:szCs w:val="20"/>
          <w:color w:val="auto"/>
        </w:rPr>
      </w:pPr>
    </w:p>
    <w:p>
      <w:pPr>
        <w:ind w:left="900" w:right="60" w:hanging="325"/>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8"/>
          <w:szCs w:val="18"/>
          <w:color w:val="auto"/>
        </w:rPr>
        <w:t>convertible stock or debt, and the like are exercised. Certain acquisitions by our stockholders, Oak Hill Partners, L.P., FTVentures and their affiliates, will not trigger a change in control;</w:t>
      </w:r>
    </w:p>
    <w:p>
      <w:pPr>
        <w:spacing w:after="0" w:line="52" w:lineRule="exact"/>
        <w:rPr>
          <w:sz w:val="20"/>
          <w:szCs w:val="20"/>
          <w:color w:val="auto"/>
        </w:rPr>
      </w:pPr>
    </w:p>
    <w:p>
      <w:pPr>
        <w:ind w:left="90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of directors changes, except that the election of any new director whose election or nomination was approved by at least a majority of our incumbent directors will not be regarded as a change in the majority for these purposes;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dissolution or liquidation;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our business or our assets; or</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recapitalization, merger, consolidation or similar transaction with another entity. A transaction will not be a change in control if after the transaction:</w:t>
      </w:r>
    </w:p>
    <w:p>
      <w:pPr>
        <w:spacing w:after="0" w:line="38" w:lineRule="exact"/>
        <w:rPr>
          <w:rFonts w:ascii="Times New Roman" w:cs="Times New Roman" w:eastAsia="Times New Roman" w:hAnsi="Times New Roman"/>
          <w:sz w:val="18"/>
          <w:szCs w:val="18"/>
          <w:color w:val="auto"/>
        </w:rPr>
      </w:pPr>
    </w:p>
    <w:p>
      <w:pPr>
        <w:ind w:left="1480" w:right="360" w:hanging="446"/>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38" w:lineRule="exact"/>
        <w:rPr>
          <w:rFonts w:ascii="Times New Roman" w:cs="Times New Roman" w:eastAsia="Times New Roman" w:hAnsi="Times New Roman"/>
          <w:sz w:val="18"/>
          <w:szCs w:val="18"/>
          <w:color w:val="auto"/>
        </w:rPr>
      </w:pPr>
    </w:p>
    <w:p>
      <w:pPr>
        <w:ind w:left="1480" w:right="480" w:hanging="446"/>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38" w:lineRule="exact"/>
        <w:rPr>
          <w:rFonts w:ascii="Times New Roman" w:cs="Times New Roman" w:eastAsia="Times New Roman" w:hAnsi="Times New Roman"/>
          <w:sz w:val="18"/>
          <w:szCs w:val="18"/>
          <w:color w:val="auto"/>
        </w:rPr>
      </w:pPr>
    </w:p>
    <w:p>
      <w:pPr>
        <w:ind w:left="1480" w:right="340" w:hanging="446"/>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of the parent or surviving company following the transaction were our board members when our board first approved the transaction.</w:t>
      </w:r>
    </w:p>
    <w:p>
      <w:pPr>
        <w:spacing w:after="0" w:line="118"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Death or Disability. </w:t>
      </w:r>
      <w:r>
        <w:rPr>
          <w:rFonts w:ascii="Times New Roman" w:cs="Times New Roman" w:eastAsia="Times New Roman" w:hAnsi="Times New Roman"/>
          <w:sz w:val="18"/>
          <w:szCs w:val="18"/>
          <w:color w:val="auto"/>
        </w:rPr>
        <w:t>If either Mr. Talwar’s or Mr. Kapoor’s employment terminates on account of death or is terminated by either the executive or 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(as defined in the relevant employment agreement), the executive will be entitled to a pro-rated portion of the projected bonus amount for the year of termination.</w:t>
      </w:r>
    </w:p>
    <w:p>
      <w:pPr>
        <w:spacing w:after="0" w:line="127"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Post-Termination Health Benefits. </w:t>
      </w:r>
      <w:r>
        <w:rPr>
          <w:rFonts w:ascii="Times New Roman" w:cs="Times New Roman" w:eastAsia="Times New Roman" w:hAnsi="Times New Roman"/>
          <w:sz w:val="18"/>
          <w:szCs w:val="18"/>
          <w:color w:val="auto"/>
        </w:rPr>
        <w:t>When Mr. Talwar’s or Mr. Kapoor’s employment ends for any reason other than termination by us for cause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34"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Noncompete and Nonsolicit Provisions. </w:t>
      </w:r>
      <w:r>
        <w:rPr>
          <w:rFonts w:ascii="Times New Roman" w:cs="Times New Roman" w:eastAsia="Times New Roman" w:hAnsi="Times New Roman"/>
          <w:sz w:val="18"/>
          <w:szCs w:val="18"/>
          <w:color w:val="auto"/>
        </w:rPr>
        <w:t>Each of Messrs. Talwar and Kapoor is subject to confidentiality restrictions and noncompete, non-disparagement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33"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Award Treatment. </w:t>
      </w:r>
      <w:r>
        <w:rPr>
          <w:rFonts w:ascii="Times New Roman" w:cs="Times New Roman" w:eastAsia="Times New Roman" w:hAnsi="Times New Roman"/>
          <w:sz w:val="18"/>
          <w:szCs w:val="18"/>
          <w:color w:val="auto"/>
        </w:rPr>
        <w:t>If Mr. Talwar’s employment ends at the expiration of the term of his employment agreement because we give a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nonrenewal of the term of that agreement, or if a change in control occurs (as defined in our 2006 Plan, which definition is the same definition set forth above in “Change in Control Severance” on page 31),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36"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If Mr. Talwar’s employment is terminated by us without cause (as defined on page 30, above) in specific contemplation of or following a change in control or if Mr. Talwar resigns for good reason (as defined on page 31, above) following a change in control, his stock options and restricted stock award will become fully vested. Mr. Talwar will need to execute a standard release of employment-related claims in order for his restricted stock award to vest in such a case.</w:t>
      </w:r>
    </w:p>
    <w:p>
      <w:pPr>
        <w:spacing w:after="0" w:line="97"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If Mr. Kapoor’s employment ends at the expiration of the term of his employment agreement because we give a notice of nonrenewal of the term of that agreement or if a change in control occurs (as defined above), 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2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Mr. Kapoor’s employment is terminated by us without cause (as defined on page 30, above) in specific contemplation of or following a change in control, or if Mr. Kapoor resigns for good reason (as defined on page 31 above, as it applies to Mr. Kapoor) following a change in control, his stock options and restricted stock will become fully vested and exercisable. Mr. Kapoor will need to execute a standard release of employment-related claims in order for his stock option and restricted stock to vest in such a case.</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Vikram Talwar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Talwar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 specific</w:t>
            </w: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22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contemplation</w:t>
            </w:r>
          </w:p>
        </w:tc>
        <w:tc>
          <w:tcPr>
            <w:tcW w:w="0" w:type="dxa"/>
            <w:vAlign w:val="bottom"/>
          </w:tcPr>
          <w:p>
            <w:pPr>
              <w:spacing w:after="0"/>
              <w:rPr>
                <w:sz w:val="1"/>
                <w:szCs w:val="1"/>
                <w:color w:val="auto"/>
              </w:rPr>
            </w:pPr>
          </w:p>
        </w:tc>
      </w:tr>
      <w:tr>
        <w:trPr>
          <w:trHeight w:val="138"/>
        </w:trPr>
        <w:tc>
          <w:tcPr>
            <w:tcW w:w="3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employment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84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00" w:type="dxa"/>
            <w:vAlign w:val="bottom"/>
          </w:tcPr>
          <w:p>
            <w:pPr>
              <w:spacing w:after="0"/>
              <w:rPr>
                <w:sz w:val="12"/>
                <w:szCs w:val="12"/>
                <w:color w:val="auto"/>
              </w:rPr>
            </w:pPr>
          </w:p>
        </w:tc>
        <w:tc>
          <w:tcPr>
            <w:tcW w:w="700" w:type="dxa"/>
            <w:vAlign w:val="bottom"/>
          </w:tcPr>
          <w:p>
            <w:pPr>
              <w:jc w:val="center"/>
              <w:ind w:right="1"/>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Change in</w:t>
            </w:r>
          </w:p>
        </w:tc>
        <w:tc>
          <w:tcPr>
            <w:tcW w:w="0" w:type="dxa"/>
            <w:vAlign w:val="bottom"/>
          </w:tcPr>
          <w:p>
            <w:pPr>
              <w:spacing w:after="0"/>
              <w:rPr>
                <w:sz w:val="1"/>
                <w:szCs w:val="1"/>
                <w:color w:val="auto"/>
              </w:rPr>
            </w:pPr>
          </w:p>
        </w:tc>
      </w:tr>
      <w:tr>
        <w:trPr>
          <w:trHeight w:val="162"/>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0"/>
              </w:rPr>
              <w:t>Disability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3"/>
              </w:rPr>
              <w:t>terms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0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630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2"/>
              </w:rPr>
              <w:t>19,746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12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642,750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Rohit Kapoor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Kapoor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 specific</w:t>
            </w: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22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contemplation</w:t>
            </w:r>
          </w:p>
        </w:tc>
        <w:tc>
          <w:tcPr>
            <w:tcW w:w="0" w:type="dxa"/>
            <w:vAlign w:val="bottom"/>
          </w:tcPr>
          <w:p>
            <w:pPr>
              <w:spacing w:after="0"/>
              <w:rPr>
                <w:sz w:val="1"/>
                <w:szCs w:val="1"/>
                <w:color w:val="auto"/>
              </w:rPr>
            </w:pPr>
          </w:p>
        </w:tc>
      </w:tr>
      <w:tr>
        <w:trPr>
          <w:trHeight w:val="138"/>
        </w:trPr>
        <w:tc>
          <w:tcPr>
            <w:tcW w:w="3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employment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00" w:type="dxa"/>
            <w:vAlign w:val="bottom"/>
          </w:tcPr>
          <w:p>
            <w:pPr>
              <w:spacing w:after="0"/>
              <w:rPr>
                <w:sz w:val="12"/>
                <w:szCs w:val="12"/>
                <w:color w:val="auto"/>
              </w:rPr>
            </w:pPr>
          </w:p>
        </w:tc>
        <w:tc>
          <w:tcPr>
            <w:tcW w:w="700" w:type="dxa"/>
            <w:vAlign w:val="bottom"/>
          </w:tcPr>
          <w:p>
            <w:pPr>
              <w:jc w:val="center"/>
              <w:ind w:right="1"/>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Change in</w:t>
            </w:r>
          </w:p>
        </w:tc>
        <w:tc>
          <w:tcPr>
            <w:tcW w:w="0" w:type="dxa"/>
            <w:vAlign w:val="bottom"/>
          </w:tcPr>
          <w:p>
            <w:pPr>
              <w:spacing w:after="0"/>
              <w:rPr>
                <w:sz w:val="1"/>
                <w:szCs w:val="1"/>
                <w:color w:val="auto"/>
              </w:rPr>
            </w:pPr>
          </w:p>
        </w:tc>
      </w:tr>
      <w:tr>
        <w:trPr>
          <w:trHeight w:val="162"/>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0"/>
              </w:rPr>
              <w:t>Disability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terms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0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630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2"/>
              </w:rPr>
              <w:t>19,746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12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482,063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Matthew Appel</w:t>
      </w:r>
    </w:p>
    <w:p>
      <w:pPr>
        <w:spacing w:after="0" w:line="92"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6"/>
          <w:szCs w:val="16"/>
          <w:color w:val="auto"/>
        </w:rPr>
        <w:t>If Mr. Appel’s employment with us is terminated without cause or he resigns for good reason (as described below), Mr. Appel will be entitled to severance equal to one times to his annual base salary then in effect. On a change in control (as defined using the same definition set forth above for Mr. Talwar and</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Kapoor), the vesting of all of Mr. Appel’s outstanding equity awards will be advanced by one year. For example, since Mr. Appel’s awards vest as to 10%, 20%, 30% and 40% of the award on each of the first four anniversaries of the date of grant, then if he were 10% vested in the award immediately prior to the change in control, Mr. Appel will be 30% vested in the award immediately after the change in control. In addition, if (i) Mr. Appel’s employment is terminated without cause at any time after a change of control or in specific contemplation of a change of control or (ii) Mr. Appel resigns with good reason (as defined below) at any time following a change in control, Mr. Appel will also be entitled to immediate vesting of any unvested options to purchase common stock and any unvested shares of restricted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90" w:lineRule="exact"/>
        <w:rPr>
          <w:sz w:val="20"/>
          <w:szCs w:val="20"/>
          <w:color w:val="auto"/>
        </w:rPr>
      </w:pPr>
    </w:p>
    <w:p>
      <w:pPr>
        <w:ind w:left="900" w:right="8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serious injury to our reputation;</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engages in fraud, embezzlement, self-dealing, gross negligence, dishonesty or other gross and willful misconduct which causes serious and demonstrable injury to us;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materially violates any of our material policies or materially, knowingly and intentionally fails to comply with certain applicable laws;</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willfully fails to substantially perform his duties for 15 days (other than for reason of physical or mental incapacity) after we notify him in writing of his need to substantially improve his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fails to reasonably cooperate in a governmental investigation involving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fails to follow his supervisor’s lawful instructions and does not remedy the failure for 15 days after we give him written notice;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Appel’s use of alcohol or drugs materially interferes with the performance of his duties.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90" w:lineRule="exact"/>
        <w:rPr>
          <w:sz w:val="20"/>
          <w:szCs w:val="20"/>
          <w:color w:val="auto"/>
        </w:rPr>
      </w:pPr>
    </w:p>
    <w:p>
      <w:pPr>
        <w:ind w:left="900" w:right="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Appel’s duties or responsibilities are substantially reduced, or he is required to report to anyone other than our board of directors, chief executive officer or president;</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title as our officer is adversely changed, except if the change occurs after a change in control and his new title and duties are similar to his old title and duties;</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or annual cash bonus opportunity is reduced, other than a proportionate reduction affecting all members of the Company’s Executive Committee;</w:t>
      </w:r>
    </w:p>
    <w:p>
      <w:pPr>
        <w:spacing w:after="0" w:line="38"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he is based is moved more than 30 miles following a change in control, and the new location is more than 30 miles from his primary residence;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employment agreement.</w:t>
      </w:r>
    </w:p>
    <w:p>
      <w:pPr>
        <w:spacing w:after="0" w:line="17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If Mr. Appel plans to terminate his employment for good reason (other than after relocation more than 30 miles following a change in control), he must notify us within 30 days of the date the problem began and must allow us 15 days to remedy the problem.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Matthew Appel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Appel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specific</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contemplation</w:t>
            </w:r>
          </w:p>
        </w:tc>
        <w:tc>
          <w:tcPr>
            <w:tcW w:w="0" w:type="dxa"/>
            <w:vAlign w:val="bottom"/>
          </w:tcPr>
          <w:p>
            <w:pPr>
              <w:spacing w:after="0"/>
              <w:rPr>
                <w:sz w:val="1"/>
                <w:szCs w:val="1"/>
                <w:color w:val="auto"/>
              </w:rPr>
            </w:pPr>
          </w:p>
        </w:tc>
      </w:tr>
      <w:tr>
        <w:trPr>
          <w:trHeight w:val="138"/>
        </w:trPr>
        <w:tc>
          <w:tcPr>
            <w:tcW w:w="41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22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00" w:type="dxa"/>
            <w:vAlign w:val="bottom"/>
          </w:tcPr>
          <w:p>
            <w:pPr>
              <w:spacing w:after="0"/>
              <w:rPr>
                <w:sz w:val="12"/>
                <w:szCs w:val="12"/>
                <w:color w:val="auto"/>
              </w:rPr>
            </w:pPr>
          </w:p>
        </w:tc>
        <w:tc>
          <w:tcPr>
            <w:tcW w:w="720" w:type="dxa"/>
            <w:vAlign w:val="bottom"/>
          </w:tcPr>
          <w:p>
            <w:pPr>
              <w:jc w:val="center"/>
              <w:ind w:right="21"/>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2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cause</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$ 35,223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Amit Shashank</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Either Mr. Shashank or we may terminate Mr. Shashank’s employment at any time. If we terminate Mr. Shashank’s employment without cause (as described below), we will be required to pay Mr. Shashank (i) a one-time lump sum severance payment, payable within three business days of termination, equal to three months’ of his then-current base salary, and (ii) beginning on the third month anniversary of his termination, payment of his then-current base salary for nine months through our regular payroll practices. Beginning three months after his termination, Mr. Shashank is required to actively seek comparable employment and upon subsequent employment, we will reduce the additional salary payments during the nine-month period by any base salary Mr. Shashank receives during such period from another employer.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90" w:lineRule="exact"/>
        <w:rPr>
          <w:sz w:val="20"/>
          <w:szCs w:val="20"/>
          <w:color w:val="auto"/>
        </w:rPr>
      </w:pPr>
    </w:p>
    <w:p>
      <w:pPr>
        <w:ind w:left="900" w:right="8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serious injury to our reputation;</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engages in fraud, embezzlement, self-dealing, gross negligence, dishonesty or other gross and willful misconduct which causes serious and demonstrable injury to us;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Shashank materially violates any of our material policies or materially, knowingly and intentionally fails to comply with certain applicable laws;</w:t>
      </w:r>
    </w:p>
    <w:p>
      <w:pPr>
        <w:spacing w:after="0" w:line="113" w:lineRule="exact"/>
        <w:rPr>
          <w:rFonts w:ascii="Times New Roman" w:cs="Times New Roman" w:eastAsia="Times New Roman" w:hAnsi="Times New Roman"/>
          <w:sz w:val="16"/>
          <w:szCs w:val="16"/>
          <w:color w:val="auto"/>
        </w:rPr>
      </w:pPr>
    </w:p>
    <w:p>
      <w:pPr>
        <w:ind w:left="900" w:right="30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willfully fails to substantially perform his duties for 15 days (other than for reason of physical or mental incapacity) after we notify him in writing of his need to substantially improve his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fails to reasonably cooperate in a governmental investigation involving us;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fails to follow our board of director’s lawful instructions and does not remedy the failure for 15 days after we give him written notice;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Shashank’s use of alcohol or drugs materially interferes with the performance of his duties.</w:t>
      </w:r>
    </w:p>
    <w:p>
      <w:pPr>
        <w:spacing w:after="0" w:line="17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dependents become covered under another employer’s health or dental coverage.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On a change in control (as defined in the 2006 Plan, which is summarized under the heading “Change in Control Severance” on page 31),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option awards will become fully vested if, following or in specific contemplation of a change in control, he is terminated without cause or if, following a change in control, he voluntarily terminates his employment for good reason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90" w:lineRule="exact"/>
        <w:rPr>
          <w:sz w:val="20"/>
          <w:szCs w:val="20"/>
          <w:color w:val="auto"/>
        </w:rPr>
      </w:pPr>
    </w:p>
    <w:p>
      <w:pPr>
        <w:ind w:left="900" w:right="30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Shashank’s duties or responsibilities are substantially diminished, or he is required to report to anyone other than our board of directors, chief executive officer or president;</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title as our officer is adversely changed, except if the change occurs after a change in control and his new title and duties are similar to his old title and duties;</w:t>
      </w:r>
    </w:p>
    <w:p>
      <w:pPr>
        <w:spacing w:after="0" w:line="38"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he is based is moved more than 30 miles following a change in control, and the new location is more than 30 miles from his primary residence;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employment agreement following a change of control.</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If Mr. Shashank plans to terminate his employment for good reason, he must notify us within 30 days of the date the problem began and must allow us 15 days to remedy the problem.</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Amit Shashank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Shashank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10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specific</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contemplation</w:t>
            </w:r>
          </w:p>
        </w:tc>
        <w:tc>
          <w:tcPr>
            <w:tcW w:w="0" w:type="dxa"/>
            <w:vAlign w:val="bottom"/>
          </w:tcPr>
          <w:p>
            <w:pPr>
              <w:spacing w:after="0"/>
              <w:rPr>
                <w:sz w:val="1"/>
                <w:szCs w:val="1"/>
                <w:color w:val="auto"/>
              </w:rPr>
            </w:pPr>
          </w:p>
        </w:tc>
      </w:tr>
      <w:tr>
        <w:trPr>
          <w:trHeight w:val="138"/>
        </w:trPr>
        <w:tc>
          <w:tcPr>
            <w:tcW w:w="41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22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00" w:type="dxa"/>
            <w:vAlign w:val="bottom"/>
          </w:tcPr>
          <w:p>
            <w:pPr>
              <w:spacing w:after="0"/>
              <w:rPr>
                <w:sz w:val="12"/>
                <w:szCs w:val="12"/>
                <w:color w:val="auto"/>
              </w:rPr>
            </w:pPr>
          </w:p>
        </w:tc>
        <w:tc>
          <w:tcPr>
            <w:tcW w:w="720" w:type="dxa"/>
            <w:vAlign w:val="bottom"/>
          </w:tcPr>
          <w:p>
            <w:pPr>
              <w:jc w:val="center"/>
              <w:ind w:right="21"/>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2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cause</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$ 24,425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Krishna Nacha</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Either Mr. Nacha or we may terminate Mr. Nacha’s employment at any time, subject to a four week notice period (or payment in lieu thereof). On a change in control (as defined in the 2006 Plan, which is summarized under the heading “Change in Control Severance” on page 31), the vesting of all of Mr. Nacha’s outstanding equity awards will be advanced by one year.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Krishna Nacha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Nacha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Termination</w:t>
            </w:r>
          </w:p>
        </w:tc>
        <w:tc>
          <w:tcPr>
            <w:tcW w:w="3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 specific</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contemplation</w:t>
            </w:r>
          </w:p>
        </w:tc>
        <w:tc>
          <w:tcPr>
            <w:tcW w:w="0" w:type="dxa"/>
            <w:vAlign w:val="bottom"/>
          </w:tcPr>
          <w:p>
            <w:pPr>
              <w:spacing w:after="0"/>
              <w:rPr>
                <w:sz w:val="1"/>
                <w:szCs w:val="1"/>
                <w:color w:val="auto"/>
              </w:rPr>
            </w:pPr>
          </w:p>
        </w:tc>
      </w:tr>
      <w:tr>
        <w:trPr>
          <w:trHeight w:val="138"/>
        </w:trPr>
        <w:tc>
          <w:tcPr>
            <w:tcW w:w="40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employment</w:t>
            </w:r>
          </w:p>
        </w:tc>
        <w:tc>
          <w:tcPr>
            <w:tcW w:w="30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3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3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3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Change in</w:t>
            </w:r>
          </w:p>
        </w:tc>
        <w:tc>
          <w:tcPr>
            <w:tcW w:w="0" w:type="dxa"/>
            <w:vAlign w:val="bottom"/>
          </w:tcPr>
          <w:p>
            <w:pPr>
              <w:spacing w:after="0"/>
              <w:rPr>
                <w:sz w:val="1"/>
                <w:szCs w:val="1"/>
                <w:color w:val="auto"/>
              </w:rPr>
            </w:pPr>
          </w:p>
        </w:tc>
      </w:tr>
      <w:tr>
        <w:trPr>
          <w:trHeight w:val="162"/>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Death</w:t>
            </w:r>
          </w:p>
        </w:tc>
        <w:tc>
          <w:tcPr>
            <w:tcW w:w="3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Disability</w:t>
            </w: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terms</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cause</w:t>
            </w: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$ 1,928</w:t>
            </w:r>
          </w:p>
        </w:tc>
        <w:tc>
          <w:tcPr>
            <w:tcW w:w="10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  19,283</w:t>
            </w:r>
          </w:p>
        </w:tc>
        <w:tc>
          <w:tcPr>
            <w:tcW w:w="104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rPr>
              <w:t>$  19,283</w:t>
            </w:r>
          </w:p>
        </w:tc>
        <w:tc>
          <w:tcPr>
            <w:tcW w:w="11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   19,283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Rembert de Villa</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Either Mr. de Villa or we may terminate Mr. de Villa’s employment at any time. If we terminate Mr. de Villa’s employment without cause (as described below), we will be required to pay Mr. de Villa his then-current base salary for three months following his termination through our regular payroll practices. On a change in control (as defined in the 2006 Plan, which is summarized under the heading “Change in Control Severance” on page 31), the vesting of all of Mr. de Villa’s outstanding equity awards will be advanced by one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90" w:lineRule="exact"/>
        <w:rPr>
          <w:sz w:val="20"/>
          <w:szCs w:val="20"/>
          <w:color w:val="auto"/>
        </w:rPr>
      </w:pPr>
    </w:p>
    <w:p>
      <w:pPr>
        <w:ind w:left="900" w:right="8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serious injury to our reputation;</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 Villa engages in fraud, embezzlement, self-dealing, gross negligence, dishonesty or other gross and willful misconduct which causes serious and demonstrable injury to us;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de Villa materially violates any of our material policies or materially, knowingly and intentionally fails to comply with certain applicable laws;</w:t>
      </w:r>
    </w:p>
    <w:p>
      <w:pPr>
        <w:spacing w:after="0" w:line="113" w:lineRule="exact"/>
        <w:rPr>
          <w:rFonts w:ascii="Times New Roman" w:cs="Times New Roman" w:eastAsia="Times New Roman" w:hAnsi="Times New Roman"/>
          <w:sz w:val="16"/>
          <w:szCs w:val="16"/>
          <w:color w:val="auto"/>
        </w:rPr>
      </w:pPr>
    </w:p>
    <w:p>
      <w:pPr>
        <w:ind w:left="900" w:right="1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 Villa willfully fails to perform his duties for 15 days (other than for reason of physical or mental incapacity) after we notify him in writing of his need to substantially improve his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 Villa fails to reasonably cooperate in a governmental investigation involving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de Villa fails to follow our board of director’s lawful instructions and does not remedy the failure for 15 days after we give him written notice; or</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 Villa’s use of alcohol or drugs materially interferes with the performance of his duties.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Rembert de Villa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de Villa upon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32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3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3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 specific</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32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3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contemplation</w:t>
            </w:r>
          </w:p>
        </w:tc>
        <w:tc>
          <w:tcPr>
            <w:tcW w:w="0" w:type="dxa"/>
            <w:vAlign w:val="bottom"/>
          </w:tcPr>
          <w:p>
            <w:pPr>
              <w:spacing w:after="0"/>
              <w:rPr>
                <w:sz w:val="1"/>
                <w:szCs w:val="1"/>
                <w:color w:val="auto"/>
              </w:rPr>
            </w:pPr>
          </w:p>
        </w:tc>
      </w:tr>
      <w:tr>
        <w:trPr>
          <w:trHeight w:val="138"/>
        </w:trPr>
        <w:tc>
          <w:tcPr>
            <w:tcW w:w="40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employment</w:t>
            </w:r>
          </w:p>
        </w:tc>
        <w:tc>
          <w:tcPr>
            <w:tcW w:w="3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without</w:t>
            </w:r>
          </w:p>
        </w:tc>
        <w:tc>
          <w:tcPr>
            <w:tcW w:w="320" w:type="dxa"/>
            <w:vAlign w:val="bottom"/>
          </w:tcPr>
          <w:p>
            <w:pPr>
              <w:spacing w:after="0"/>
              <w:rPr>
                <w:sz w:val="12"/>
                <w:szCs w:val="12"/>
                <w:color w:val="auto"/>
              </w:rPr>
            </w:pPr>
          </w:p>
        </w:tc>
        <w:tc>
          <w:tcPr>
            <w:tcW w:w="6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16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320" w:type="dxa"/>
            <w:vAlign w:val="bottom"/>
          </w:tcPr>
          <w:p>
            <w:pPr>
              <w:spacing w:after="0"/>
              <w:rPr>
                <w:sz w:val="12"/>
                <w:szCs w:val="12"/>
                <w:color w:val="auto"/>
              </w:rPr>
            </w:pPr>
          </w:p>
        </w:tc>
        <w:tc>
          <w:tcPr>
            <w:tcW w:w="88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Change in</w:t>
            </w:r>
          </w:p>
        </w:tc>
        <w:tc>
          <w:tcPr>
            <w:tcW w:w="0" w:type="dxa"/>
            <w:vAlign w:val="bottom"/>
          </w:tcPr>
          <w:p>
            <w:pPr>
              <w:spacing w:after="0"/>
              <w:rPr>
                <w:sz w:val="1"/>
                <w:szCs w:val="1"/>
                <w:color w:val="auto"/>
              </w:rPr>
            </w:pPr>
          </w:p>
        </w:tc>
      </w:tr>
      <w:tr>
        <w:trPr>
          <w:trHeight w:val="162"/>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3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Disability</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terms</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cause</w:t>
            </w:r>
          </w:p>
        </w:tc>
        <w:tc>
          <w:tcPr>
            <w:tcW w:w="3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3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6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  87,500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Life insurance</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coverage</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(unvested and accelerated)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(unvested and accelerated)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rPr>
              <w:t>$3,428</w:t>
            </w:r>
          </w:p>
        </w:tc>
        <w:tc>
          <w:tcPr>
            <w:tcW w:w="8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  34,280</w:t>
            </w:r>
          </w:p>
        </w:tc>
        <w:tc>
          <w:tcPr>
            <w:tcW w:w="120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rPr>
              <w:t>$  34,280</w:t>
            </w:r>
          </w:p>
        </w:tc>
        <w:tc>
          <w:tcPr>
            <w:tcW w:w="102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color w:val="auto"/>
              </w:rPr>
              <w:t>$   34,280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2008</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for compensation earned in fiscal year 2008 by our non-executive directors: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Fees Earned</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Pension Value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Paid in</w:t>
            </w: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 Deferred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Cash</w:t>
            </w: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4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3860" w:type="dxa"/>
            <w:vAlign w:val="bottom"/>
            <w:gridSpan w:val="3"/>
            <w:vMerge w:val="continue"/>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3"/>
              </w:rPr>
              <w:t>($)(1)(3)</w:t>
            </w:r>
          </w:p>
        </w:tc>
        <w:tc>
          <w:tcPr>
            <w:tcW w:w="440" w:type="dxa"/>
            <w:vAlign w:val="bottom"/>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($)(2)(3)</w:t>
            </w:r>
          </w:p>
        </w:tc>
        <w:tc>
          <w:tcPr>
            <w:tcW w:w="46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280" w:type="dxa"/>
            <w:vAlign w:val="bottom"/>
            <w:gridSpan w:val="2"/>
          </w:tcPr>
          <w:p>
            <w:pPr>
              <w:jc w:val="center"/>
              <w:ind w:left="37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gridSpan w:val="2"/>
          </w:tcPr>
          <w:p>
            <w:pPr>
              <w:jc w:val="right"/>
              <w:ind w:right="15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34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4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38,500</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2"/>
              </w:rPr>
              <w:t>78,504</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20,306</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Mohanbir Sawhney</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32,500</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2"/>
              </w:rPr>
              <w:t>94,180</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22,243</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41,500</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2"/>
              </w:rPr>
              <w:t>65,479</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37,117</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2"/>
              </w:rPr>
              <w:t>90,985</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Dardani</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2"/>
              </w:rPr>
              <w:t>90,985</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Karnik(4)</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7,333</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6,675</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39,667</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2,063</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101,019</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(c) reflect the dollar amount of awards recognized for financial statement reporting purposes for the fiscal year ended December 31, 2008, in accordance with FAS 123(R). Assumptions used in the calculation of these amounts are included in footnote 11 to our audited financial statements for the fiscal year ended December 31, 2008 included in our Annual Report on Form 10-K filed with the Securities and Exchange Commission on March 16, 2009. As of December 31, 2008, Messrs. Staglin, Sawhney, Kelso, Gruber and Dardani each held 12,000 restricted stock units, of which 4,000 of those held by each such director were unvested and Mr. Ostler held 4,000 restricted stock units, all of which are unvested.</w:t>
      </w:r>
    </w:p>
    <w:p>
      <w:pPr>
        <w:spacing w:after="0" w:line="44" w:lineRule="exact"/>
        <w:rPr>
          <w:rFonts w:ascii="Times New Roman" w:cs="Times New Roman" w:eastAsia="Times New Roman" w:hAnsi="Times New Roman"/>
          <w:sz w:val="18"/>
          <w:szCs w:val="18"/>
          <w:color w:val="auto"/>
        </w:rPr>
      </w:pPr>
    </w:p>
    <w:p>
      <w:pPr>
        <w:ind w:left="460" w:right="420" w:hanging="452"/>
        <w:spacing w:after="0" w:line="25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(d) reflect the dollar amount of awards recognized for financial statement reporting purposes for the fiscal year ended December 31, 2008, in accordance with FAS 123(R). Assumptions used in the calculation of this amount are included in footnote 11 to our audited financial statements for the fiscal year ended December 31, 2008 included in our Annual Report on Form 10-K filed with the Securities and Exchange Commission on March 16, 2009. As of December 31, 2008, each of Messrs. Staglin, Sawhney, Kelso, Ostler and Karnik held 30,000 stock options, of which the following number were vested: 15,000, 22,500, 22,500, 7,500 and 0, respectively.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equity awards granted in 2008, determined in accordance with FAS 123(R), is set forth in the table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Grant Date Fair Value</w:t>
            </w:r>
          </w:p>
        </w:tc>
        <w:tc>
          <w:tcPr>
            <w:tcW w:w="140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Grant Date Fair Value of</w:t>
            </w:r>
          </w:p>
        </w:tc>
        <w:tc>
          <w:tcPr>
            <w:tcW w:w="0" w:type="dxa"/>
            <w:vAlign w:val="bottom"/>
          </w:tcPr>
          <w:p>
            <w:pPr>
              <w:spacing w:after="0"/>
              <w:rPr>
                <w:sz w:val="1"/>
                <w:szCs w:val="1"/>
                <w:color w:val="auto"/>
              </w:rPr>
            </w:pPr>
          </w:p>
        </w:tc>
      </w:tr>
      <w:tr>
        <w:trPr>
          <w:trHeight w:val="165"/>
        </w:trPr>
        <w:tc>
          <w:tcPr>
            <w:tcW w:w="6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Stock Awards ($)</w:t>
            </w:r>
          </w:p>
        </w:tc>
        <w:tc>
          <w:tcPr>
            <w:tcW w:w="140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80,920</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Mohanbir Sawhney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1400" w:type="dxa"/>
            <w:vAlign w:val="bottom"/>
          </w:tcPr>
          <w:p>
            <w:pPr>
              <w:spacing w:after="0"/>
              <w:rPr>
                <w:sz w:val="18"/>
                <w:szCs w:val="18"/>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57,740</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400" w:type="dxa"/>
            <w:vAlign w:val="bottom"/>
          </w:tcPr>
          <w:p>
            <w:pPr>
              <w:spacing w:after="0"/>
              <w:rPr>
                <w:sz w:val="18"/>
                <w:szCs w:val="18"/>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Dardani</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Karnik(4)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Karnik joined our board of directors on September 25, 2008.</w:t>
      </w:r>
    </w:p>
    <w:p>
      <w:pPr>
        <w:spacing w:after="0" w:line="171"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From calendar year 2008 onward, each member of our board of directors other than Messrs. Talwar, Kapoor and Karnik received a grant on the anniversary of his board service date of restricted stock units representing 4,000 shares of our common stock. The grants provide that the restricted stock units will vest on the earlier of:</w:t>
      </w:r>
    </w:p>
    <w:p>
      <w:pPr>
        <w:spacing w:after="0" w:line="51"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date of grant;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reporting person’s term on our board of directors;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as defined in the 2006 Plan.</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Holders of restricted stock units do not receive the underlying share of common stock until the units have vested and are settled. The restricted stock units issued to each of our directors other than Messrs. Talwar and Kapoor will settle on the earlier of:</w:t>
      </w:r>
    </w:p>
    <w:p>
      <w:pPr>
        <w:spacing w:after="0" w:line="39"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directors death;</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as defined in the 2006 Plan that satisfies the requirements of Section 409A of the Code;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following the end of such director’s term on our board of directors.</w:t>
      </w:r>
    </w:p>
    <w:p>
      <w:pPr>
        <w:spacing w:after="0" w:line="17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On September 25, 2008, Mr. Karnik was granted an option to purchase 30,000 shares of our common stock, which vests 25% on each of the first four anniversaries of the date of grant.</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Compensation Actions for 2008</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2008, each member of the board of directors may elect to receive all or a portion of his or her annual fees earned for service on the board of directors during a subsequent calendar year, whether as part of the annual retainer or committee chairperson fee or otherwise, that would otherwise be payable in cash, in the form of a grant of stock options under the 2006 Plan.</w:t>
      </w:r>
    </w:p>
    <w:p>
      <w:pPr>
        <w:spacing w:after="0" w:line="132"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Directors who elect to receive any portion of their cash director fees in the form of stock options will receive a stock option grant effective as of the first business day of the following year. Each stock option grant (i) will have a per share exercise price equal to the fair market value of a share of company common stock on the date of grant (under the 2006 Plan, this is currently determined as the average of the high and low prices on the trading day prior to the date of grant),</w:t>
      </w:r>
    </w:p>
    <w:p>
      <w:pPr>
        <w:spacing w:after="0" w:line="1" w:lineRule="exact"/>
        <w:rPr>
          <w:sz w:val="20"/>
          <w:szCs w:val="20"/>
          <w:color w:val="auto"/>
        </w:rPr>
      </w:pPr>
    </w:p>
    <w:p>
      <w:pPr>
        <w:jc w:val="both"/>
        <w:ind w:firstLine="8"/>
        <w:spacing w:after="0" w:line="254" w:lineRule="auto"/>
        <w:tabs>
          <w:tab w:leader="none" w:pos="2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vest and become exercisable on December 31 of the year in which the option is granted, subject to the individual remaining as a member of the board on such date, and (iii) otherwise will be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defer.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3"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Unless otherwise indicated, the table below sets forth, as of February 27, 2009, information with respect to the beneficial ownership of our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8"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each of our named executive officers;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our common stock;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The amounts and percentages of common stock beneficially owned as of February 27, 2009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27, 2009. Under these rules, more than one person may be deemed to be a beneficial owner of the same securities.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23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906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Percentage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Partnerships(3)</w:t>
            </w:r>
          </w:p>
        </w:tc>
        <w:tc>
          <w:tcPr>
            <w:tcW w:w="6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10,542,504</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Inc.(4)</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3,061,440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LLC(5)</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1,955,234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Talwar(6)</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1,873,963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Kapoor(7)</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2,126,238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Shashank(8)</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90,134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Appel(9)</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33,892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Bagai(10)</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86,710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Nacha(11)</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Amitabh Hajela(12)</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Villa(13)</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1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Karnik</w:t>
            </w: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Kelso(14)</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Ostler(15)</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Mohanbir Sawhney(16)</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22,500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Garen K. Staglin(17)</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42,500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(15 persons)(18)</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4,319,062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580" w:hanging="572"/>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beneficial owner is c/o ExlService Holdings, Inc., 350 Park Avenue, New York, New York 10022.</w:t>
      </w:r>
    </w:p>
    <w:p>
      <w:pPr>
        <w:spacing w:after="0" w:line="99"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28,854,565 shares outstanding as of February 27, 2009.</w:t>
      </w:r>
    </w:p>
    <w:p>
      <w:pPr>
        <w:spacing w:after="0" w:line="76" w:lineRule="exact"/>
        <w:rPr>
          <w:rFonts w:ascii="Times New Roman" w:cs="Times New Roman" w:eastAsia="Times New Roman" w:hAnsi="Times New Roman"/>
          <w:sz w:val="18"/>
          <w:szCs w:val="18"/>
          <w:color w:val="auto"/>
        </w:rPr>
      </w:pPr>
    </w:p>
    <w:p>
      <w:pPr>
        <w:ind w:left="580" w:right="180" w:hanging="572"/>
        <w:spacing w:after="0" w:line="275" w:lineRule="auto"/>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Oak Hill Partnerships is 201 Main Street, Suite 2415, Fort Worth, TX 76102. Includes an aggregate of 10,278,942 shares of our common stock held by Oak Hill Capital Partners, L.P.</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right="20"/>
        <w:spacing w:after="0" w:line="255" w:lineRule="auto"/>
        <w:rPr>
          <w:sz w:val="20"/>
          <w:szCs w:val="20"/>
          <w:color w:val="auto"/>
        </w:rPr>
      </w:pPr>
      <w:r>
        <w:rPr>
          <w:rFonts w:ascii="Times New Roman" w:cs="Times New Roman" w:eastAsia="Times New Roman" w:hAnsi="Times New Roman"/>
          <w:sz w:val="18"/>
          <w:szCs w:val="18"/>
          <w:color w:val="auto"/>
        </w:rPr>
        <w:t>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w:t>
      </w:r>
    </w:p>
    <w:p>
      <w:pPr>
        <w:spacing w:after="0" w:line="58" w:lineRule="exact"/>
        <w:rPr>
          <w:sz w:val="20"/>
          <w:szCs w:val="20"/>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on February 10, 2009. The business address of Blackrock, Inc. is 40 East 52nd Street, New York, NY 10022.</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on February 17, 2009. The business address of FMR, LLC is 82 Devonshire Street, Boston, MA 02109.</w:t>
      </w:r>
    </w:p>
    <w:p>
      <w:pPr>
        <w:spacing w:after="0" w:line="76" w:lineRule="exact"/>
        <w:rPr>
          <w:rFonts w:ascii="Times New Roman" w:cs="Times New Roman" w:eastAsia="Times New Roman" w:hAnsi="Times New Roman"/>
          <w:sz w:val="18"/>
          <w:szCs w:val="18"/>
          <w:color w:val="auto"/>
        </w:rPr>
      </w:pPr>
    </w:p>
    <w:p>
      <w:pPr>
        <w:ind w:left="580" w:right="120" w:hanging="572"/>
        <w:spacing w:after="0" w:line="283"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84,000 shares of our common stock owned indirectly by Mr. Talwar through a spousal lifetime access trust. Mr. Talwar’s spouse and Mr. Kapoor are the trustees of this trust and share dispositive and voting control over the shares in the trust. Mr. Kapoor disclaims beneficial ownership of these shares. This amount also includes an aggregate of 668,306 shares of our common stock indirectly owned by Mr. Talwar through four separate three year grantor retained annuity trusts. Mr. Talwar is the sole trustee of each of these trusts. This amount also includes 956,657 shares of our common stock owned indirectly by Mr. Talwar through a trust. Mr. Talwar and his spouse are the trustees of this trust and share dispositive and voting control over the shares in the trust. This amount also includes 84,000 shares of our common stock owned indirectly by Mr. Talwar through a spousal lifetime access trust for Mr. Talwar’s spouse. Mr. Talwar and Mr. Kapoor are the trustees of this trust and share dispositive and voting control over the shares in the trust. Mr. Kapoor disclaims beneficial ownership of these shares. This amount includes 37,500 shares of our common stock of which</w:t>
      </w:r>
    </w:p>
    <w:p>
      <w:pPr>
        <w:spacing w:after="0" w:line="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Talwar has the right to acquire beneficial ownership within 60 days.</w:t>
      </w:r>
    </w:p>
    <w:p>
      <w:pPr>
        <w:spacing w:after="0" w:line="64" w:lineRule="exact"/>
        <w:rPr>
          <w:rFonts w:ascii="Times New Roman" w:cs="Times New Roman" w:eastAsia="Times New Roman" w:hAnsi="Times New Roman"/>
          <w:sz w:val="16"/>
          <w:szCs w:val="16"/>
          <w:color w:val="auto"/>
        </w:rPr>
      </w:pPr>
    </w:p>
    <w:p>
      <w:pPr>
        <w:ind w:left="580" w:hanging="572"/>
        <w:spacing w:after="0" w:line="285" w:lineRule="auto"/>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379,988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Times New Roman" w:cs="Times New Roman" w:eastAsia="Times New Roman" w:hAnsi="Times New Roman"/>
          <w:sz w:val="16"/>
          <w:szCs w:val="16"/>
          <w:color w:val="auto"/>
        </w:rPr>
      </w:pPr>
    </w:p>
    <w:p>
      <w:pPr>
        <w:jc w:val="both"/>
        <w:ind w:left="580" w:right="160"/>
        <w:spacing w:after="0" w:line="31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Kapoor’s spouse. Mr. Kapoor and Mr. Kapoor’s sister-in-law are the trustees of this trust and share dispositive and voting control over the shares in the trust. This amount includes 150,000 shares of our common stock of which Mr. Kapoor has the right to acquire beneficial ownership within 60 days.</w:t>
      </w:r>
    </w:p>
    <w:p>
      <w:pPr>
        <w:spacing w:after="0" w:line="1"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74,850 shares of our common stock of which Mr. Shashank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30,710 shares of our common stock of which Mr. Appel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23,000 shares of our common stock of which Mr. Bagai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6,225 shares of our common stock of which Mr. Nacha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5,000 shares of our common stock of which Mr. Hajela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4,400 shares of our common stock of which Mr. de Villa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15,000 shares of our common stock of which Mr. Kelso has the right to acquire beneficial ownership within 60 days.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7,500 shares of our common stock of which Mr. Ostler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22,500 shares of our common stock of which Mr. Sawhney has the right to acquire beneficial ownership within 60 days.</w:t>
      </w:r>
    </w:p>
    <w:p>
      <w:pPr>
        <w:spacing w:after="0" w:line="99"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22,500 shares of our common stock of which Mr. Staglin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line="275"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an aggregate of 374,000 shares of our common stock of which our directors and executive officers have the right to acquire beneficial ownership within 60 days.</w:t>
      </w:r>
    </w:p>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00"/>
          </w:cols>
          <w:pgMar w:left="240" w:top="455" w:right="8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820" w:firstLine="2824"/>
        <w:spacing w:after="0" w:line="392" w:lineRule="auto"/>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Review and Approval of Related Party Transactions</w:t>
      </w:r>
    </w:p>
    <w:p>
      <w:pPr>
        <w:spacing w:after="0" w:line="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our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in the year ended December 31, 2008 for fees and expense reimbursements from Duane Reade Holdings, Inc. At December 31, 2008 we had an account receivable of $88,790 related to these services.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3"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of the board of directors of ExlService Holdings, Inc. oversees and assists our board of directors in fulfilling its oversight responsibilities with respect to:</w:t>
      </w:r>
    </w:p>
    <w:p>
      <w:pPr>
        <w:spacing w:after="0" w:line="39" w:lineRule="exact"/>
        <w:rPr>
          <w:sz w:val="20"/>
          <w:szCs w:val="20"/>
          <w:color w:val="auto"/>
        </w:rPr>
      </w:pPr>
    </w:p>
    <w:p>
      <w:pPr>
        <w:ind w:left="900" w:right="40" w:hanging="325"/>
        <w:spacing w:after="0" w:line="27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registered public accounting firm’s qualifications, independence and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financial statements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w:t>
      </w:r>
    </w:p>
    <w:p>
      <w:pPr>
        <w:spacing w:after="0" w:line="17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this context, the Audit Committee has reviewed and discussed the Company’s audited financial statements with the Company’s management and has discussed with Ernst &amp; Young LLP, the Company’s independent registered public accounting firm, the matters required to be discussed by the Statement on Auditing Standards No. 61, as amended. The Audit Committee has also received from Ernst &amp; Young LLP the written disclosures and the letter required by Independence Standards Board Standard No. 1 (Independence Discussions with Audit Committees) and has discussed with Ernst &amp; Young LLP its independence.</w:t>
      </w:r>
    </w:p>
    <w:p>
      <w:pPr>
        <w:spacing w:after="0" w:line="10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approved the inclusion of the audited financial statements in the Company’s Annual Report on Form 10-K for 2008.</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Mr. David B. Kelso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Mr. Clyde W. Ostler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Dr. Mohanbir Sawhney</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Nominees</w:t>
      </w:r>
    </w:p>
    <w:p>
      <w:pPr>
        <w:spacing w:after="0" w:line="9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Our Nominating and Governance Committee has nominated, and our board of directors has designated, Messrs. Gruber, Sawhney and Staglin for election as Class III directors at the Annual Meeting.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Nominees</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20" w:type="dxa"/>
            <w:vAlign w:val="bottom"/>
          </w:tcPr>
          <w:p>
            <w:pPr>
              <w:spacing w:after="0"/>
              <w:rPr>
                <w:sz w:val="15"/>
                <w:szCs w:val="15"/>
                <w:color w:val="auto"/>
              </w:rPr>
            </w:pPr>
          </w:p>
        </w:tc>
        <w:tc>
          <w:tcPr>
            <w:tcW w:w="592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Committee/Position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2002</w:t>
            </w:r>
          </w:p>
        </w:tc>
        <w:tc>
          <w:tcPr>
            <w:tcW w:w="2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 Compensation Committee (Chairman)</w:t>
            </w:r>
          </w:p>
        </w:tc>
        <w:tc>
          <w:tcPr>
            <w:tcW w:w="0" w:type="dxa"/>
            <w:vAlign w:val="bottom"/>
          </w:tcPr>
          <w:p>
            <w:pPr>
              <w:spacing w:after="0"/>
              <w:rPr>
                <w:sz w:val="1"/>
                <w:szCs w:val="1"/>
                <w:color w:val="auto"/>
              </w:rPr>
            </w:pPr>
          </w:p>
        </w:tc>
      </w:tr>
      <w:tr>
        <w:trPr>
          <w:trHeight w:val="282"/>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Mohanbir Sawhney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2005</w:t>
            </w:r>
          </w:p>
        </w:tc>
        <w:tc>
          <w:tcPr>
            <w:tcW w:w="2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Nominating and Corporate Governance Member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2005</w:t>
            </w:r>
          </w:p>
        </w:tc>
        <w:tc>
          <w:tcPr>
            <w:tcW w:w="2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Nominating and Corporate Governance (Chairman)</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The affirmative vote of the plurality of shares present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72" w:lineRule="exact"/>
        <w:rPr>
          <w:sz w:val="20"/>
          <w:szCs w:val="20"/>
          <w:color w:val="auto"/>
        </w:rPr>
      </w:pPr>
    </w:p>
    <w:p>
      <w:pPr>
        <w:jc w:val="center"/>
        <w:ind w:right="60"/>
        <w:spacing w:after="0" w:line="449"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FOR the election of Messrs. Gruber, Sawhney and Staglin as Class III directors of the Company. </w:t>
      </w: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REGISTERED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15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Our Audit Committee has selected Ernst &amp; Young LLP as independent registered public accounting firm to audit our and our subsidiaries’ books, records and accounts for the fiscal year 2009.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2007 and 2008. Representatives of Ernst &amp; Young LLP are expected to be present at the Annual Meeting. They will have an opportunity to make a statement, if they desire to do so, and will be available to respond to appropriate questions.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fees billed to us by Ernst &amp; Young LLP for professional services rendered for fiscal years 2008 and 2007:</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4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0" w:type="dxa"/>
            <w:vAlign w:val="bottom"/>
          </w:tcPr>
          <w:p>
            <w:pPr>
              <w:spacing w:after="0"/>
              <w:rPr>
                <w:sz w:val="1"/>
                <w:szCs w:val="1"/>
                <w:color w:val="auto"/>
              </w:rPr>
            </w:pPr>
          </w:p>
        </w:tc>
      </w:tr>
      <w:tr>
        <w:trPr>
          <w:trHeight w:val="165"/>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98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4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0" w:type="dxa"/>
            <w:vAlign w:val="bottom"/>
          </w:tcPr>
          <w:p>
            <w:pPr>
              <w:spacing w:after="0"/>
              <w:rPr>
                <w:sz w:val="1"/>
                <w:szCs w:val="1"/>
                <w:color w:val="auto"/>
              </w:rPr>
            </w:pPr>
          </w:p>
        </w:tc>
      </w:tr>
      <w:tr>
        <w:trPr>
          <w:trHeight w:val="129"/>
        </w:trPr>
        <w:tc>
          <w:tcPr>
            <w:tcW w:w="5340" w:type="dxa"/>
            <w:vAlign w:val="bottom"/>
            <w:gridSpan w:val="3"/>
            <w:vMerge w:val="continue"/>
          </w:tcPr>
          <w:p>
            <w:pPr>
              <w:spacing w:after="0"/>
              <w:rPr>
                <w:sz w:val="11"/>
                <w:szCs w:val="11"/>
                <w:color w:val="auto"/>
              </w:rPr>
            </w:pPr>
          </w:p>
        </w:tc>
        <w:tc>
          <w:tcPr>
            <w:tcW w:w="39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102"/>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Audit Fees</w:t>
            </w:r>
          </w:p>
        </w:tc>
        <w:tc>
          <w:tcPr>
            <w:tcW w:w="45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9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$ 792</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Audit Fees. </w:t>
      </w:r>
      <w:r>
        <w:rPr>
          <w:rFonts w:ascii="Times New Roman" w:cs="Times New Roman" w:eastAsia="Times New Roman" w:hAnsi="Times New Roman"/>
          <w:sz w:val="16"/>
          <w:szCs w:val="16"/>
          <w:color w:val="auto"/>
        </w:rPr>
        <w:t>Consist of fees billed for professional services rendered for the audit of our consolidated financial statements, including the audit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93"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Consist of fees billed for assurance and related services that are reasonably related to the performance of the audit or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and are not reported under “Audit Fees.” These services include SAS 70 service organization audits.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of fees for international tax consulting and transfer pricing studies completed for our subsidiaries.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Audit Committee pre-approves and is responsible for the engagement of all auditing services provided by our independent registered public accountants and all-non 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20"/>
          </w:cols>
          <w:pgMar w:left="24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Ernst &amp; Young LLP as our independent registered public accountants.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 FOR THE 2010 ANNUAL MEETING</w:t>
      </w:r>
    </w:p>
    <w:p>
      <w:pPr>
        <w:spacing w:after="0" w:line="17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If a stockholder wishes to present a proposal to be included in our Proxy Statement for our 2010 Annual Meeting of Stockholders, the proponent and the proposal must comply with the proxy proposal submission rules of the SEC. One of the requirements is that the proposal must be received by the Corporate Secretary of the Company no later than December 31, 2009. Proposals we receive after that date will not be included in the Proxy Statement. We urge stockholders to submit proposals by certified mail, return receipt requested.</w:t>
      </w:r>
    </w:p>
    <w:p>
      <w:pPr>
        <w:spacing w:after="0" w:line="13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 stockholder proposal not included in our Proxy Statement for the 2010 Annual Meeting will be ineligible for presentation at the 2010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2009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through the SEC’s Internet web site: www.sec.gov.</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3"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Certain U.S. dollar figures in this proxy statement have been converted from Indian rupees at a rate of 48.71 rupees to $1.00, the rupee to U.S. dollar exchange rate in effect as on December 31, 2008.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you are the beneficial owner, but not the record holder, of shares of our common stock, your broker, bank, trust or other nominee may only deliver one copy of this proxy statement and our 2008 Annual Report to multiple stockholders who share an address unless that nominee has received contrary instructions from one or more of the stockholders. We will deliver promptly, upon written or oral request, a separate copy of this proxy statement and our 2008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Access to Proxy Statement and Annual Report</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This proxy statement and our 2008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Whether or not you intend to be present at the Annual Meeting, we urge you to submit your signed proxy promptly.</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Amit Shashank</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2009</w:t>
      </w:r>
    </w:p>
    <w:p>
      <w:pPr>
        <w:spacing w:after="0" w:line="15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Our 2008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350 Park Avenue, New York, NY 10022, Attention: Investor Relations. The request must include a representation by the stockholder that as of May 11, 2009, the stockholder was entitled to vote at the Annual Meeting.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323" w:lineRule="exact"/>
        <w:rPr>
          <w:sz w:val="20"/>
          <w:szCs w:val="20"/>
          <w:color w:val="auto"/>
        </w:rPr>
      </w:pPr>
    </w:p>
    <w:p>
      <w:pPr>
        <w:ind w:left="320" w:right="4100" w:hanging="312"/>
        <w:spacing w:after="0" w:line="183" w:lineRule="auto"/>
        <w:tabs>
          <w:tab w:leader="none" w:pos="327" w:val="left"/>
        </w:tabs>
        <w:numPr>
          <w:ilvl w:val="0"/>
          <w:numId w:val="53"/>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b w:val="1"/>
          <w:bCs w:val="1"/>
          <w:color w:val="auto"/>
        </w:rPr>
        <w:t>PLEASE MARK VOTES AS IN THIS EXAMPLE</w:t>
      </w:r>
    </w:p>
    <w:p>
      <w:pPr>
        <w:spacing w:after="0" w:line="92" w:lineRule="exact"/>
        <w:rPr>
          <w:sz w:val="20"/>
          <w:szCs w:val="20"/>
          <w:color w:val="auto"/>
        </w:rPr>
      </w:pPr>
    </w:p>
    <w:p>
      <w:pPr>
        <w:jc w:val="center"/>
        <w:ind w:left="360" w:right="1080"/>
        <w:spacing w:after="0" w:line="236" w:lineRule="auto"/>
        <w:rPr>
          <w:sz w:val="20"/>
          <w:szCs w:val="20"/>
          <w:color w:val="auto"/>
        </w:rPr>
      </w:pPr>
      <w:r>
        <w:rPr>
          <w:rFonts w:ascii="Times New Roman" w:cs="Times New Roman" w:eastAsia="Times New Roman" w:hAnsi="Times New Roman"/>
          <w:sz w:val="14"/>
          <w:szCs w:val="14"/>
          <w:b w:val="1"/>
          <w:bCs w:val="1"/>
          <w:color w:val="auto"/>
        </w:rPr>
        <w:t>PROXY SOLICITED BY THE BOARD OF DIRECTORS FOR THE ANNUAL MEETING OF STOCKHOLDERS June 24, 2009</w:t>
      </w:r>
    </w:p>
    <w:p>
      <w:pPr>
        <w:spacing w:after="0" w:line="164" w:lineRule="exact"/>
        <w:rPr>
          <w:sz w:val="20"/>
          <w:szCs w:val="20"/>
          <w:color w:val="auto"/>
        </w:rPr>
      </w:pPr>
    </w:p>
    <w:p>
      <w:pPr>
        <w:ind w:firstLine="432"/>
        <w:spacing w:after="0" w:line="226" w:lineRule="auto"/>
        <w:rPr>
          <w:sz w:val="20"/>
          <w:szCs w:val="20"/>
          <w:color w:val="auto"/>
        </w:rPr>
      </w:pPr>
      <w:r>
        <w:rPr>
          <w:rFonts w:ascii="Times New Roman" w:cs="Times New Roman" w:eastAsia="Times New Roman" w:hAnsi="Times New Roman"/>
          <w:sz w:val="14"/>
          <w:szCs w:val="14"/>
          <w:color w:val="auto"/>
        </w:rPr>
        <w:t>Rohit Kapoor, Vikram Talwar and Amit Shashank, or any one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The Inn at Middletown, 70 Main Street, Middletown, Connecticut 06457, on June 24, 2009 at 2:00 PM, Eastern Time, and at any postponements or adjournments of that meeting, as set forth below, and in their discretion upon any other business that may properly come before the meeting.</w:t>
      </w:r>
    </w:p>
    <w:p>
      <w:pPr>
        <w:spacing w:after="0" w:line="181" w:lineRule="exact"/>
        <w:rPr>
          <w:sz w:val="20"/>
          <w:szCs w:val="20"/>
          <w:color w:val="auto"/>
        </w:rPr>
      </w:pPr>
    </w:p>
    <w:p>
      <w:pPr>
        <w:ind w:right="60" w:firstLine="432"/>
        <w:spacing w:after="0" w:line="241" w:lineRule="auto"/>
        <w:rPr>
          <w:sz w:val="20"/>
          <w:szCs w:val="20"/>
          <w:color w:val="auto"/>
        </w:rPr>
      </w:pPr>
      <w:r>
        <w:rPr>
          <w:rFonts w:ascii="Times New Roman" w:cs="Times New Roman" w:eastAsia="Times New Roman" w:hAnsi="Times New Roman"/>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REVOCABLE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-90805</wp:posOffset>
            </wp:positionV>
            <wp:extent cx="574675"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4675" cy="197485"/>
                    </a:xfrm>
                    <a:prstGeom prst="rect">
                      <a:avLst/>
                    </a:prstGeom>
                    <a:noFill/>
                  </pic:spPr>
                </pic:pic>
              </a:graphicData>
            </a:graphic>
          </wp:anchor>
        </w:drawing>
      </w: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EXLSERVICE HOLDINGS, INC.</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w:t>
            </w:r>
          </w:p>
        </w:tc>
        <w:tc>
          <w:tcPr>
            <w:tcW w:w="760" w:type="dxa"/>
            <w:vAlign w:val="bottom"/>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6"/>
              </w:rPr>
              <w:t>FOR ALL</w:t>
            </w:r>
          </w:p>
        </w:tc>
      </w:tr>
      <w:tr>
        <w:trPr>
          <w:trHeight w:val="178"/>
        </w:trPr>
        <w:tc>
          <w:tcPr>
            <w:tcW w:w="3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HOLD</w:t>
            </w:r>
          </w:p>
        </w:tc>
        <w:tc>
          <w:tcPr>
            <w:tcW w:w="760" w:type="dxa"/>
            <w:vAlign w:val="bottom"/>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8"/>
              </w:rPr>
              <w:t>EXCEPT</w:t>
            </w:r>
          </w:p>
        </w:tc>
      </w:tr>
      <w:tr>
        <w:trPr>
          <w:trHeight w:val="474"/>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26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To elect three directors (except as marked</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ind w:left="86"/>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4"/>
        </w:trPr>
        <w:tc>
          <w:tcPr>
            <w:tcW w:w="320" w:type="dxa"/>
            <w:vAlign w:val="bottom"/>
          </w:tcPr>
          <w:p>
            <w:pPr>
              <w:spacing w:after="0"/>
              <w:rPr>
                <w:sz w:val="15"/>
                <w:szCs w:val="15"/>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the contrary below):</w:t>
            </w: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Steven B. Gruber  (2) Dr. Mohanbir Sawhney</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 Garen K. Staglin</w:t>
            </w:r>
          </w:p>
        </w:tc>
        <w:tc>
          <w:tcPr>
            <w:tcW w:w="760" w:type="dxa"/>
            <w:vAlign w:val="bottom"/>
          </w:tcPr>
          <w:p>
            <w:pPr>
              <w:spacing w:after="0"/>
              <w:rPr>
                <w:sz w:val="15"/>
                <w:szCs w:val="15"/>
                <w:color w:val="auto"/>
              </w:rPr>
            </w:pPr>
          </w:p>
        </w:tc>
      </w:tr>
    </w:tbl>
    <w:p>
      <w:pPr>
        <w:spacing w:after="0" w:line="2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126365</wp:posOffset>
            </wp:positionV>
            <wp:extent cx="3378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5900" w:space="300"/>
            <w:col w:w="5220"/>
          </w:cols>
          <w:pgMar w:left="240" w:top="455" w:right="239" w:bottom="1440" w:gutter="0" w:footer="0" w:header="0"/>
          <w:type w:val="continuous"/>
        </w:sectPr>
      </w:pPr>
    </w:p>
    <w:tbl>
      <w:tblPr>
        <w:tblLayout w:type="fixed"/>
        <w:tblInd w:w="19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AGAINST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w:t>
            </w:r>
          </w:p>
        </w:tc>
        <w:tc>
          <w:tcPr>
            <w:tcW w:w="2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 ratify the selection of Ernst &amp; Young</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spacing w:after="0"/>
              <w:rPr>
                <w:sz w:val="16"/>
                <w:szCs w:val="16"/>
                <w:color w:val="auto"/>
              </w:rPr>
            </w:pPr>
          </w:p>
        </w:tc>
        <w:tc>
          <w:tcPr>
            <w:tcW w:w="400" w:type="dxa"/>
            <w:vAlign w:val="bottom"/>
          </w:tcPr>
          <w:p>
            <w:pPr>
              <w:jc w:val="right"/>
              <w:ind w:right="13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LLP as the independent registered public</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accounting firm of the Company.</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80" w:type="dxa"/>
            <w:vAlign w:val="bottom"/>
            <w:vMerge w:val="restart"/>
          </w:tcPr>
          <w:p>
            <w:pPr>
              <w:jc w:val="center"/>
              <w:ind w:right="892"/>
              <w:spacing w:after="0"/>
              <w:rPr>
                <w:sz w:val="20"/>
                <w:szCs w:val="20"/>
                <w:color w:val="auto"/>
              </w:rPr>
            </w:pPr>
            <w:r>
              <w:rPr>
                <w:rFonts w:ascii="Times New Roman" w:cs="Times New Roman" w:eastAsia="Times New Roman" w:hAnsi="Times New Roman"/>
                <w:sz w:val="14"/>
                <w:szCs w:val="14"/>
                <w:color w:val="auto"/>
                <w:w w:val="96"/>
              </w:rPr>
              <w:t>Please be sure to sign and date</w:t>
            </w:r>
          </w:p>
        </w:tc>
        <w:tc>
          <w:tcPr>
            <w:tcW w:w="2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3.</w:t>
            </w:r>
          </w:p>
        </w:tc>
        <w:tc>
          <w:tcPr>
            <w:tcW w:w="4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color w:val="auto"/>
                <w:w w:val="97"/>
              </w:rPr>
              <w:t>In their discretion, the proxies are authorized to vote upon such other business as</w:t>
            </w:r>
          </w:p>
        </w:tc>
        <w:tc>
          <w:tcPr>
            <w:tcW w:w="0" w:type="dxa"/>
            <w:vAlign w:val="bottom"/>
          </w:tcPr>
          <w:p>
            <w:pPr>
              <w:spacing w:after="0"/>
              <w:rPr>
                <w:sz w:val="1"/>
                <w:szCs w:val="1"/>
                <w:color w:val="auto"/>
              </w:rPr>
            </w:pPr>
          </w:p>
        </w:tc>
      </w:tr>
      <w:tr>
        <w:trPr>
          <w:trHeight w:val="116"/>
        </w:trPr>
        <w:tc>
          <w:tcPr>
            <w:tcW w:w="2780" w:type="dxa"/>
            <w:vAlign w:val="bottom"/>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ind w:left="100"/>
              <w:spacing w:after="0" w:line="116" w:lineRule="exact"/>
              <w:rPr>
                <w:sz w:val="20"/>
                <w:szCs w:val="20"/>
                <w:color w:val="auto"/>
              </w:rPr>
            </w:pPr>
            <w:r>
              <w:rPr>
                <w:rFonts w:ascii="Times New Roman" w:cs="Times New Roman" w:eastAsia="Times New Roman" w:hAnsi="Times New Roman"/>
                <w:sz w:val="12"/>
                <w:szCs w:val="12"/>
                <w:color w:val="auto"/>
              </w:rPr>
              <w:t>Date</w:t>
            </w:r>
          </w:p>
        </w:tc>
        <w:tc>
          <w:tcPr>
            <w:tcW w:w="480" w:type="dxa"/>
            <w:vAlign w:val="bottom"/>
            <w:vMerge w:val="continue"/>
          </w:tcPr>
          <w:p>
            <w:pPr>
              <w:spacing w:after="0"/>
              <w:rPr>
                <w:sz w:val="10"/>
                <w:szCs w:val="10"/>
                <w:color w:val="auto"/>
              </w:rPr>
            </w:pPr>
          </w:p>
        </w:tc>
        <w:tc>
          <w:tcPr>
            <w:tcW w:w="48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jc w:val="center"/>
              <w:ind w:right="892"/>
              <w:spacing w:after="0"/>
              <w:rPr>
                <w:sz w:val="20"/>
                <w:szCs w:val="20"/>
                <w:color w:val="auto"/>
              </w:rPr>
            </w:pPr>
            <w:r>
              <w:rPr>
                <w:rFonts w:ascii="Times New Roman" w:cs="Times New Roman" w:eastAsia="Times New Roman" w:hAnsi="Times New Roman"/>
                <w:sz w:val="14"/>
                <w:szCs w:val="14"/>
                <w:color w:val="auto"/>
                <w:w w:val="94"/>
              </w:rPr>
              <w:t>this Proxy in the box below.</w:t>
            </w:r>
          </w:p>
        </w:tc>
        <w:tc>
          <w:tcPr>
            <w:tcW w:w="22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may properly come before the Annual Meeting.</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780" w:type="dxa"/>
            <w:vAlign w:val="bottom"/>
            <w:tcBorders>
              <w:left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4"/>
                <w:szCs w:val="14"/>
                <w:color w:val="auto"/>
              </w:rPr>
              <w:t>Stockholder sign above</w:t>
            </w:r>
          </w:p>
        </w:tc>
        <w:tc>
          <w:tcPr>
            <w:tcW w:w="304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Co-holder (if any) sign above</w:t>
            </w:r>
          </w:p>
        </w:tc>
        <w:tc>
          <w:tcPr>
            <w:tcW w:w="480" w:type="dxa"/>
            <w:vAlign w:val="bottom"/>
          </w:tcPr>
          <w:p>
            <w:pPr>
              <w:spacing w:after="0"/>
              <w:rPr>
                <w:sz w:val="24"/>
                <w:szCs w:val="24"/>
                <w:color w:val="auto"/>
              </w:rPr>
            </w:pPr>
          </w:p>
        </w:tc>
        <w:tc>
          <w:tcPr>
            <w:tcW w:w="4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The Board of Directors recommends that you vote FOR proposals 1 and 2. The</w:t>
            </w: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920" w:type="dxa"/>
            <w:vAlign w:val="bottom"/>
            <w:gridSpan w:val="5"/>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shares represented by this proxy will be voted as specified herein. If not otherwise</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specified, such shares will be voted by the proxies FOR Proposals 1 and 2.</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Please sign exactly as your name appears on this card.</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PLEASE CHECK BOX IF YOU PLAN TO ATTEND THE MEETING.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è</w:t>
            </w:r>
          </w:p>
        </w:tc>
        <w:tc>
          <w:tcPr>
            <w:tcW w:w="4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ñ Detach above card, sign, date and mail in postage paid envelope provided. ñ</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321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2131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Your Vote is Important.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complete, sign, date and promptly return this proxy using the enclosed postmarked envelope.</w:t>
      </w:r>
    </w:p>
    <w:p>
      <w:pPr>
        <w:spacing w:after="0" w:line="217" w:lineRule="exact"/>
        <w:rPr>
          <w:sz w:val="20"/>
          <w:szCs w:val="20"/>
          <w:color w:val="auto"/>
        </w:rPr>
      </w:pPr>
    </w:p>
    <w:p>
      <w:pPr>
        <w:ind w:right="4600"/>
        <w:spacing w:after="0" w:line="241" w:lineRule="auto"/>
        <w:rPr>
          <w:sz w:val="20"/>
          <w:szCs w:val="20"/>
          <w:color w:val="auto"/>
        </w:rPr>
      </w:pPr>
      <w:r>
        <w:rPr>
          <w:rFonts w:ascii="Times New Roman" w:cs="Times New Roman" w:eastAsia="Times New Roman" w:hAnsi="Times New Roman"/>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4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2)"/>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212"/>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3"/>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2"/>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lvl w:ilvl="1">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4"/>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Roman"/>
      <w:start w:val="2"/>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4"/>
    </w:lvl>
  </w:abstractNum>
  <w:abstractNum w:abstractNumId="50">
    <w:nsid w:val="75C6C33A"/>
    <w:multiLevelType w:val="hybridMultilevel"/>
    <w:lvl w:ilvl="0">
      <w:lvlJc w:val="left"/>
      <w:lvlText w:val="(%1)"/>
      <w:numFmt w:val="decimal"/>
      <w:start w:val="15"/>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2019-12-15T11:11:13Z</dcterms:created>
  <dcterms:modified xsi:type="dcterms:W3CDTF">2019-12-15T11:11:13Z</dcterms:modified>
</cp:coreProperties>
</file>