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37465</wp:posOffset>
            </wp:positionV>
            <wp:extent cx="6967220" cy="1626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62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80" w:space="260"/>
            <w:col w:w="8540"/>
          </w:cols>
          <w:pgMar w:left="460" w:top="216" w:right="359" w:bottom="46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BAGAI PAVAN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02/19/2021</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ind w:left="194"/>
        <w:spacing w:after="0"/>
        <w:tabs>
          <w:tab w:leader="none" w:pos="514" w:val="left"/>
          <w:tab w:leader="none" w:pos="2094"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2"/>
          <w:szCs w:val="12"/>
          <w:color w:val="auto"/>
        </w:rPr>
        <w:t>Other (specify</w:t>
      </w:r>
    </w:p>
    <w:p>
      <w:pPr>
        <w:spacing w:after="0" w:line="19"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994"/>
        <w:spacing w:after="0"/>
        <w:rPr>
          <w:sz w:val="20"/>
          <w:szCs w:val="20"/>
          <w:color w:val="auto"/>
        </w:rPr>
      </w:pPr>
      <w:r>
        <w:rPr>
          <w:rFonts w:ascii="Times New Roman" w:cs="Times New Roman" w:eastAsia="Times New Roman" w:hAnsi="Times New Roman"/>
          <w:sz w:val="17"/>
          <w:szCs w:val="17"/>
          <w:color w:val="0000FF"/>
        </w:rPr>
        <w:t>President &amp; COO</w:t>
      </w:r>
    </w:p>
    <w:p>
      <w:pPr>
        <w:spacing w:after="0" w:line="307" w:lineRule="exact"/>
        <w:rPr>
          <w:sz w:val="24"/>
          <w:szCs w:val="24"/>
          <w:color w:val="auto"/>
        </w:rPr>
      </w:pPr>
    </w:p>
    <w:p>
      <w:pPr>
        <w:sectPr>
          <w:pgSz w:w="11900" w:h="16838" w:orient="portrait"/>
          <w:cols w:equalWidth="0" w:num="3">
            <w:col w:w="3180" w:space="720"/>
            <w:col w:w="3106" w:space="720"/>
            <w:col w:w="3354"/>
          </w:cols>
          <w:pgMar w:left="460" w:top="216" w:right="359" w:bottom="468"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0"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1" w:lineRule="exact"/>
        <w:rPr>
          <w:sz w:val="24"/>
          <w:szCs w:val="24"/>
          <w:color w:val="auto"/>
        </w:rPr>
      </w:pPr>
    </w:p>
    <w:p>
      <w:pPr>
        <w:ind w:left="4020"/>
        <w:spacing w:after="0"/>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153035</wp:posOffset>
            </wp:positionV>
            <wp:extent cx="6967220" cy="1741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741805"/>
                    </a:xfrm>
                    <a:prstGeom prst="rect">
                      <a:avLst/>
                    </a:prstGeom>
                    <a:noFill/>
                  </pic:spPr>
                </pic:pic>
              </a:graphicData>
            </a:graphic>
          </wp:anchor>
        </w:drawing>
      </w:r>
    </w:p>
    <w:p>
      <w:pPr>
        <w:spacing w:after="0" w:line="298" w:lineRule="exact"/>
        <w:rPr>
          <w:sz w:val="24"/>
          <w:szCs w:val="24"/>
          <w:color w:val="auto"/>
        </w:rPr>
      </w:pPr>
    </w:p>
    <w:p>
      <w:pPr>
        <w:sectPr>
          <w:pgSz w:w="11900" w:h="16838" w:orient="portrait"/>
          <w:cols w:equalWidth="0" w:num="2">
            <w:col w:w="3740" w:space="160"/>
            <w:col w:w="7180"/>
          </w:cols>
          <w:pgMar w:left="460" w:top="216" w:right="359" w:bottom="468"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12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9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02/19/2021</w:t>
            </w:r>
          </w:p>
        </w:tc>
        <w:tc>
          <w:tcPr>
            <w:tcW w:w="110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right"/>
              <w:ind w:right="67"/>
              <w:spacing w:after="0"/>
              <w:rPr>
                <w:sz w:val="20"/>
                <w:szCs w:val="20"/>
                <w:color w:val="auto"/>
              </w:rPr>
            </w:pPr>
            <w:r>
              <w:rPr>
                <w:rFonts w:ascii="Times New Roman" w:cs="Times New Roman" w:eastAsia="Times New Roman" w:hAnsi="Times New Roman"/>
                <w:sz w:val="17"/>
                <w:szCs w:val="17"/>
                <w:color w:val="0000FF"/>
              </w:rPr>
              <w:t>2,511</w:t>
            </w:r>
          </w:p>
        </w:tc>
        <w:tc>
          <w:tcPr>
            <w:tcW w:w="5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11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52,286</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02/19/2021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1,074</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81.22</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51,212</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02/20/2021</w:t>
            </w:r>
          </w:p>
        </w:tc>
        <w:tc>
          <w:tcPr>
            <w:tcW w:w="110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right"/>
              <w:ind w:right="67"/>
              <w:spacing w:after="0"/>
              <w:rPr>
                <w:sz w:val="20"/>
                <w:szCs w:val="20"/>
                <w:color w:val="auto"/>
              </w:rPr>
            </w:pPr>
            <w:r>
              <w:rPr>
                <w:rFonts w:ascii="Times New Roman" w:cs="Times New Roman" w:eastAsia="Times New Roman" w:hAnsi="Times New Roman"/>
                <w:sz w:val="17"/>
                <w:szCs w:val="17"/>
                <w:color w:val="0000FF"/>
              </w:rPr>
              <w:t>2,731</w:t>
            </w:r>
          </w:p>
        </w:tc>
        <w:tc>
          <w:tcPr>
            <w:tcW w:w="5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11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53,943</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02/20/2021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1,168</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80.55</w:t>
            </w:r>
            <w:r>
              <w:rPr>
                <w:rFonts w:ascii="Times New Roman" w:cs="Times New Roman" w:eastAsia="Times New Roman" w:hAnsi="Times New Roman"/>
                <w:sz w:val="21"/>
                <w:szCs w:val="21"/>
                <w:color w:val="008000"/>
                <w:w w:val="93"/>
                <w:vertAlign w:val="superscript"/>
              </w:rPr>
              <w:t>(3)</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52,775</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0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8232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82321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2,511</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02/19/2021</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400"/>
              <w:spacing w:after="0" w:line="143" w:lineRule="exact"/>
              <w:rPr>
                <w:sz w:val="20"/>
                <w:szCs w:val="20"/>
                <w:color w:val="auto"/>
              </w:rPr>
            </w:pPr>
            <w:r>
              <w:rPr>
                <w:rFonts w:ascii="Times New Roman" w:cs="Times New Roman" w:eastAsia="Times New Roman" w:hAnsi="Times New Roman"/>
                <w:sz w:val="13"/>
                <w:szCs w:val="13"/>
                <w:color w:val="0000FF"/>
              </w:rPr>
              <w:t>2,511</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7,534</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2,731</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02/20/2021</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2,731</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5,463</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3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restricted stock units reported in this report vested on February 19, 2021.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5" w:lineRule="exact"/>
        <w:rPr>
          <w:rFonts w:ascii="Times New Roman" w:cs="Times New Roman" w:eastAsia="Times New Roman" w:hAnsi="Times New Roman"/>
          <w:sz w:val="13"/>
          <w:szCs w:val="13"/>
          <w:color w:val="008000"/>
        </w:rPr>
      </w:pPr>
    </w:p>
    <w:p>
      <w:pPr>
        <w:ind w:left="40" w:right="3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restricted stock units reported in this report vested on February 20, 2021.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5" w:lineRule="exact"/>
        <w:rPr>
          <w:rFonts w:ascii="Times New Roman" w:cs="Times New Roman" w:eastAsia="Times New Roman" w:hAnsi="Times New Roman"/>
          <w:sz w:val="13"/>
          <w:szCs w:val="13"/>
          <w:color w:val="008000"/>
        </w:rPr>
      </w:pPr>
    </w:p>
    <w:p>
      <w:pPr>
        <w:ind w:left="40" w:right="20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19, 2020, the reporting person was granted 10,045 restricted stock units, vesting in four annual installments beginning on the first anniversary of the grant date. 25 percent of the restricted stock units became vested on February 19, 2021, an additional twenty-five percent of the restricted stock units will vest on February 19, 2022, an additional twenty-five percent of the restricted stock units will vest on February 19, 2023; and the remaining balance of twenty-five percent of the restricted stock units will vest on February 19, 2024</w:t>
      </w:r>
    </w:p>
    <w:p>
      <w:pPr>
        <w:spacing w:after="0" w:line="25" w:lineRule="exact"/>
        <w:rPr>
          <w:rFonts w:ascii="Times New Roman" w:cs="Times New Roman" w:eastAsia="Times New Roman" w:hAnsi="Times New Roman"/>
          <w:sz w:val="13"/>
          <w:szCs w:val="13"/>
          <w:color w:val="008000"/>
        </w:rPr>
      </w:pPr>
    </w:p>
    <w:p>
      <w:pPr>
        <w:jc w:val="both"/>
        <w:ind w:left="40" w:right="20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20, 2019, the reporting person was granted 10,925 restricted stock units, vesting in four annual installments beginning on the first anniversary of the grant date. 25 percent of the restricted stock units became vested on February 20, 2020, an additional twenty-five percent of the restricted stock units became vested on February 20, 2021, an additional twenty-five percent of the restricted stock units will vest on February 20, 2022; and the remaining balance of twenty-five percent of the restricted stock units will vest on February 20, 2023</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3"/>
          <w:szCs w:val="33"/>
          <w:color w:val="0000FF"/>
          <w:vertAlign w:val="subscript"/>
        </w:rPr>
        <w:t>02/23/2021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23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46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74134"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2021-02-23T20:13:17Z</dcterms:created>
  <dcterms:modified xsi:type="dcterms:W3CDTF">2021-02-23T20:13:17Z</dcterms:modified>
</cp:coreProperties>
</file>