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0"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ind w:left="620" w:right="240" w:hanging="396"/>
        <w:spacing w:after="0" w:line="237" w:lineRule="auto"/>
        <w:tabs>
          <w:tab w:leader="none" w:pos="6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SEPTEMBER 30, 2012</w:t>
      </w:r>
    </w:p>
    <w:p>
      <w:pPr>
        <w:spacing w:after="0" w:line="17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620" w:right="220" w:hanging="396"/>
        <w:spacing w:after="0" w:line="256" w:lineRule="auto"/>
        <w:tabs>
          <w:tab w:leader="none" w:pos="6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540"/>
        <w:spacing w:after="0"/>
        <w:tabs>
          <w:tab w:leader="none" w:pos="72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7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001-33089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EXLSERVICE HOLDINGS, INC.</w:t>
      </w:r>
    </w:p>
    <w:p>
      <w:pPr>
        <w:spacing w:after="0" w:line="5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1040" w:type="dxa"/>
        <w:tblCellMar>
          <w:top w:w="0" w:type="dxa"/>
          <w:left w:w="0" w:type="dxa"/>
          <w:bottom w:w="0" w:type="dxa"/>
          <w:right w:w="0" w:type="dxa"/>
        </w:tblCellMar>
      </w:tblPr>
      <w:tr>
        <w:trPr>
          <w:trHeight w:val="218"/>
        </w:trPr>
        <w:tc>
          <w:tcPr>
            <w:tcW w:w="6640" w:type="dxa"/>
            <w:vAlign w:val="bottom"/>
          </w:tcPr>
          <w:p>
            <w:pPr>
              <w:jc w:val="center"/>
              <w:ind w:right="2862"/>
              <w:spacing w:after="0"/>
              <w:rPr>
                <w:sz w:val="20"/>
                <w:szCs w:val="20"/>
                <w:color w:val="auto"/>
              </w:rPr>
            </w:pPr>
            <w:r>
              <w:rPr>
                <w:rFonts w:ascii="Arial" w:cs="Arial" w:eastAsia="Arial" w:hAnsi="Arial"/>
                <w:sz w:val="18"/>
                <w:szCs w:val="18"/>
                <w:b w:val="1"/>
                <w:bCs w:val="1"/>
                <w:color w:val="auto"/>
                <w:w w:val="94"/>
              </w:rPr>
              <w:t>DELAWARE</w:t>
            </w:r>
          </w:p>
        </w:tc>
        <w:tc>
          <w:tcPr>
            <w:tcW w:w="1500" w:type="dxa"/>
            <w:vAlign w:val="bottom"/>
          </w:tcPr>
          <w:p>
            <w:pPr>
              <w:jc w:val="right"/>
              <w:ind w:right="24"/>
              <w:spacing w:after="0"/>
              <w:rPr>
                <w:sz w:val="20"/>
                <w:szCs w:val="20"/>
                <w:color w:val="auto"/>
              </w:rPr>
            </w:pPr>
            <w:r>
              <w:rPr>
                <w:rFonts w:ascii="Arial" w:cs="Arial" w:eastAsia="Arial" w:hAnsi="Arial"/>
                <w:sz w:val="18"/>
                <w:szCs w:val="18"/>
                <w:b w:val="1"/>
                <w:bCs w:val="1"/>
                <w:color w:val="auto"/>
              </w:rPr>
              <w:t>82-0572194</w:t>
            </w:r>
          </w:p>
        </w:tc>
      </w:tr>
      <w:tr>
        <w:trPr>
          <w:trHeight w:val="149"/>
        </w:trPr>
        <w:tc>
          <w:tcPr>
            <w:tcW w:w="6640" w:type="dxa"/>
            <w:vAlign w:val="bottom"/>
          </w:tcPr>
          <w:p>
            <w:pPr>
              <w:jc w:val="center"/>
              <w:ind w:right="2862"/>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1500" w:type="dxa"/>
            <w:vAlign w:val="bottom"/>
          </w:tcPr>
          <w:p>
            <w:pPr>
              <w:jc w:val="center"/>
              <w:ind w:left="3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640" w:type="dxa"/>
            <w:vAlign w:val="bottom"/>
          </w:tcPr>
          <w:p>
            <w:pPr>
              <w:jc w:val="center"/>
              <w:ind w:right="2842"/>
              <w:spacing w:after="0"/>
              <w:rPr>
                <w:sz w:val="20"/>
                <w:szCs w:val="20"/>
                <w:color w:val="auto"/>
              </w:rPr>
            </w:pPr>
            <w:r>
              <w:rPr>
                <w:rFonts w:ascii="Arial" w:cs="Arial" w:eastAsia="Arial" w:hAnsi="Arial"/>
                <w:sz w:val="14"/>
                <w:szCs w:val="14"/>
                <w:b w:val="1"/>
                <w:bCs w:val="1"/>
                <w:color w:val="auto"/>
                <w:w w:val="88"/>
              </w:rPr>
              <w:t>incorporation or organization)</w:t>
            </w:r>
          </w:p>
        </w:tc>
        <w:tc>
          <w:tcPr>
            <w:tcW w:w="1500" w:type="dxa"/>
            <w:vAlign w:val="bottom"/>
          </w:tcPr>
          <w:p>
            <w:pPr>
              <w:jc w:val="center"/>
              <w:ind w:left="36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6640" w:type="dxa"/>
            <w:vAlign w:val="bottom"/>
          </w:tcPr>
          <w:p>
            <w:pPr>
              <w:jc w:val="center"/>
              <w:ind w:right="2862"/>
              <w:spacing w:after="0"/>
              <w:rPr>
                <w:sz w:val="20"/>
                <w:szCs w:val="20"/>
                <w:color w:val="auto"/>
              </w:rPr>
            </w:pPr>
            <w:r>
              <w:rPr>
                <w:rFonts w:ascii="Arial" w:cs="Arial" w:eastAsia="Arial" w:hAnsi="Arial"/>
                <w:sz w:val="18"/>
                <w:szCs w:val="18"/>
                <w:b w:val="1"/>
                <w:bCs w:val="1"/>
                <w:color w:val="auto"/>
                <w:w w:val="95"/>
              </w:rPr>
              <w:t>280 PARK AVENUE, 38</w:t>
            </w:r>
            <w:r>
              <w:rPr>
                <w:rFonts w:ascii="Arial" w:cs="Arial" w:eastAsia="Arial" w:hAnsi="Arial"/>
                <w:sz w:val="11"/>
                <w:szCs w:val="11"/>
                <w:b w:val="1"/>
                <w:bCs w:val="1"/>
                <w:color w:val="auto"/>
                <w:w w:val="95"/>
              </w:rPr>
              <w:t>th</w:t>
            </w:r>
            <w:r>
              <w:rPr>
                <w:rFonts w:ascii="Arial" w:cs="Arial" w:eastAsia="Arial" w:hAnsi="Arial"/>
                <w:sz w:val="18"/>
                <w:szCs w:val="18"/>
                <w:b w:val="1"/>
                <w:bCs w:val="1"/>
                <w:color w:val="auto"/>
                <w:w w:val="95"/>
              </w:rPr>
              <w:t xml:space="preserve"> FLOOR, NEW YORK,</w:t>
            </w:r>
          </w:p>
        </w:tc>
        <w:tc>
          <w:tcPr>
            <w:tcW w:w="1500" w:type="dxa"/>
            <w:vAlign w:val="bottom"/>
          </w:tcPr>
          <w:p>
            <w:pPr>
              <w:spacing w:after="0"/>
              <w:rPr>
                <w:sz w:val="24"/>
                <w:szCs w:val="24"/>
                <w:color w:val="auto"/>
              </w:rPr>
            </w:pPr>
          </w:p>
        </w:tc>
      </w:tr>
      <w:tr>
        <w:trPr>
          <w:trHeight w:val="231"/>
        </w:trPr>
        <w:tc>
          <w:tcPr>
            <w:tcW w:w="6640" w:type="dxa"/>
            <w:vAlign w:val="bottom"/>
          </w:tcPr>
          <w:p>
            <w:pPr>
              <w:jc w:val="center"/>
              <w:ind w:right="2862"/>
              <w:spacing w:after="0"/>
              <w:rPr>
                <w:sz w:val="20"/>
                <w:szCs w:val="20"/>
                <w:color w:val="auto"/>
              </w:rPr>
            </w:pPr>
            <w:r>
              <w:rPr>
                <w:rFonts w:ascii="Arial" w:cs="Arial" w:eastAsia="Arial" w:hAnsi="Arial"/>
                <w:sz w:val="18"/>
                <w:szCs w:val="18"/>
                <w:b w:val="1"/>
                <w:bCs w:val="1"/>
                <w:color w:val="auto"/>
                <w:w w:val="98"/>
              </w:rPr>
              <w:t>NEW YORK</w:t>
            </w:r>
          </w:p>
        </w:tc>
        <w:tc>
          <w:tcPr>
            <w:tcW w:w="1500" w:type="dxa"/>
            <w:vAlign w:val="bottom"/>
          </w:tcPr>
          <w:p>
            <w:pPr>
              <w:jc w:val="right"/>
              <w:ind w:right="224"/>
              <w:spacing w:after="0"/>
              <w:rPr>
                <w:sz w:val="20"/>
                <w:szCs w:val="20"/>
                <w:color w:val="auto"/>
              </w:rPr>
            </w:pPr>
            <w:r>
              <w:rPr>
                <w:rFonts w:ascii="Arial" w:cs="Arial" w:eastAsia="Arial" w:hAnsi="Arial"/>
                <w:sz w:val="18"/>
                <w:szCs w:val="18"/>
                <w:b w:val="1"/>
                <w:bCs w:val="1"/>
                <w:color w:val="auto"/>
              </w:rPr>
              <w:t>10017</w:t>
            </w:r>
          </w:p>
        </w:tc>
      </w:tr>
      <w:tr>
        <w:trPr>
          <w:trHeight w:val="174"/>
        </w:trPr>
        <w:tc>
          <w:tcPr>
            <w:tcW w:w="6640" w:type="dxa"/>
            <w:vAlign w:val="bottom"/>
          </w:tcPr>
          <w:p>
            <w:pPr>
              <w:jc w:val="center"/>
              <w:ind w:right="2862"/>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1500" w:type="dxa"/>
            <w:vAlign w:val="bottom"/>
          </w:tcPr>
          <w:p>
            <w:pPr>
              <w:jc w:val="center"/>
              <w:ind w:left="364"/>
              <w:spacing w:after="0"/>
              <w:rPr>
                <w:sz w:val="20"/>
                <w:szCs w:val="20"/>
                <w:color w:val="auto"/>
              </w:rPr>
            </w:pPr>
            <w:r>
              <w:rPr>
                <w:rFonts w:ascii="Arial" w:cs="Arial" w:eastAsia="Arial" w:hAnsi="Arial"/>
                <w:sz w:val="14"/>
                <w:szCs w:val="14"/>
                <w:b w:val="1"/>
                <w:bCs w:val="1"/>
                <w:color w:val="auto"/>
                <w:w w:val="86"/>
              </w:rPr>
              <w:t>(Zip code)</w:t>
            </w:r>
          </w:p>
        </w:tc>
      </w:tr>
      <w:tr>
        <w:trPr>
          <w:trHeight w:val="352"/>
        </w:trPr>
        <w:tc>
          <w:tcPr>
            <w:tcW w:w="6640" w:type="dxa"/>
            <w:vAlign w:val="bottom"/>
          </w:tcPr>
          <w:p>
            <w:pPr>
              <w:jc w:val="right"/>
              <w:ind w:right="1342"/>
              <w:spacing w:after="0"/>
              <w:rPr>
                <w:sz w:val="20"/>
                <w:szCs w:val="20"/>
                <w:color w:val="auto"/>
              </w:rPr>
            </w:pPr>
            <w:r>
              <w:rPr>
                <w:rFonts w:ascii="Arial" w:cs="Arial" w:eastAsia="Arial" w:hAnsi="Arial"/>
                <w:sz w:val="18"/>
                <w:szCs w:val="18"/>
                <w:b w:val="1"/>
                <w:bCs w:val="1"/>
                <w:color w:val="auto"/>
              </w:rPr>
              <w:t>(212) 277-7100</w:t>
            </w:r>
          </w:p>
        </w:tc>
        <w:tc>
          <w:tcPr>
            <w:tcW w:w="1500" w:type="dxa"/>
            <w:vAlign w:val="bottom"/>
          </w:tcPr>
          <w:p>
            <w:pPr>
              <w:spacing w:after="0"/>
              <w:rPr>
                <w:sz w:val="24"/>
                <w:szCs w:val="24"/>
                <w:color w:val="auto"/>
              </w:rPr>
            </w:pPr>
          </w:p>
        </w:tc>
      </w:tr>
      <w:tr>
        <w:trPr>
          <w:trHeight w:val="174"/>
        </w:trPr>
        <w:tc>
          <w:tcPr>
            <w:tcW w:w="6640" w:type="dxa"/>
            <w:vAlign w:val="bottom"/>
          </w:tcPr>
          <w:p>
            <w:pPr>
              <w:jc w:val="center"/>
              <w:ind w:left="2622"/>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50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ind w:right="22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60" w:firstLine="456"/>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60"/>
          </w:cols>
          <w:pgMar w:left="240" w:top="422" w:right="299" w:bottom="1440" w:gutter="0" w:footer="0" w:header="0"/>
        </w:sectPr>
      </w:pPr>
    </w:p>
    <w:p>
      <w:pPr>
        <w:spacing w:after="0" w:line="33" w:lineRule="exact"/>
        <w:rPr>
          <w:sz w:val="24"/>
          <w:szCs w:val="24"/>
          <w:color w:val="auto"/>
        </w:rPr>
      </w:pPr>
    </w:p>
    <w:p>
      <w:pPr>
        <w:ind w:left="920"/>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184" w:lineRule="exact"/>
        <w:rPr>
          <w:sz w:val="24"/>
          <w:szCs w:val="24"/>
          <w:color w:val="auto"/>
        </w:rPr>
      </w:pPr>
    </w:p>
    <w:p>
      <w:pPr>
        <w:sectPr>
          <w:pgSz w:w="11900" w:h="16838" w:orient="portrait"/>
          <w:cols w:equalWidth="0" w:num="4">
            <w:col w:w="2500" w:space="460"/>
            <w:col w:w="4240" w:space="720"/>
            <w:col w:w="1680" w:space="720"/>
            <w:col w:w="1040"/>
          </w:cols>
          <w:pgMar w:left="240" w:top="422" w:right="299" w:bottom="1440" w:gutter="0" w:footer="0" w:header="0"/>
          <w:type w:val="continuous"/>
        </w:sectPr>
      </w:pPr>
    </w:p>
    <w:p>
      <w:pPr>
        <w:spacing w:after="0" w:line="32" w:lineRule="exact"/>
        <w:rPr>
          <w:sz w:val="24"/>
          <w:szCs w:val="24"/>
          <w:color w:val="auto"/>
        </w:rPr>
      </w:pPr>
    </w:p>
    <w:p>
      <w:pPr>
        <w:ind w:left="92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38" w:lineRule="exact"/>
        <w:rPr>
          <w:sz w:val="24"/>
          <w:szCs w:val="24"/>
          <w:color w:val="auto"/>
        </w:rPr>
      </w:pPr>
    </w:p>
    <w:p>
      <w:pPr>
        <w:sectPr>
          <w:pgSz w:w="11900" w:h="16838" w:orient="portrait"/>
          <w:cols w:equalWidth="0" w:num="5">
            <w:col w:w="2420" w:space="540"/>
            <w:col w:w="140" w:space="100"/>
            <w:col w:w="4000" w:space="720"/>
            <w:col w:w="1920" w:space="480"/>
            <w:col w:w="1040"/>
          </w:cols>
          <w:pgMar w:left="240" w:top="422" w:right="299" w:bottom="1440" w:gutter="0" w:footer="0" w:header="0"/>
          <w:type w:val="continuous"/>
        </w:sectPr>
      </w:pPr>
    </w:p>
    <w:p>
      <w:pPr>
        <w:ind w:left="460"/>
        <w:spacing w:after="0" w:line="207" w:lineRule="exact"/>
        <w:tabs>
          <w:tab w:leader="none" w:pos="8580" w:val="left"/>
          <w:tab w:leader="none" w:pos="92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4" w:lineRule="exact"/>
        <w:rPr>
          <w:sz w:val="24"/>
          <w:szCs w:val="24"/>
          <w:color w:val="auto"/>
        </w:rPr>
      </w:pPr>
    </w:p>
    <w:p>
      <w:pPr>
        <w:ind w:right="120" w:firstLine="456"/>
        <w:spacing w:after="0" w:line="268" w:lineRule="auto"/>
        <w:rPr>
          <w:sz w:val="20"/>
          <w:szCs w:val="20"/>
          <w:color w:val="auto"/>
        </w:rPr>
      </w:pPr>
      <w:r>
        <w:rPr>
          <w:rFonts w:ascii="Arial" w:cs="Arial" w:eastAsia="Arial" w:hAnsi="Arial"/>
          <w:sz w:val="18"/>
          <w:szCs w:val="18"/>
          <w:color w:val="auto"/>
        </w:rPr>
        <w:t>As of October 31, 2012, there were 32,146,397 shares of the registrant’s common stock outstanding (excluding 336,262 shares held in treasury and 9,907 shares of restricted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422" w:right="299" w:bottom="1440" w:gutter="0" w:footer="0" w:header="0"/>
          <w:type w:val="continuous"/>
        </w:sectPr>
      </w:pPr>
    </w:p>
    <w:bookmarkStart w:id="1" w:name="page2"/>
    <w:bookmarkEnd w:id="1"/>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15" w:lineRule="exact"/>
        <w:rPr>
          <w:sz w:val="20"/>
          <w:szCs w:val="20"/>
          <w:color w:val="auto"/>
        </w:rPr>
      </w:pPr>
    </w:p>
    <w:p>
      <w:pPr>
        <w:ind w:left="10980"/>
        <w:spacing w:after="0"/>
        <w:rPr>
          <w:sz w:val="20"/>
          <w:szCs w:val="20"/>
          <w:color w:val="auto"/>
        </w:rPr>
      </w:pPr>
      <w:r>
        <w:rPr>
          <w:rFonts w:ascii="Arial" w:cs="Arial" w:eastAsia="Arial" w:hAnsi="Arial"/>
          <w:sz w:val="12"/>
          <w:szCs w:val="12"/>
          <w:u w:val="single" w:color="auto"/>
          <w:color w:val="auto"/>
        </w:rPr>
        <w:t>PAGE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w:t>
      </w:r>
    </w:p>
    <w:p>
      <w:pPr>
        <w:spacing w:after="0" w:line="117" w:lineRule="exact"/>
        <w:rPr>
          <w:sz w:val="20"/>
          <w:szCs w:val="20"/>
          <w:color w:val="auto"/>
        </w:rPr>
      </w:pPr>
    </w:p>
    <w:tbl>
      <w:tblPr>
        <w:tblLayout w:type="fixed"/>
        <w:tblInd w:w="660" w:type="dxa"/>
        <w:tblCellMar>
          <w:top w:w="0" w:type="dxa"/>
          <w:left w:w="0" w:type="dxa"/>
          <w:bottom w:w="0" w:type="dxa"/>
          <w:right w:w="0" w:type="dxa"/>
        </w:tblCellMar>
      </w:tblPr>
      <w:tr>
        <w:trPr>
          <w:trHeight w:val="222"/>
        </w:trPr>
        <w:tc>
          <w:tcPr>
            <w:tcW w:w="6700" w:type="dxa"/>
            <w:vAlign w:val="bottom"/>
          </w:tcPr>
          <w:p>
            <w:pPr>
              <w:spacing w:after="0"/>
              <w:rPr>
                <w:sz w:val="20"/>
                <w:szCs w:val="20"/>
                <w:color w:val="auto"/>
              </w:rPr>
            </w:pPr>
            <w:r>
              <w:rPr>
                <w:rFonts w:ascii="Arial" w:cs="Arial" w:eastAsia="Arial" w:hAnsi="Arial"/>
                <w:sz w:val="18"/>
                <w:szCs w:val="18"/>
                <w:color w:val="auto"/>
              </w:rPr>
              <w:t>PART I. FINANCIAL INFORMATION</w:t>
            </w:r>
          </w:p>
        </w:tc>
        <w:tc>
          <w:tcPr>
            <w:tcW w:w="3960" w:type="dxa"/>
            <w:vAlign w:val="bottom"/>
          </w:tcPr>
          <w:p>
            <w:pPr>
              <w:jc w:val="right"/>
              <w:spacing w:after="0"/>
              <w:rPr>
                <w:sz w:val="20"/>
                <w:szCs w:val="20"/>
                <w:color w:val="auto"/>
              </w:rPr>
            </w:pPr>
            <w:r>
              <w:rPr>
                <w:rFonts w:ascii="Arial" w:cs="Arial" w:eastAsia="Arial" w:hAnsi="Arial"/>
                <w:sz w:val="18"/>
                <w:szCs w:val="18"/>
                <w:color w:val="auto"/>
              </w:rPr>
              <w:t>3</w:t>
            </w:r>
          </w:p>
        </w:tc>
      </w:tr>
    </w:tbl>
    <w:p>
      <w:pPr>
        <w:spacing w:after="0" w:line="102"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STATEMENTS</w:t>
      </w:r>
    </w:p>
    <w:tbl>
      <w:tblPr>
        <w:tblLayout w:type="fixed"/>
        <w:tblInd w:w="0" w:type="dxa"/>
        <w:tblCellMar>
          <w:top w:w="0" w:type="dxa"/>
          <w:left w:w="0" w:type="dxa"/>
          <w:bottom w:w="0" w:type="dxa"/>
          <w:right w:w="0" w:type="dxa"/>
        </w:tblCellMar>
      </w:tblPr>
      <w:tr>
        <w:trPr>
          <w:trHeight w:val="193"/>
        </w:trPr>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40" w:type="dxa"/>
            <w:vAlign w:val="bottom"/>
            <w:gridSpan w:val="19"/>
          </w:tcPr>
          <w:p>
            <w:pPr>
              <w:spacing w:after="0" w:line="193"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as of September 30, 2012 (Unaudited) and December 31, 2011</w:t>
              </w:r>
            </w:hyperlink>
          </w:p>
        </w:tc>
        <w:tc>
          <w:tcPr>
            <w:tcW w:w="400" w:type="dxa"/>
            <w:vAlign w:val="bottom"/>
          </w:tcPr>
          <w:p>
            <w:pPr>
              <w:jc w:val="right"/>
              <w:spacing w:after="0" w:line="193" w:lineRule="exact"/>
              <w:rPr>
                <w:sz w:val="20"/>
                <w:szCs w:val="20"/>
                <w:color w:val="auto"/>
              </w:rPr>
            </w:pPr>
            <w:r>
              <w:rPr>
                <w:rFonts w:ascii="Arial" w:cs="Arial" w:eastAsia="Arial" w:hAnsi="Arial"/>
                <w:sz w:val="18"/>
                <w:szCs w:val="18"/>
                <w:color w:val="auto"/>
              </w:rPr>
              <w:t>3</w:t>
            </w:r>
          </w:p>
        </w:tc>
      </w:tr>
      <w:tr>
        <w:trPr>
          <w:trHeight w:val="20"/>
        </w:trPr>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40" w:type="dxa"/>
            <w:vAlign w:val="bottom"/>
            <w:gridSpan w:val="19"/>
          </w:tcPr>
          <w:p>
            <w:pPr>
              <w:spacing w:after="0" w:line="196"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Consolidated Statements of Income (Unaudited) for the Three Months Ended and Nine Months Ended September 30, 2012 and 2011</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40" w:type="dxa"/>
            <w:vAlign w:val="bottom"/>
            <w:gridSpan w:val="19"/>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Consolidated Statements of Comprehensive Income/(Loss) (Unaudited) for the Three Months Ended and Nine Months Ended September</w:t>
              </w:r>
            </w:hyperlink>
          </w:p>
        </w:tc>
        <w:tc>
          <w:tcPr>
            <w:tcW w:w="40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940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30, 2012 and 2011</w:t>
              </w:r>
            </w:hyperlink>
          </w:p>
        </w:tc>
        <w:tc>
          <w:tcPr>
            <w:tcW w:w="22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40" w:type="dxa"/>
            <w:vAlign w:val="bottom"/>
            <w:gridSpan w:val="19"/>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(Unaudited) for the Nine Months Ended September 30, 2012 and 2011</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9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Consolidated Financial Statements (Unaudited)</w:t>
              </w:r>
            </w:hyperlink>
          </w:p>
        </w:tc>
        <w:tc>
          <w:tcPr>
            <w:tcW w:w="3860" w:type="dxa"/>
            <w:vAlign w:val="bottom"/>
            <w:tcBorders>
              <w:top w:val="single" w:sz="8" w:color="0000EE"/>
            </w:tcBorders>
            <w:gridSpan w:val="3"/>
          </w:tcPr>
          <w:p>
            <w:pPr>
              <w:spacing w:after="0"/>
              <w:rPr>
                <w:sz w:val="17"/>
                <w:szCs w:val="17"/>
                <w:color w:val="auto"/>
              </w:rPr>
            </w:pPr>
          </w:p>
        </w:tc>
        <w:tc>
          <w:tcPr>
            <w:tcW w:w="2000" w:type="dxa"/>
            <w:vAlign w:val="bottom"/>
            <w:gridSpan w:val="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2.</w:t>
            </w:r>
          </w:p>
        </w:tc>
        <w:tc>
          <w:tcPr>
            <w:tcW w:w="630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24">
              <w:r>
                <w:rPr>
                  <w:rFonts w:ascii="Arial" w:cs="Arial" w:eastAsia="Arial" w:hAnsi="Arial"/>
                  <w:sz w:val="18"/>
                  <w:szCs w:val="18"/>
                  <w:color w:val="0000EE"/>
                  <w:w w:val="88"/>
                </w:rPr>
                <w:t>Management’s Discussion and Analysis of Financial Condition and Results of Operations</w:t>
              </w:r>
            </w:hyperlink>
          </w:p>
        </w:tc>
        <w:tc>
          <w:tcPr>
            <w:tcW w:w="3960" w:type="dxa"/>
            <w:vAlign w:val="bottom"/>
            <w:gridSpan w:val="5"/>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3.</w:t>
            </w:r>
          </w:p>
        </w:tc>
        <w:tc>
          <w:tcPr>
            <w:tcW w:w="42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Quantitative and Qualitative Disclosures About Market Risk</w:t>
              </w:r>
            </w:hyperlink>
          </w:p>
        </w:tc>
        <w:tc>
          <w:tcPr>
            <w:tcW w:w="6000" w:type="dxa"/>
            <w:vAlign w:val="bottom"/>
            <w:gridSpan w:val="7"/>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4.</w:t>
            </w:r>
          </w:p>
        </w:tc>
        <w:tc>
          <w:tcPr>
            <w:tcW w:w="1740" w:type="dxa"/>
            <w:vAlign w:val="bottom"/>
            <w:tcBorders>
              <w:bottom w:val="single" w:sz="8" w:color="0000EE"/>
            </w:tcBorders>
            <w:gridSpan w:val="9"/>
          </w:tcPr>
          <w:p>
            <w:pPr>
              <w:spacing w:after="0"/>
              <w:rPr>
                <w:rFonts w:ascii="Arial" w:cs="Arial" w:eastAsia="Arial" w:hAnsi="Arial"/>
                <w:sz w:val="18"/>
                <w:szCs w:val="18"/>
                <w:color w:val="0000EE"/>
                <w:w w:val="86"/>
              </w:rPr>
            </w:pPr>
            <w:hyperlink w:anchor="page35">
              <w:r>
                <w:rPr>
                  <w:rFonts w:ascii="Arial" w:cs="Arial" w:eastAsia="Arial" w:hAnsi="Arial"/>
                  <w:sz w:val="18"/>
                  <w:szCs w:val="18"/>
                  <w:color w:val="0000EE"/>
                  <w:w w:val="86"/>
                </w:rPr>
                <w:t>Controls and Procedures</w:t>
              </w:r>
            </w:hyperlink>
          </w:p>
        </w:tc>
        <w:tc>
          <w:tcPr>
            <w:tcW w:w="8520" w:type="dxa"/>
            <w:vAlign w:val="bottom"/>
            <w:gridSpan w:val="12"/>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04"/>
        </w:trPr>
        <w:tc>
          <w:tcPr>
            <w:tcW w:w="660" w:type="dxa"/>
            <w:vAlign w:val="bottom"/>
          </w:tcPr>
          <w:p>
            <w:pPr>
              <w:spacing w:after="0"/>
              <w:rPr>
                <w:sz w:val="24"/>
                <w:szCs w:val="24"/>
                <w:color w:val="auto"/>
              </w:rPr>
            </w:pPr>
          </w:p>
        </w:tc>
        <w:tc>
          <w:tcPr>
            <w:tcW w:w="10260" w:type="dxa"/>
            <w:vAlign w:val="bottom"/>
            <w:gridSpan w:val="21"/>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PART II. OTHER INFORMATION</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1.</w:t>
            </w:r>
          </w:p>
        </w:tc>
        <w:tc>
          <w:tcPr>
            <w:tcW w:w="13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5"/>
              </w:rPr>
            </w:pPr>
            <w:hyperlink w:anchor="page36">
              <w:r>
                <w:rPr>
                  <w:rFonts w:ascii="Arial" w:cs="Arial" w:eastAsia="Arial" w:hAnsi="Arial"/>
                  <w:sz w:val="18"/>
                  <w:szCs w:val="18"/>
                  <w:color w:val="0000EE"/>
                  <w:w w:val="85"/>
                </w:rPr>
                <w:t>Legal Proceedings</w:t>
              </w:r>
            </w:hyperlink>
          </w:p>
        </w:tc>
        <w:tc>
          <w:tcPr>
            <w:tcW w:w="1200" w:type="dxa"/>
            <w:vAlign w:val="bottom"/>
            <w:tcBorders>
              <w:top w:val="single" w:sz="8" w:color="0000EE"/>
            </w:tcBorders>
            <w:gridSpan w:val="5"/>
          </w:tcPr>
          <w:p>
            <w:pPr>
              <w:spacing w:after="0"/>
              <w:rPr>
                <w:sz w:val="24"/>
                <w:szCs w:val="24"/>
                <w:color w:val="auto"/>
              </w:rPr>
            </w:pPr>
          </w:p>
        </w:tc>
        <w:tc>
          <w:tcPr>
            <w:tcW w:w="7760" w:type="dxa"/>
            <w:vAlign w:val="bottom"/>
            <w:gridSpan w:val="9"/>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1A.</w:t>
            </w:r>
          </w:p>
        </w:tc>
        <w:tc>
          <w:tcPr>
            <w:tcW w:w="880" w:type="dxa"/>
            <w:vAlign w:val="bottom"/>
            <w:tcBorders>
              <w:bottom w:val="single" w:sz="8" w:color="0000EE"/>
            </w:tcBorders>
            <w:gridSpan w:val="5"/>
          </w:tcPr>
          <w:p>
            <w:pPr>
              <w:spacing w:after="0"/>
              <w:rPr>
                <w:rFonts w:ascii="Arial" w:cs="Arial" w:eastAsia="Arial" w:hAnsi="Arial"/>
                <w:sz w:val="18"/>
                <w:szCs w:val="18"/>
                <w:color w:val="0000EE"/>
                <w:w w:val="85"/>
              </w:rPr>
            </w:pPr>
            <w:hyperlink w:anchor="page36">
              <w:r>
                <w:rPr>
                  <w:rFonts w:ascii="Arial" w:cs="Arial" w:eastAsia="Arial" w:hAnsi="Arial"/>
                  <w:sz w:val="18"/>
                  <w:szCs w:val="18"/>
                  <w:color w:val="0000EE"/>
                  <w:w w:val="85"/>
                </w:rPr>
                <w:t>Risk Factors</w:t>
              </w:r>
            </w:hyperlink>
          </w:p>
        </w:tc>
        <w:tc>
          <w:tcPr>
            <w:tcW w:w="9380" w:type="dxa"/>
            <w:vAlign w:val="bottom"/>
            <w:gridSpan w:val="16"/>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2.</w:t>
            </w:r>
          </w:p>
        </w:tc>
        <w:tc>
          <w:tcPr>
            <w:tcW w:w="4240" w:type="dxa"/>
            <w:vAlign w:val="bottom"/>
            <w:tcBorders>
              <w:bottom w:val="single" w:sz="8" w:color="0000EE"/>
            </w:tcBorders>
            <w:gridSpan w:val="13"/>
          </w:tcPr>
          <w:p>
            <w:pPr>
              <w:spacing w:after="0"/>
              <w:rPr>
                <w:rFonts w:ascii="Arial" w:cs="Arial" w:eastAsia="Arial" w:hAnsi="Arial"/>
                <w:sz w:val="18"/>
                <w:szCs w:val="18"/>
                <w:color w:val="0000EE"/>
                <w:w w:val="86"/>
              </w:rPr>
            </w:pPr>
            <w:hyperlink w:anchor="page36">
              <w:r>
                <w:rPr>
                  <w:rFonts w:ascii="Arial" w:cs="Arial" w:eastAsia="Arial" w:hAnsi="Arial"/>
                  <w:sz w:val="18"/>
                  <w:szCs w:val="18"/>
                  <w:color w:val="0000EE"/>
                  <w:w w:val="86"/>
                </w:rPr>
                <w:t>Unregistered Sales of Equity Securities and Use of Proceeds</w:t>
              </w:r>
            </w:hyperlink>
          </w:p>
        </w:tc>
        <w:tc>
          <w:tcPr>
            <w:tcW w:w="6020" w:type="dxa"/>
            <w:vAlign w:val="bottom"/>
            <w:gridSpan w:val="8"/>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3.</w:t>
            </w:r>
          </w:p>
        </w:tc>
        <w:tc>
          <w:tcPr>
            <w:tcW w:w="10260" w:type="dxa"/>
            <w:vAlign w:val="bottom"/>
            <w:gridSpan w:val="21"/>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Defaults Upon Senior Securities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4.</w:t>
            </w:r>
          </w:p>
        </w:tc>
        <w:tc>
          <w:tcPr>
            <w:tcW w:w="2260" w:type="dxa"/>
            <w:vAlign w:val="bottom"/>
            <w:tcBorders>
              <w:top w:val="single" w:sz="8" w:color="0000EE"/>
            </w:tcBorders>
            <w:gridSpan w:val="11"/>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Mine Safety Disclosures</w:t>
              </w:r>
            </w:hyperlink>
          </w:p>
        </w:tc>
        <w:tc>
          <w:tcPr>
            <w:tcW w:w="8000" w:type="dxa"/>
            <w:vAlign w:val="bottom"/>
            <w:gridSpan w:val="10"/>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5.</w:t>
            </w:r>
          </w:p>
        </w:tc>
        <w:tc>
          <w:tcPr>
            <w:tcW w:w="12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Other Information</w:t>
              </w:r>
            </w:hyperlink>
          </w:p>
        </w:tc>
        <w:tc>
          <w:tcPr>
            <w:tcW w:w="440" w:type="dxa"/>
            <w:vAlign w:val="bottom"/>
            <w:tcBorders>
              <w:top w:val="single" w:sz="8" w:color="0000EE"/>
            </w:tcBorders>
            <w:gridSpan w:val="2"/>
          </w:tcPr>
          <w:p>
            <w:pPr>
              <w:spacing w:after="0"/>
              <w:rPr>
                <w:sz w:val="24"/>
                <w:szCs w:val="24"/>
                <w:color w:val="auto"/>
              </w:rPr>
            </w:pPr>
          </w:p>
        </w:tc>
        <w:tc>
          <w:tcPr>
            <w:tcW w:w="8540" w:type="dxa"/>
            <w:vAlign w:val="bottom"/>
            <w:gridSpan w:val="13"/>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6.</w:t>
            </w:r>
          </w:p>
        </w:tc>
        <w:tc>
          <w:tcPr>
            <w:tcW w:w="10260" w:type="dxa"/>
            <w:vAlign w:val="bottom"/>
            <w:gridSpan w:val="21"/>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Exhibits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6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9680" w:type="dxa"/>
            <w:vAlign w:val="bottom"/>
            <w:gridSpan w:val="18"/>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04"/>
        </w:trPr>
        <w:tc>
          <w:tcPr>
            <w:tcW w:w="10920" w:type="dxa"/>
            <w:vAlign w:val="bottom"/>
            <w:gridSpan w:val="22"/>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Signatures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83"/>
        </w:trPr>
        <w:tc>
          <w:tcPr>
            <w:tcW w:w="6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220" w:type="dxa"/>
            <w:vAlign w:val="bottom"/>
            <w:gridSpan w:val="15"/>
          </w:tcPr>
          <w:p>
            <w:pPr>
              <w:jc w:val="right"/>
              <w:ind w:right="1200"/>
              <w:spacing w:after="0"/>
              <w:rPr>
                <w:sz w:val="20"/>
                <w:szCs w:val="20"/>
                <w:color w:val="auto"/>
              </w:rPr>
            </w:pPr>
            <w:r>
              <w:rPr>
                <w:rFonts w:ascii="Arial" w:cs="Arial" w:eastAsia="Arial" w:hAnsi="Arial"/>
                <w:sz w:val="18"/>
                <w:szCs w:val="18"/>
                <w:color w:val="auto"/>
              </w:rPr>
              <w:t>2</w:t>
            </w:r>
          </w:p>
        </w:tc>
        <w:tc>
          <w:tcPr>
            <w:tcW w:w="6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ectPr>
          <w:pgSz w:w="11900" w:h="16838" w:orient="portrait"/>
          <w:cols w:equalWidth="0" w:num="1">
            <w:col w:w="11320"/>
          </w:cols>
          <w:pgMar w:left="240" w:top="274" w:right="339" w:bottom="1440" w:gutter="0" w:footer="0" w:header="0"/>
        </w:sectPr>
      </w:pPr>
    </w:p>
    <w:bookmarkStart w:id="2" w:name="page3"/>
    <w:bookmarkEnd w:id="2"/>
    <w:p>
      <w:pPr>
        <w:ind w:left="4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171"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2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9140" w:type="dxa"/>
            <w:vAlign w:val="bottom"/>
          </w:tcPr>
          <w:p>
            <w:pPr>
              <w:spacing w:after="0"/>
              <w:rPr>
                <w:sz w:val="12"/>
                <w:szCs w:val="12"/>
                <w:color w:val="auto"/>
              </w:rPr>
            </w:pPr>
          </w:p>
        </w:tc>
        <w:tc>
          <w:tcPr>
            <w:tcW w:w="8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(Unaudited)</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8"/>
              </w:rPr>
              <w:t>118,579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82,393</w:t>
            </w: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6,814</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7,869</w:t>
            </w: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934</w:t>
            </w: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65,649</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55,672</w:t>
            </w: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4,269</w:t>
            </w: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Deferred tax assets, net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7,100</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6,228</w:t>
            </w: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Advance income tax, net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3,379</w:t>
            </w:r>
          </w:p>
        </w:tc>
      </w:tr>
      <w:tr>
        <w:trPr>
          <w:trHeight w:val="223"/>
        </w:trPr>
        <w:tc>
          <w:tcPr>
            <w:tcW w:w="20" w:type="dxa"/>
            <w:vAlign w:val="bottom"/>
          </w:tcPr>
          <w:p>
            <w:pPr>
              <w:spacing w:after="0"/>
              <w:rPr>
                <w:sz w:val="19"/>
                <w:szCs w:val="19"/>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10,832</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213,551</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166,841</w:t>
            </w:r>
          </w:p>
        </w:tc>
        <w:tc>
          <w:tcPr>
            <w:tcW w:w="100" w:type="dxa"/>
            <w:vAlign w:val="bottom"/>
            <w:shd w:val="clear" w:color="auto" w:fill="CCEEFF"/>
          </w:tcPr>
          <w:p>
            <w:pPr>
              <w:spacing w:after="0"/>
              <w:rPr>
                <w:sz w:val="18"/>
                <w:szCs w:val="18"/>
                <w:color w:val="auto"/>
              </w:rPr>
            </w:pPr>
          </w:p>
        </w:tc>
      </w:tr>
      <w:tr>
        <w:trPr>
          <w:trHeight w:val="221"/>
        </w:trPr>
        <w:tc>
          <w:tcPr>
            <w:tcW w:w="9160" w:type="dxa"/>
            <w:vAlign w:val="bottom"/>
            <w:gridSpan w:val="2"/>
          </w:tcPr>
          <w:p>
            <w:pPr>
              <w:spacing w:after="0"/>
              <w:rPr>
                <w:sz w:val="20"/>
                <w:szCs w:val="20"/>
                <w:color w:val="auto"/>
              </w:rPr>
            </w:pPr>
            <w:r>
              <w:rPr>
                <w:rFonts w:ascii="Arial" w:cs="Arial" w:eastAsia="Arial" w:hAnsi="Arial"/>
                <w:sz w:val="18"/>
                <w:szCs w:val="18"/>
                <w:color w:val="auto"/>
              </w:rPr>
              <w:t>Fixed assets, net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41,154</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42,320</w:t>
            </w:r>
          </w:p>
        </w:tc>
      </w:tr>
      <w:tr>
        <w:trPr>
          <w:trHeight w:val="218"/>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3,824</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3,387</w:t>
            </w: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10,042</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16,495</w:t>
            </w: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32,247</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36,313</w:t>
            </w: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92,886</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92,287</w:t>
            </w: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21,963</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19,768</w:t>
            </w:r>
          </w:p>
        </w:tc>
        <w:tc>
          <w:tcPr>
            <w:tcW w:w="100" w:type="dxa"/>
            <w:vAlign w:val="bottom"/>
            <w:shd w:val="clear" w:color="auto" w:fill="CCEEFF"/>
          </w:tcPr>
          <w:p>
            <w:pPr>
              <w:spacing w:after="0"/>
              <w:rPr>
                <w:sz w:val="18"/>
                <w:szCs w:val="18"/>
                <w:color w:val="auto"/>
              </w:rPr>
            </w:pPr>
          </w:p>
        </w:tc>
      </w:tr>
      <w:tr>
        <w:trPr>
          <w:trHeight w:val="222"/>
        </w:trPr>
        <w:tc>
          <w:tcPr>
            <w:tcW w:w="91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415,667</w:t>
            </w:r>
          </w:p>
        </w:tc>
        <w:tc>
          <w:tcPr>
            <w:tcW w:w="5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377,411</w:t>
            </w: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4,333</w:t>
            </w: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4,670</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7,772</w:t>
            </w: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employee cost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27,400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27,700</w:t>
            </w: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26,681</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30,700</w:t>
            </w: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capital lease obligations</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1,741</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1,729</w:t>
            </w:r>
          </w:p>
        </w:tc>
        <w:tc>
          <w:tcPr>
            <w:tcW w:w="100" w:type="dxa"/>
            <w:vAlign w:val="bottom"/>
            <w:shd w:val="clear" w:color="auto" w:fill="CCEEFF"/>
          </w:tcPr>
          <w:p>
            <w:pPr>
              <w:spacing w:after="0"/>
              <w:rPr>
                <w:sz w:val="18"/>
                <w:szCs w:val="18"/>
                <w:color w:val="auto"/>
              </w:rPr>
            </w:pPr>
          </w:p>
        </w:tc>
      </w:tr>
      <w:tr>
        <w:trPr>
          <w:trHeight w:val="230"/>
        </w:trPr>
        <w:tc>
          <w:tcPr>
            <w:tcW w:w="916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63,204</w:t>
            </w:r>
          </w:p>
        </w:tc>
        <w:tc>
          <w:tcPr>
            <w:tcW w:w="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72,234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less current portion</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3,152</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4,244</w:t>
            </w:r>
          </w:p>
        </w:tc>
      </w:tr>
      <w:tr>
        <w:trPr>
          <w:trHeight w:val="223"/>
        </w:trPr>
        <w:tc>
          <w:tcPr>
            <w:tcW w:w="20" w:type="dxa"/>
            <w:vAlign w:val="bottom"/>
          </w:tcPr>
          <w:p>
            <w:pPr>
              <w:spacing w:after="0"/>
              <w:rPr>
                <w:sz w:val="19"/>
                <w:szCs w:val="19"/>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14,339</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22,458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80,695</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98,936</w:t>
            </w:r>
          </w:p>
        </w:tc>
      </w:tr>
      <w:tr>
        <w:trPr>
          <w:trHeight w:val="221"/>
        </w:trPr>
        <w:tc>
          <w:tcPr>
            <w:tcW w:w="916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$0.001 par value; 15,000,000 shares authorized, none issued</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Common stock, $0.001 par value; 100,000,000 shares authorized, 32,450,559 shares issued and 32,114,297 shares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6"/>
              </w:rPr>
              <w:t>outstanding as of September 30, 2012 and 31,496,461 shares issued and 31,173,064 shares outstanding as of</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9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December 31, 2011.</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Additional paid-in-capital</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190,155</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173,926</w:t>
            </w: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176,719</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147,046</w:t>
            </w:r>
          </w:p>
        </w:tc>
      </w:tr>
      <w:tr>
        <w:trPr>
          <w:trHeight w:val="223"/>
        </w:trPr>
        <w:tc>
          <w:tcPr>
            <w:tcW w:w="20" w:type="dxa"/>
            <w:vAlign w:val="bottom"/>
          </w:tcPr>
          <w:p>
            <w:pPr>
              <w:spacing w:after="0"/>
              <w:rPr>
                <w:sz w:val="19"/>
                <w:szCs w:val="19"/>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(28,934)</w:t>
            </w: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(39,858)</w:t>
            </w: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 including shares held in treasury</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337,972</w:t>
            </w:r>
          </w:p>
        </w:tc>
        <w:tc>
          <w:tcPr>
            <w:tcW w:w="5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281,145</w:t>
            </w:r>
          </w:p>
        </w:tc>
        <w:tc>
          <w:tcPr>
            <w:tcW w:w="100" w:type="dxa"/>
            <w:vAlign w:val="bottom"/>
            <w:shd w:val="clear" w:color="auto" w:fill="CCEEFF"/>
          </w:tcPr>
          <w:p>
            <w:pPr>
              <w:spacing w:after="0"/>
              <w:rPr>
                <w:sz w:val="18"/>
                <w:szCs w:val="18"/>
                <w:color w:val="auto"/>
              </w:rPr>
            </w:pPr>
          </w:p>
        </w:tc>
      </w:tr>
      <w:tr>
        <w:trPr>
          <w:trHeight w:val="230"/>
        </w:trPr>
        <w:tc>
          <w:tcPr>
            <w:tcW w:w="9160" w:type="dxa"/>
            <w:vAlign w:val="bottom"/>
            <w:gridSpan w:val="2"/>
          </w:tcPr>
          <w:p>
            <w:pPr>
              <w:spacing w:after="0"/>
              <w:rPr>
                <w:sz w:val="20"/>
                <w:szCs w:val="20"/>
                <w:color w:val="auto"/>
              </w:rPr>
            </w:pPr>
            <w:r>
              <w:rPr>
                <w:rFonts w:ascii="Arial" w:cs="Arial" w:eastAsia="Arial" w:hAnsi="Arial"/>
                <w:sz w:val="18"/>
                <w:szCs w:val="18"/>
                <w:color w:val="auto"/>
                <w:w w:val="96"/>
              </w:rPr>
              <w:t>Less: 336,262 shares as of September 30, 2012 and 323,397 shares as of December 31, 2011, held in treasury, at cost</w:t>
            </w:r>
          </w:p>
        </w:tc>
        <w:tc>
          <w:tcPr>
            <w:tcW w:w="16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(3,024)</w:t>
            </w:r>
          </w:p>
        </w:tc>
        <w:tc>
          <w:tcPr>
            <w:tcW w:w="16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(2,693)</w:t>
            </w: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ExlService Holdings, Inc. stockholders’ equity</w:t>
            </w: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334,948</w:t>
            </w:r>
          </w:p>
        </w:tc>
        <w:tc>
          <w:tcPr>
            <w:tcW w:w="5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278,452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334,972</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278,475</w:t>
            </w:r>
          </w:p>
        </w:tc>
        <w:tc>
          <w:tcPr>
            <w:tcW w:w="100" w:type="dxa"/>
            <w:vAlign w:val="bottom"/>
            <w:shd w:val="clear" w:color="auto" w:fill="CCEEFF"/>
          </w:tcPr>
          <w:p>
            <w:pPr>
              <w:spacing w:after="0"/>
              <w:rPr>
                <w:sz w:val="18"/>
                <w:szCs w:val="18"/>
                <w:color w:val="auto"/>
              </w:rPr>
            </w:pPr>
          </w:p>
        </w:tc>
      </w:tr>
      <w:tr>
        <w:trPr>
          <w:trHeight w:val="222"/>
        </w:trPr>
        <w:tc>
          <w:tcPr>
            <w:tcW w:w="916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415,667</w:t>
            </w:r>
          </w:p>
        </w:tc>
        <w:tc>
          <w:tcPr>
            <w:tcW w:w="5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377,411</w:t>
            </w: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 w:name="page4"/>
    <w:bookmarkEnd w:id="3"/>
    <w:p>
      <w:pPr>
        <w:ind w:left="4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171"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CONSOLIDATED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5"/>
          </w:tcPr>
          <w:p>
            <w:pPr>
              <w:jc w:val="right"/>
              <w:ind w:right="93"/>
              <w:spacing w:after="0"/>
              <w:rPr>
                <w:sz w:val="20"/>
                <w:szCs w:val="20"/>
                <w:color w:val="auto"/>
              </w:rPr>
            </w:pPr>
            <w:r>
              <w:rPr>
                <w:rFonts w:ascii="Arial" w:cs="Arial" w:eastAsia="Arial" w:hAnsi="Arial"/>
                <w:sz w:val="14"/>
                <w:szCs w:val="14"/>
                <w:b w:val="1"/>
                <w:bCs w:val="1"/>
                <w:color w:val="auto"/>
                <w:w w:val="86"/>
              </w:rPr>
              <w:t>Three months ended September 30,</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6"/>
          </w:tcPr>
          <w:p>
            <w:pPr>
              <w:ind w:left="60"/>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112,639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100,026</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325,277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68,650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61,755</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201,367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43,989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38,271</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123,910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1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13,777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13,253</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40,982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420"/>
              <w:spacing w:after="0"/>
              <w:rPr>
                <w:sz w:val="20"/>
                <w:szCs w:val="20"/>
                <w:color w:val="auto"/>
              </w:rPr>
            </w:pPr>
            <w:r>
              <w:rPr>
                <w:rFonts w:ascii="Arial" w:cs="Arial" w:eastAsia="Arial" w:hAnsi="Arial"/>
                <w:sz w:val="18"/>
                <w:szCs w:val="18"/>
                <w:color w:val="auto"/>
              </w:rPr>
              <w:t>Selling and marketing expenses</w:t>
            </w:r>
          </w:p>
        </w:tc>
        <w:tc>
          <w:tcPr>
            <w:tcW w:w="1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7,009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6,915</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22,502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18,894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6,443</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18,732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27,119</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26,611</w:t>
            </w:r>
          </w:p>
        </w:tc>
        <w:tc>
          <w:tcPr>
            <w:tcW w:w="4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82,216</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16,870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41,694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Other income, net:</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(loss)/gain</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(2,367)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ind w:left="420"/>
              <w:spacing w:after="0"/>
              <w:rPr>
                <w:sz w:val="20"/>
                <w:szCs w:val="20"/>
                <w:color w:val="auto"/>
              </w:rPr>
            </w:pPr>
            <w:r>
              <w:rPr>
                <w:rFonts w:ascii="Arial" w:cs="Arial" w:eastAsia="Arial" w:hAnsi="Arial"/>
                <w:sz w:val="18"/>
                <w:szCs w:val="18"/>
                <w:color w:val="auto"/>
              </w:rPr>
              <w:t>Interest and other income, net</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16,032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12,529</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40,648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Income tax provision</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4,138</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11,703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29,673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0.36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0.93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420"/>
              <w:spacing w:after="0"/>
              <w:rPr>
                <w:sz w:val="20"/>
                <w:szCs w:val="20"/>
                <w:color w:val="auto"/>
              </w:rPr>
            </w:pPr>
            <w:r>
              <w:rPr>
                <w:rFonts w:ascii="Arial" w:cs="Arial" w:eastAsia="Arial" w:hAnsi="Arial"/>
                <w:sz w:val="18"/>
                <w:szCs w:val="18"/>
                <w:color w:val="auto"/>
              </w:rPr>
              <w:t>Diluted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0.35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0.27</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0.90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used in computing earnings per share:</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42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32,154,001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30,293,114</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31,857,909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29,926,846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33,283,854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31,586,936</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33,055,857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31,131,513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 w:name="page5"/>
    <w:bookmarkEnd w:id="4"/>
    <w:p>
      <w:pPr>
        <w:ind w:left="4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171"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CONSOLIDATED STATEMENTS OF COMPREHENSIVE INCOME/(LOSS)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20" w:type="dxa"/>
            <w:vAlign w:val="bottom"/>
            <w:gridSpan w:val="7"/>
          </w:tcPr>
          <w:p>
            <w:pPr>
              <w:jc w:val="right"/>
              <w:ind w:right="240"/>
              <w:spacing w:after="0"/>
              <w:rPr>
                <w:sz w:val="20"/>
                <w:szCs w:val="20"/>
                <w:color w:val="auto"/>
              </w:rPr>
            </w:pPr>
            <w:r>
              <w:rPr>
                <w:rFonts w:ascii="Arial" w:cs="Arial" w:eastAsia="Arial" w:hAnsi="Arial"/>
                <w:sz w:val="14"/>
                <w:szCs w:val="14"/>
                <w:b w:val="1"/>
                <w:bCs w:val="1"/>
                <w:color w:val="auto"/>
                <w:w w:val="86"/>
              </w:rPr>
              <w:t>Three months ended September 30,</w:t>
            </w:r>
          </w:p>
        </w:tc>
        <w:tc>
          <w:tcPr>
            <w:tcW w:w="100" w:type="dxa"/>
            <w:vAlign w:val="bottom"/>
          </w:tcPr>
          <w:p>
            <w:pPr>
              <w:spacing w:after="0"/>
              <w:rPr>
                <w:sz w:val="14"/>
                <w:szCs w:val="14"/>
                <w:color w:val="auto"/>
              </w:rPr>
            </w:pPr>
          </w:p>
        </w:tc>
        <w:tc>
          <w:tcPr>
            <w:tcW w:w="2180" w:type="dxa"/>
            <w:vAlign w:val="bottom"/>
            <w:gridSpan w:val="7"/>
          </w:tcPr>
          <w:p>
            <w:pPr>
              <w:jc w:val="right"/>
              <w:ind w:right="160"/>
              <w:spacing w:after="0"/>
              <w:rPr>
                <w:sz w:val="20"/>
                <w:szCs w:val="20"/>
                <w:color w:val="auto"/>
              </w:rPr>
            </w:pPr>
            <w:r>
              <w:rPr>
                <w:rFonts w:ascii="Arial" w:cs="Arial" w:eastAsia="Arial" w:hAnsi="Arial"/>
                <w:sz w:val="14"/>
                <w:szCs w:val="14"/>
                <w:b w:val="1"/>
                <w:bCs w:val="1"/>
                <w:color w:val="auto"/>
                <w:w w:val="87"/>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29,673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420"/>
              <w:spacing w:after="0"/>
              <w:rPr>
                <w:sz w:val="20"/>
                <w:szCs w:val="20"/>
                <w:color w:val="auto"/>
              </w:rPr>
            </w:pPr>
            <w:r>
              <w:rPr>
                <w:rFonts w:ascii="Arial" w:cs="Arial" w:eastAsia="Arial" w:hAnsi="Arial"/>
                <w:sz w:val="18"/>
                <w:szCs w:val="18"/>
                <w:color w:val="auto"/>
              </w:rPr>
              <w:t>Other comprehensive income:</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Unrealized gain/(loss) on effective cash flow hedges, net of taxes</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9,070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(6,491)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9,270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860"/>
              <w:spacing w:after="0"/>
              <w:rPr>
                <w:sz w:val="20"/>
                <w:szCs w:val="20"/>
                <w:color w:val="auto"/>
              </w:rPr>
            </w:pPr>
            <w:r>
              <w:rPr>
                <w:rFonts w:ascii="Arial" w:cs="Arial" w:eastAsia="Arial" w:hAnsi="Arial"/>
                <w:sz w:val="18"/>
                <w:szCs w:val="18"/>
                <w:color w:val="auto"/>
              </w:rPr>
              <w:t>Foreign currency translation adjustment</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8,034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(12,441)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1,571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(11,457)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Retirement benefits, net of taxes</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vMerge w:val="restart"/>
          </w:tcPr>
          <w:p>
            <w:pPr>
              <w:ind w:left="420"/>
              <w:spacing w:after="0"/>
              <w:rPr>
                <w:sz w:val="20"/>
                <w:szCs w:val="20"/>
                <w:color w:val="auto"/>
              </w:rPr>
            </w:pPr>
            <w:r>
              <w:rPr>
                <w:rFonts w:ascii="Arial" w:cs="Arial" w:eastAsia="Arial" w:hAnsi="Arial"/>
                <w:sz w:val="18"/>
                <w:szCs w:val="18"/>
                <w:color w:val="auto"/>
              </w:rPr>
              <w:t>Total other comprehensive income/(loss)</w:t>
            </w:r>
          </w:p>
        </w:tc>
        <w:tc>
          <w:tcPr>
            <w:tcW w:w="6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120" w:type="dxa"/>
            <w:vAlign w:val="bottom"/>
            <w:vMerge w:val="continue"/>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17,129</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(18,922)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10,924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(17,659)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income/(loss)</w:t>
            </w:r>
          </w:p>
        </w:tc>
        <w:tc>
          <w:tcPr>
            <w:tcW w:w="8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28,832</w:t>
            </w:r>
          </w:p>
        </w:tc>
        <w:tc>
          <w:tcPr>
            <w:tcW w:w="4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(10,531)</w:t>
            </w:r>
          </w:p>
        </w:tc>
        <w:tc>
          <w:tcPr>
            <w:tcW w:w="28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40,597</w:t>
            </w:r>
          </w:p>
        </w:tc>
        <w:tc>
          <w:tcPr>
            <w:tcW w:w="38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 w:name="page6"/>
    <w:bookmarkEnd w:id="5"/>
    <w:p>
      <w:pPr>
        <w:ind w:left="4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171"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CONSOLIDATED STATEMENTS OF CASH FLOW</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86"/>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6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Net income</w:t>
            </w: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29,673</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25,226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18,732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16,405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 expense</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7,329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Amortization of deferred financing cost</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114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Non-employee stock options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Unrealized foreign exchange loss/(gain)</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555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2,058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Non-controlling interest</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Change in operating assets and liabilities: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(122)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(9,709)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(4,717)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(3,117)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employee cost</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Accrued expenses and other liabilities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(447)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Advance income tax, net</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2,775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1,857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4,989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43,356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40,508</w:t>
            </w:r>
          </w:p>
        </w:tc>
        <w:tc>
          <w:tcPr>
            <w:tcW w:w="0" w:type="dxa"/>
            <w:vAlign w:val="bottom"/>
          </w:tcPr>
          <w:p>
            <w:pPr>
              <w:spacing w:after="0"/>
              <w:rPr>
                <w:sz w:val="1"/>
                <w:szCs w:val="1"/>
                <w:color w:val="auto"/>
              </w:rPr>
            </w:pPr>
          </w:p>
        </w:tc>
      </w:tr>
      <w:tr>
        <w:trPr>
          <w:trHeight w:val="221"/>
        </w:trPr>
        <w:tc>
          <w:tcPr>
            <w:tcW w:w="738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Purchase of fixed assets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(17,008)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Business acquisition (net of cash acquired)</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(81,173)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Purchase of short-term investments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(9,678)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Proceeds from redemption of short-term investments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10,690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investing activities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(15,996)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(100,739)</w:t>
            </w:r>
          </w:p>
        </w:tc>
        <w:tc>
          <w:tcPr>
            <w:tcW w:w="0" w:type="dxa"/>
            <w:vAlign w:val="bottom"/>
          </w:tcPr>
          <w:p>
            <w:pPr>
              <w:spacing w:after="0"/>
              <w:rPr>
                <w:sz w:val="1"/>
                <w:szCs w:val="1"/>
                <w:color w:val="auto"/>
              </w:rPr>
            </w:pPr>
          </w:p>
        </w:tc>
      </w:tr>
      <w:tr>
        <w:trPr>
          <w:trHeight w:val="221"/>
        </w:trPr>
        <w:tc>
          <w:tcPr>
            <w:tcW w:w="73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on capital lease obligations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Proceeds from short-term borrowings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Repayments of short-term borrowings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Payment of debt issuance costs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treasury stock</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8,869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 from public offering</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Direct costs incurred in relation to public offering</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7,278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24,001</w:t>
            </w:r>
          </w:p>
        </w:tc>
        <w:tc>
          <w:tcPr>
            <w:tcW w:w="0" w:type="dxa"/>
            <w:vAlign w:val="bottom"/>
          </w:tcPr>
          <w:p>
            <w:pPr>
              <w:spacing w:after="0"/>
              <w:rPr>
                <w:sz w:val="1"/>
                <w:szCs w:val="1"/>
                <w:color w:val="auto"/>
              </w:rPr>
            </w:pPr>
          </w:p>
        </w:tc>
      </w:tr>
      <w:tr>
        <w:trPr>
          <w:trHeight w:val="20"/>
        </w:trPr>
        <w:tc>
          <w:tcPr>
            <w:tcW w:w="7380" w:type="dxa"/>
            <w:vAlign w:val="bottom"/>
            <w:gridSpan w:val="2"/>
            <w:vMerge w:val="restart"/>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80" w:type="dxa"/>
            <w:vAlign w:val="bottom"/>
            <w:gridSpan w:val="2"/>
            <w:vMerge w:val="continue"/>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1,548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(2,076)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Net increase/(decrease) in cash and cash equivalents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36,186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82,393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111,182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118,579</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72,876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6" w:name="page7"/>
    <w:bookmarkEnd w:id="6"/>
    <w:p>
      <w:pPr>
        <w:ind w:left="4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171"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2012</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9" w:lineRule="exact"/>
        <w:rPr>
          <w:sz w:val="20"/>
          <w:szCs w:val="20"/>
          <w:color w:val="auto"/>
        </w:rPr>
      </w:pPr>
    </w:p>
    <w:p>
      <w:pPr>
        <w:ind w:left="240" w:right="8280" w:hanging="232"/>
        <w:spacing w:after="0" w:line="347" w:lineRule="auto"/>
        <w:tabs>
          <w:tab w:leader="none" w:pos="187"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b w:val="1"/>
          <w:bCs w:val="1"/>
          <w:i w:val="1"/>
          <w:iCs w:val="1"/>
          <w:color w:val="auto"/>
        </w:rPr>
        <w:t>Organization</w:t>
      </w:r>
    </w:p>
    <w:p>
      <w:pPr>
        <w:spacing w:after="0" w:line="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ExlService Holdings, Inc. (“ExlService Holdings”) is organized as a corporation under the laws of the State of Delaware. ExlService Holdings, together with its subsidiaries (collectively, the “Company”), is a leading provider of outsourcing services and transformation services. The Company’s clients are located principally in the United States and the United Kingdom.</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unaudited interim consolidated financial statements have been prepared in accordance with U.S. generally accepted accounting principles (“GAAP”) for interim financial information, the instructions to Form 10-Q and Article 10 of Regulation S-X. Accordingly, they do not include all of the information and footnotes required by GAAP for annual financial statements and therefore should be read in conjunction with the audited consolidated financial statements and footnotes thereto included in the Company’s Annual Report on Form 10-K for the fiscal year ended December 31, 2011.</w:t>
      </w:r>
    </w:p>
    <w:p>
      <w:pPr>
        <w:spacing w:after="0" w:line="11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unaudited interim consolidated financial statements reflect all adjustments (of a normal and recurring nature) that management considers necessary for a fair presentation of such statements for the interim periods presented. The unaudited consolidated statements of income for the interim periods presented are not necessarily indicative of the results for the full year or for any subsequent period.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accompanying unaudited consolidated financial statements include the financial statements of ExlService Holdings and all of its subsidiaries. All intercompany balances and transactions have been eliminated in consolidation.</w:t>
      </w:r>
    </w:p>
    <w:p>
      <w:pPr>
        <w:spacing w:after="0" w:line="13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non-controlling interest represents the minority partner’s interest in the operation of exl Service.com (India) Private Limited (“Exl India”) and the profits associated with the minority partner’s interest in those operations, in the unaudited consolidated balance sheet and unaudited consolidated statement of income, respectively. This non-controlling interest in these operations for the three and nine months ended September 30, 2012 and 2011 was insignificant and is included under general and administrative expenses in the unaudited consolidated statements of income.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preparation of the unaudited consolidated financial statements in conformity with GAAP requires management to make estimates and assumptions that affect the reported amounts of assets and liabilities and disclosure of contingent assets and liabilities at the date of the unaudited consolidated financial statements and the unaudited consolidated statements of income during the reporting period. Estimates are based upon management’s best assessment of the current business environment. Actual results could differ from those estimates. The significant estimates and assumptions that affect the financial statements include, but are not limited to, allowance for doubtful receivables, service tax receivables, assets and obligations related to employee benefit plans, deferred tax valuation allowances, income-tax uncertainties and other contingencies, valuation of derivative financial instruments, stock-based compensation expense, depreciation and amortization periods, recoverability of long-term assets including goodwill and intangibles and estimates to complete fixed price contracts.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7" w:name="page8"/>
    <w:bookmarkEnd w:id="7"/>
    <w:p>
      <w:pPr>
        <w:ind w:left="4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171"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May 2011, the Financial Accounting Standards Board (“FASB”) issued update No. 2011-04, “</w:t>
      </w:r>
      <w:r>
        <w:rPr>
          <w:rFonts w:ascii="Arial" w:cs="Arial" w:eastAsia="Arial" w:hAnsi="Arial"/>
          <w:sz w:val="16"/>
          <w:szCs w:val="16"/>
          <w:i w:val="1"/>
          <w:iCs w:val="1"/>
          <w:color w:val="auto"/>
        </w:rPr>
        <w:t>Amendments to Achieve Common Fair Value Measurement</w:t>
      </w:r>
      <w:r>
        <w:rPr>
          <w:rFonts w:ascii="Arial" w:cs="Arial" w:eastAsia="Arial" w:hAnsi="Arial"/>
          <w:sz w:val="16"/>
          <w:szCs w:val="16"/>
          <w:color w:val="auto"/>
        </w:rPr>
        <w:t xml:space="preserve"> </w:t>
      </w:r>
      <w:r>
        <w:rPr>
          <w:rFonts w:ascii="Arial" w:cs="Arial" w:eastAsia="Arial" w:hAnsi="Arial"/>
          <w:sz w:val="16"/>
          <w:szCs w:val="16"/>
          <w:i w:val="1"/>
          <w:iCs w:val="1"/>
          <w:color w:val="auto"/>
        </w:rPr>
        <w:t>and Disclosure Requirements in U.S. GAAP and IFRS</w:t>
      </w:r>
      <w:r>
        <w:rPr>
          <w:rFonts w:ascii="Arial" w:cs="Arial" w:eastAsia="Arial" w:hAnsi="Arial"/>
          <w:sz w:val="16"/>
          <w:szCs w:val="16"/>
          <w:color w:val="auto"/>
        </w:rPr>
        <w:t>” (ASU No. 2011-04). ASU No. 2011-04 is intended to improve the comparability of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measurements presented and disclosed in financial statements prepared in accordance with GAAP and International Financial Reporting Standards (“IFRS”). ASU No. 2011-04 explains how to measure fair value and does not require additional measurements. Accordingly, the adoption of this accounting pronouncement from January 1, 2012 did not have an impact on the Company’s unaudited consolidated financial statements.</w:t>
      </w:r>
    </w:p>
    <w:p>
      <w:pPr>
        <w:spacing w:after="0" w:line="116" w:lineRule="exact"/>
        <w:rPr>
          <w:sz w:val="20"/>
          <w:szCs w:val="20"/>
          <w:color w:val="auto"/>
        </w:rPr>
      </w:pPr>
    </w:p>
    <w:p>
      <w:pPr>
        <w:ind w:right="760" w:firstLine="456"/>
        <w:spacing w:after="0" w:line="294" w:lineRule="auto"/>
        <w:rPr>
          <w:sz w:val="20"/>
          <w:szCs w:val="20"/>
          <w:color w:val="auto"/>
        </w:rPr>
      </w:pPr>
      <w:r>
        <w:rPr>
          <w:rFonts w:ascii="Arial" w:cs="Arial" w:eastAsia="Arial" w:hAnsi="Arial"/>
          <w:sz w:val="16"/>
          <w:szCs w:val="16"/>
          <w:color w:val="auto"/>
        </w:rPr>
        <w:t>In June 2011, the FASB issued update No. 2011-05, “</w:t>
      </w:r>
      <w:r>
        <w:rPr>
          <w:rFonts w:ascii="Arial" w:cs="Arial" w:eastAsia="Arial" w:hAnsi="Arial"/>
          <w:sz w:val="16"/>
          <w:szCs w:val="16"/>
          <w:i w:val="1"/>
          <w:iCs w:val="1"/>
          <w:color w:val="auto"/>
        </w:rPr>
        <w:t>Presentation of Comprehensive Income</w:t>
      </w:r>
      <w:r>
        <w:rPr>
          <w:rFonts w:ascii="Arial" w:cs="Arial" w:eastAsia="Arial" w:hAnsi="Arial"/>
          <w:sz w:val="16"/>
          <w:szCs w:val="16"/>
          <w:color w:val="auto"/>
        </w:rPr>
        <w:t>” (ASU No. 2011-05). ASU No. 2011-05, effective retrospectively for the interim and annual periods beginning on or after December 15, 2011 (early adoption is permitted), requires presentation of total comprehensive income, the components of net income, and the components of other comprehensive income either in a single continuous statement of comprehensive income or in two separate but consecutive statements. The Company adopted the option of presentation in two separate but consecutive statements. Refer to the Company’s unaudited consolidated statements of comprehensive income/(loss) for further details.</w:t>
      </w:r>
    </w:p>
    <w:p>
      <w:pPr>
        <w:spacing w:after="0" w:line="11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In December 2011, the FASB issued update No. 2011-12, </w:t>
      </w:r>
      <w:r>
        <w:rPr>
          <w:rFonts w:ascii="Arial" w:cs="Arial" w:eastAsia="Arial" w:hAnsi="Arial"/>
          <w:sz w:val="18"/>
          <w:szCs w:val="18"/>
          <w:i w:val="1"/>
          <w:iCs w:val="1"/>
          <w:color w:val="auto"/>
        </w:rPr>
        <w:t>“Deferral of the Effective Date for Amendments to the Presentation of Reclassifications of Items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Out of Accumulated Other Comprehensive Income in Accounting Standards” </w:t>
      </w:r>
      <w:r>
        <w:rPr>
          <w:rFonts w:ascii="Arial" w:cs="Arial" w:eastAsia="Arial" w:hAnsi="Arial"/>
          <w:sz w:val="18"/>
          <w:szCs w:val="18"/>
          <w:color w:val="auto"/>
        </w:rPr>
        <w:t>(ASU No. 2011-12), which deferred the requirement to present on the face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the effects of reclassifications out of accumulated other comprehensive income on the components of net income and other comprehensive income for annual and interim financial statements. The adoption of this accounting pronouncement from January 1, 2012 did not have any impact on the Company’s unaudited consolidated financial statements.</w:t>
      </w:r>
    </w:p>
    <w:p>
      <w:pPr>
        <w:spacing w:after="0" w:line="14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September 2011, the FASB issued update No. 2011-08, “</w:t>
      </w:r>
      <w:r>
        <w:rPr>
          <w:rFonts w:ascii="Arial" w:cs="Arial" w:eastAsia="Arial" w:hAnsi="Arial"/>
          <w:sz w:val="16"/>
          <w:szCs w:val="16"/>
          <w:i w:val="1"/>
          <w:iCs w:val="1"/>
          <w:color w:val="auto"/>
        </w:rPr>
        <w:t>Testing Goodwill for Impairment</w:t>
      </w:r>
      <w:r>
        <w:rPr>
          <w:rFonts w:ascii="Arial" w:cs="Arial" w:eastAsia="Arial" w:hAnsi="Arial"/>
          <w:sz w:val="16"/>
          <w:szCs w:val="16"/>
          <w:color w:val="auto"/>
        </w:rPr>
        <w:t>” (ASU No. 2011-08), which permits an entity to first perform a qualitative assessment to determine whether it is more likely than not that the fair value of a reporting unit is less than its carrying value. If an entity concludes that the fair value of a reporting unit is less than its carrying value, it is necessary to perform a two-step goodwill impairment test. ASU No. 2011-08 became effective for annual and interim goodwill impairment tests performed for fiscal years beginning after December 15, 2011. The adoption of this accounting pronouncement did not have a material impact on the Company’s unaudited consolidated financial statements and the Company does not expect this to have a material impact on its annual goodwill impairment assessment in the fourth quarter of fiscal 2012.</w:t>
      </w:r>
    </w:p>
    <w:p>
      <w:pPr>
        <w:spacing w:after="0" w:line="12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July 2012, the FASB issued update No. 2012-02, “</w:t>
      </w:r>
      <w:r>
        <w:rPr>
          <w:rFonts w:ascii="Arial" w:cs="Arial" w:eastAsia="Arial" w:hAnsi="Arial"/>
          <w:sz w:val="16"/>
          <w:szCs w:val="16"/>
          <w:i w:val="1"/>
          <w:iCs w:val="1"/>
          <w:color w:val="auto"/>
        </w:rPr>
        <w:t>Testing Indefinite-Lived Intangible Assets for Impairment</w:t>
      </w:r>
      <w:r>
        <w:rPr>
          <w:rFonts w:ascii="Arial" w:cs="Arial" w:eastAsia="Arial" w:hAnsi="Arial"/>
          <w:sz w:val="16"/>
          <w:szCs w:val="16"/>
          <w:color w:val="auto"/>
        </w:rPr>
        <w:t>” (ASU No. 2012-02), which simplifies the guidance for testing the impairment of indefinite-lived intangible assets other than goodwill. Examples of intangible assets subject to the guidance include indefinite-lived trademarks, licenses, and distribution rights. The amendment provides the option to first assess qualitative factors to determine whether it is necessary to perform the quantitative impairment test. Under the option, an entity is no longer required to calculate the fair value of an indefinite-lived intangible asset unless the entity determines, based on a qualitative assessment, that it is more likely than not that its fair value is less than its carrying amount. This amendment is effective for fiscal years beginning after September 15, 2012, with early adoption permitted. The Company does not expect the new guidance to have an impact on its 2013 impairment test results.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8" w:name="page9"/>
    <w:bookmarkEnd w:id="8"/>
    <w:p>
      <w:pPr>
        <w:ind w:left="4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171"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September 30, 2012</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195"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3"/>
              </w:rPr>
              <w:t>September 30,</w:t>
            </w:r>
          </w:p>
        </w:tc>
        <w:tc>
          <w:tcPr>
            <w:tcW w:w="1620" w:type="dxa"/>
            <w:vAlign w:val="bottom"/>
            <w:gridSpan w:val="4"/>
          </w:tcPr>
          <w:p>
            <w:pPr>
              <w:ind w:left="72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4"/>
                <w:szCs w:val="14"/>
                <w:color w:val="auto"/>
              </w:rPr>
            </w:pPr>
          </w:p>
        </w:tc>
        <w:tc>
          <w:tcPr>
            <w:tcW w:w="62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2012</w:t>
            </w:r>
          </w:p>
        </w:tc>
        <w:tc>
          <w:tcPr>
            <w:tcW w:w="7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expenses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17,569</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Derivative instruments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4,846</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4,266</w:t>
            </w:r>
          </w:p>
        </w:tc>
        <w:tc>
          <w:tcPr>
            <w:tcW w:w="7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380" w:type="dxa"/>
            <w:vAlign w:val="bottom"/>
            <w:gridSpan w:val="2"/>
          </w:tcPr>
          <w:p>
            <w:pPr>
              <w:ind w:left="114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26,681</w:t>
            </w:r>
          </w:p>
        </w:tc>
        <w:tc>
          <w:tcPr>
            <w:tcW w:w="9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30,700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Non-current liabilities</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3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380" w:type="dxa"/>
            <w:vAlign w:val="bottom"/>
            <w:gridSpan w:val="2"/>
          </w:tcPr>
          <w:p>
            <w:pPr>
              <w:ind w:left="220"/>
              <w:spacing w:after="0"/>
              <w:rPr>
                <w:sz w:val="20"/>
                <w:szCs w:val="20"/>
                <w:color w:val="auto"/>
              </w:rPr>
            </w:pPr>
            <w:r>
              <w:rPr>
                <w:rFonts w:ascii="Arial" w:cs="Arial" w:eastAsia="Arial" w:hAnsi="Arial"/>
                <w:sz w:val="18"/>
                <w:szCs w:val="18"/>
                <w:color w:val="auto"/>
              </w:rPr>
              <w:t>Non-current liabilities consist of the following:</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14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3"/>
              </w:rPr>
              <w:t>September 30,</w:t>
            </w:r>
          </w:p>
        </w:tc>
        <w:tc>
          <w:tcPr>
            <w:tcW w:w="1620" w:type="dxa"/>
            <w:vAlign w:val="bottom"/>
            <w:gridSpan w:val="4"/>
          </w:tcPr>
          <w:p>
            <w:pPr>
              <w:ind w:left="72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4"/>
                <w:szCs w:val="14"/>
                <w:color w:val="auto"/>
              </w:rPr>
            </w:pPr>
          </w:p>
        </w:tc>
        <w:tc>
          <w:tcPr>
            <w:tcW w:w="62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2012</w:t>
            </w:r>
          </w:p>
        </w:tc>
        <w:tc>
          <w:tcPr>
            <w:tcW w:w="7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Derivative instruments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3,642</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Unrecognized tax benefits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2,726</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4,310</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Retirement benefits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2,424</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7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380" w:type="dxa"/>
            <w:vAlign w:val="bottom"/>
            <w:gridSpan w:val="2"/>
          </w:tcPr>
          <w:p>
            <w:pPr>
              <w:ind w:left="1140"/>
              <w:spacing w:after="0"/>
              <w:rPr>
                <w:sz w:val="20"/>
                <w:szCs w:val="20"/>
                <w:color w:val="auto"/>
              </w:rPr>
            </w:pPr>
            <w:r>
              <w:rPr>
                <w:rFonts w:ascii="Arial" w:cs="Arial" w:eastAsia="Arial" w:hAnsi="Arial"/>
                <w:sz w:val="18"/>
                <w:szCs w:val="18"/>
                <w:color w:val="auto"/>
              </w:rPr>
              <w:t>Non-current liabilities</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14,339</w:t>
            </w:r>
          </w:p>
        </w:tc>
        <w:tc>
          <w:tcPr>
            <w:tcW w:w="9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22,458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Basic earnings per share is computed by dividing net income to common stockholders by the weighted average number of common shares outstanding during each period. Diluted earnings per share is computed using the weighted average number of common shares plus the potentially dilutive effect of common stock equivalents issued and outstanding at the reporting date, using the treasury stock method. Stock options, restricted stock and restricted stock units that are anti-dilutive are excluded from the computation of weighted average shares outstanding.</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2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w w:val="90"/>
              </w:rPr>
              <w:t>Three months ended September 30,</w:t>
            </w:r>
          </w:p>
        </w:tc>
        <w:tc>
          <w:tcPr>
            <w:tcW w:w="100" w:type="dxa"/>
            <w:vAlign w:val="bottom"/>
          </w:tcPr>
          <w:p>
            <w:pPr>
              <w:spacing w:after="0"/>
              <w:rPr>
                <w:sz w:val="14"/>
                <w:szCs w:val="14"/>
                <w:color w:val="auto"/>
              </w:rPr>
            </w:pPr>
          </w:p>
        </w:tc>
        <w:tc>
          <w:tcPr>
            <w:tcW w:w="2440" w:type="dxa"/>
            <w:vAlign w:val="bottom"/>
            <w:gridSpan w:val="6"/>
          </w:tcPr>
          <w:p>
            <w:pPr>
              <w:ind w:left="140"/>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161"/>
        </w:trPr>
        <w:tc>
          <w:tcPr>
            <w:tcW w:w="48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2012</w:t>
            </w:r>
          </w:p>
        </w:tc>
        <w:tc>
          <w:tcPr>
            <w:tcW w:w="6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2011</w:t>
            </w:r>
          </w:p>
        </w:tc>
        <w:tc>
          <w:tcPr>
            <w:tcW w:w="6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8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Numerators:</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11,703</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8,391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29,673</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25,226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440"/>
              <w:spacing w:after="0"/>
              <w:rPr>
                <w:sz w:val="20"/>
                <w:szCs w:val="20"/>
                <w:color w:val="auto"/>
              </w:rPr>
            </w:pPr>
            <w:r>
              <w:rPr>
                <w:rFonts w:ascii="Arial" w:cs="Arial" w:eastAsia="Arial" w:hAnsi="Arial"/>
                <w:sz w:val="18"/>
                <w:szCs w:val="18"/>
                <w:color w:val="auto"/>
              </w:rPr>
              <w:t>Basic weighted average common shares outstanding</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32,154,001</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w w:val="88"/>
              </w:rPr>
              <w:t>30,293,114</w:t>
            </w: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31,857,909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29,926,846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Dilutive effect of share based awards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1,129,853</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9"/>
              </w:rPr>
              <w:t>1,293,822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1,197,948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1,204,667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8"/>
                <w:szCs w:val="18"/>
                <w:color w:val="auto"/>
              </w:rPr>
              <w:t>Diluted weighted average common shares outstanding</w:t>
            </w: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33,283,854</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w w:val="88"/>
              </w:rPr>
              <w:t>31,586,936</w:t>
            </w:r>
          </w:p>
        </w:tc>
        <w:tc>
          <w:tcPr>
            <w:tcW w:w="10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33,055,857</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31,131,513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880"/>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0.36</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0.28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0.93</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0.27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0.90</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820" w:type="dxa"/>
            <w:vAlign w:val="bottom"/>
          </w:tcPr>
          <w:p>
            <w:pPr>
              <w:spacing w:after="0"/>
              <w:rPr>
                <w:sz w:val="20"/>
                <w:szCs w:val="20"/>
                <w:color w:val="auto"/>
              </w:rPr>
            </w:pPr>
            <w:r>
              <w:rPr>
                <w:rFonts w:ascii="Arial" w:cs="Arial" w:eastAsia="Arial" w:hAnsi="Arial"/>
                <w:sz w:val="18"/>
                <w:szCs w:val="18"/>
                <w:color w:val="auto"/>
                <w:w w:val="98"/>
              </w:rPr>
              <w:t>Weighted average common shares considered anti-dilutive in</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20" w:type="dxa"/>
            <w:vAlign w:val="bottom"/>
          </w:tcPr>
          <w:p>
            <w:pPr>
              <w:ind w:left="220"/>
              <w:spacing w:after="0"/>
              <w:rPr>
                <w:sz w:val="20"/>
                <w:szCs w:val="20"/>
                <w:color w:val="auto"/>
              </w:rPr>
            </w:pPr>
            <w:r>
              <w:rPr>
                <w:rFonts w:ascii="Arial" w:cs="Arial" w:eastAsia="Arial" w:hAnsi="Arial"/>
                <w:sz w:val="18"/>
                <w:szCs w:val="18"/>
                <w:color w:val="auto"/>
              </w:rPr>
              <w:t>computing diluted earnings per share</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412,873</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316,675</w:t>
            </w:r>
          </w:p>
        </w:tc>
        <w:tc>
          <w:tcPr>
            <w:tcW w:w="10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430,309</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458,113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4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ind w:right="376"/>
              <w:spacing w:after="0"/>
              <w:rPr>
                <w:sz w:val="20"/>
                <w:szCs w:val="20"/>
                <w:color w:val="auto"/>
              </w:rPr>
            </w:pPr>
            <w:r>
              <w:rPr>
                <w:rFonts w:ascii="Arial" w:cs="Arial" w:eastAsia="Arial" w:hAnsi="Arial"/>
                <w:sz w:val="18"/>
                <w:szCs w:val="18"/>
                <w:color w:val="auto"/>
              </w:rPr>
              <w:t>9</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274" w:right="379" w:bottom="1440" w:gutter="0" w:footer="0" w:header="0"/>
        </w:sectPr>
      </w:pPr>
    </w:p>
    <w:bookmarkStart w:id="9" w:name="page10"/>
    <w:bookmarkEnd w:id="9"/>
    <w:p>
      <w:pPr>
        <w:ind w:left="4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171"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Segment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is organized around its outsourcing services and transformation services segments.</w:t>
      </w:r>
    </w:p>
    <w:p>
      <w:pPr>
        <w:spacing w:after="0" w:line="171"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The chief operating decision maker generally reviews financial information at the consolidated statement of income level but does not review any information except for revenues and cost of revenues of the individual segments. Therefore, the Company does not allocate depreciation, amortization, other income, capital expenditures and income taxes to its operating segments. Consequently, it is not practical to show assets, capital expenditures, depreciation or amortization by segment.</w:t>
      </w:r>
    </w:p>
    <w:p>
      <w:pPr>
        <w:spacing w:after="0" w:line="143" w:lineRule="exact"/>
        <w:rPr>
          <w:sz w:val="20"/>
          <w:szCs w:val="20"/>
          <w:color w:val="auto"/>
        </w:rPr>
      </w:pPr>
    </w:p>
    <w:p>
      <w:pPr>
        <w:ind w:right="1040" w:firstLine="456"/>
        <w:spacing w:after="0" w:line="268" w:lineRule="auto"/>
        <w:rPr>
          <w:sz w:val="20"/>
          <w:szCs w:val="20"/>
          <w:color w:val="auto"/>
        </w:rPr>
      </w:pPr>
      <w:r>
        <w:rPr>
          <w:rFonts w:ascii="Arial" w:cs="Arial" w:eastAsia="Arial" w:hAnsi="Arial"/>
          <w:sz w:val="18"/>
          <w:szCs w:val="18"/>
          <w:color w:val="auto"/>
        </w:rPr>
        <w:t>Revenues and cost of revenues for each of the three months ended September 30, 2012 and 2011 for the Company’s outsourcing services and transformation services segments, respectively,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80" w:type="dxa"/>
            <w:vAlign w:val="bottom"/>
            <w:gridSpan w:val="9"/>
          </w:tcPr>
          <w:p>
            <w:pPr>
              <w:jc w:val="right"/>
              <w:ind w:right="460"/>
              <w:spacing w:after="0"/>
              <w:rPr>
                <w:sz w:val="20"/>
                <w:szCs w:val="20"/>
                <w:color w:val="auto"/>
              </w:rPr>
            </w:pPr>
            <w:r>
              <w:rPr>
                <w:rFonts w:ascii="Arial" w:cs="Arial" w:eastAsia="Arial" w:hAnsi="Arial"/>
                <w:sz w:val="14"/>
                <w:szCs w:val="14"/>
                <w:b w:val="1"/>
                <w:bCs w:val="1"/>
                <w:color w:val="auto"/>
                <w:w w:val="91"/>
              </w:rPr>
              <w:t>Three months ended September 30, 2012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00" w:type="dxa"/>
            <w:vAlign w:val="bottom"/>
            <w:gridSpan w:val="9"/>
          </w:tcPr>
          <w:p>
            <w:pPr>
              <w:ind w:left="180"/>
              <w:spacing w:after="0"/>
              <w:rPr>
                <w:sz w:val="20"/>
                <w:szCs w:val="20"/>
                <w:color w:val="auto"/>
              </w:rPr>
            </w:pPr>
            <w:r>
              <w:rPr>
                <w:rFonts w:ascii="Arial" w:cs="Arial" w:eastAsia="Arial" w:hAnsi="Arial"/>
                <w:sz w:val="14"/>
                <w:szCs w:val="14"/>
                <w:b w:val="1"/>
                <w:bCs w:val="1"/>
                <w:color w:val="auto"/>
                <w:w w:val="99"/>
              </w:rPr>
              <w:t>Three months ended September 30, 2011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80" w:type="dxa"/>
            <w:vAlign w:val="bottom"/>
            <w:tcBorders>
              <w:top w:val="single" w:sz="8" w:color="auto"/>
            </w:tcBorders>
            <w:gridSpan w:val="3"/>
          </w:tcPr>
          <w:p>
            <w:pPr>
              <w:jc w:val="right"/>
              <w:ind w:right="160"/>
              <w:spacing w:after="0" w:line="129" w:lineRule="exact"/>
              <w:rPr>
                <w:sz w:val="20"/>
                <w:szCs w:val="20"/>
                <w:color w:val="auto"/>
              </w:rPr>
            </w:pPr>
            <w:r>
              <w:rPr>
                <w:rFonts w:ascii="Arial" w:cs="Arial" w:eastAsia="Arial" w:hAnsi="Arial"/>
                <w:sz w:val="14"/>
                <w:szCs w:val="14"/>
                <w:b w:val="1"/>
                <w:bCs w:val="1"/>
                <w:color w:val="auto"/>
                <w:w w:val="84"/>
              </w:rPr>
              <w:t>Outsourcing</w:t>
            </w:r>
          </w:p>
        </w:tc>
        <w:tc>
          <w:tcPr>
            <w:tcW w:w="1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7"/>
              </w:rPr>
              <w:t>Transformation</w:t>
            </w:r>
          </w:p>
        </w:tc>
        <w:tc>
          <w:tcPr>
            <w:tcW w:w="3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Borders>
              <w:top w:val="single" w:sz="8" w:color="auto"/>
            </w:tcBorders>
            <w:gridSpan w:val="3"/>
          </w:tcPr>
          <w:p>
            <w:pPr>
              <w:jc w:val="right"/>
              <w:ind w:right="140"/>
              <w:spacing w:after="0" w:line="129" w:lineRule="exact"/>
              <w:rPr>
                <w:sz w:val="20"/>
                <w:szCs w:val="20"/>
                <w:color w:val="auto"/>
              </w:rPr>
            </w:pPr>
            <w:r>
              <w:rPr>
                <w:rFonts w:ascii="Arial" w:cs="Arial" w:eastAsia="Arial" w:hAnsi="Arial"/>
                <w:sz w:val="14"/>
                <w:szCs w:val="14"/>
                <w:b w:val="1"/>
                <w:bCs w:val="1"/>
                <w:color w:val="auto"/>
                <w:w w:val="86"/>
              </w:rPr>
              <w:t>Outsourcing</w:t>
            </w:r>
          </w:p>
        </w:tc>
        <w:tc>
          <w:tcPr>
            <w:tcW w:w="1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7"/>
              </w:rPr>
              <w:t>Transformation</w:t>
            </w:r>
          </w:p>
        </w:tc>
        <w:tc>
          <w:tcPr>
            <w:tcW w:w="3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3"/>
              </w:rPr>
              <w:t>Services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137"/>
              <w:spacing w:after="0"/>
              <w:rPr>
                <w:sz w:val="20"/>
                <w:szCs w:val="20"/>
                <w:color w:val="auto"/>
              </w:rPr>
            </w:pPr>
            <w:r>
              <w:rPr>
                <w:rFonts w:ascii="Arial" w:cs="Arial" w:eastAsia="Arial" w:hAnsi="Arial"/>
                <w:sz w:val="14"/>
                <w:szCs w:val="14"/>
                <w:b w:val="1"/>
                <w:bCs w:val="1"/>
                <w:color w:val="auto"/>
                <w:w w:val="90"/>
              </w:rPr>
              <w:t>Services</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Services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137"/>
              <w:spacing w:after="0"/>
              <w:rPr>
                <w:sz w:val="20"/>
                <w:szCs w:val="20"/>
                <w:color w:val="auto"/>
              </w:rPr>
            </w:pPr>
            <w:r>
              <w:rPr>
                <w:rFonts w:ascii="Arial" w:cs="Arial" w:eastAsia="Arial" w:hAnsi="Arial"/>
                <w:sz w:val="14"/>
                <w:szCs w:val="14"/>
                <w:b w:val="1"/>
                <w:bCs w:val="1"/>
                <w:color w:val="auto"/>
                <w:w w:val="90"/>
              </w:rPr>
              <w:t>Services</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91,984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20,655</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112,639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83,176</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16,850</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100,026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w w:val="96"/>
              </w:rPr>
              <w:t>Cost of revenues (exclusive of depreciation and amortization)</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55,658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12,992</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68,650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50,961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10,794</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61,755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36,326</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43,989</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32,215</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gridSpan w:val="2"/>
            <w:vMerge w:val="restart"/>
          </w:tcPr>
          <w:p>
            <w:pPr>
              <w:spacing w:after="0"/>
              <w:rPr>
                <w:sz w:val="20"/>
                <w:szCs w:val="20"/>
                <w:color w:val="auto"/>
              </w:rPr>
            </w:pPr>
            <w:r>
              <w:rPr>
                <w:rFonts w:ascii="Arial" w:cs="Arial" w:eastAsia="Arial" w:hAnsi="Arial"/>
                <w:sz w:val="18"/>
                <w:szCs w:val="18"/>
                <w:color w:val="auto"/>
              </w:rPr>
              <w:t>Operating expenses</w:t>
            </w: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76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27,119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26,611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Income tax provision</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Revenues and cost of revenues for each of the nine months ended September 30, 2012 and 2011 for the Company’s outsourcing services and transformation services segments, respectively,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3100" w:type="dxa"/>
            <w:vAlign w:val="bottom"/>
            <w:gridSpan w:val="8"/>
          </w:tcPr>
          <w:p>
            <w:pPr>
              <w:jc w:val="right"/>
              <w:ind w:right="500"/>
              <w:spacing w:after="0"/>
              <w:rPr>
                <w:sz w:val="20"/>
                <w:szCs w:val="20"/>
                <w:color w:val="auto"/>
              </w:rPr>
            </w:pPr>
            <w:r>
              <w:rPr>
                <w:rFonts w:ascii="Arial" w:cs="Arial" w:eastAsia="Arial" w:hAnsi="Arial"/>
                <w:sz w:val="14"/>
                <w:szCs w:val="14"/>
                <w:b w:val="1"/>
                <w:bCs w:val="1"/>
                <w:color w:val="auto"/>
                <w:w w:val="97"/>
              </w:rPr>
              <w:t>Nine months ended September 30, 2012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00" w:type="dxa"/>
            <w:vAlign w:val="bottom"/>
            <w:gridSpan w:val="9"/>
          </w:tcPr>
          <w:p>
            <w:pPr>
              <w:ind w:left="220"/>
              <w:spacing w:after="0"/>
              <w:rPr>
                <w:sz w:val="20"/>
                <w:szCs w:val="20"/>
                <w:color w:val="auto"/>
              </w:rPr>
            </w:pPr>
            <w:r>
              <w:rPr>
                <w:rFonts w:ascii="Arial" w:cs="Arial" w:eastAsia="Arial" w:hAnsi="Arial"/>
                <w:sz w:val="14"/>
                <w:szCs w:val="14"/>
                <w:b w:val="1"/>
                <w:bCs w:val="1"/>
                <w:color w:val="auto"/>
              </w:rPr>
              <w:t>Nine months ended September 30, 2011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7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4"/>
              </w:rPr>
              <w:t>Outsourcing</w:t>
            </w:r>
          </w:p>
        </w:tc>
        <w:tc>
          <w:tcPr>
            <w:tcW w:w="3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7"/>
              </w:rPr>
              <w:t>Transformation</w:t>
            </w:r>
          </w:p>
        </w:tc>
        <w:tc>
          <w:tcPr>
            <w:tcW w:w="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Outsourcing</w:t>
            </w:r>
          </w:p>
        </w:tc>
        <w:tc>
          <w:tcPr>
            <w:tcW w:w="1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7"/>
              </w:rPr>
              <w:t>Transformation</w:t>
            </w:r>
          </w:p>
        </w:tc>
        <w:tc>
          <w:tcPr>
            <w:tcW w:w="3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720" w:type="dxa"/>
            <w:vAlign w:val="bottom"/>
          </w:tcPr>
          <w:p>
            <w:pPr>
              <w:jc w:val="right"/>
              <w:ind w:right="41"/>
              <w:spacing w:after="0"/>
              <w:rPr>
                <w:sz w:val="20"/>
                <w:szCs w:val="20"/>
                <w:color w:val="auto"/>
              </w:rPr>
            </w:pPr>
            <w:r>
              <w:rPr>
                <w:rFonts w:ascii="Arial" w:cs="Arial" w:eastAsia="Arial" w:hAnsi="Arial"/>
                <w:sz w:val="14"/>
                <w:szCs w:val="14"/>
                <w:b w:val="1"/>
                <w:bCs w:val="1"/>
                <w:color w:val="auto"/>
              </w:rPr>
              <w:t>Services</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137"/>
              <w:spacing w:after="0"/>
              <w:rPr>
                <w:sz w:val="20"/>
                <w:szCs w:val="20"/>
                <w:color w:val="auto"/>
              </w:rPr>
            </w:pPr>
            <w:r>
              <w:rPr>
                <w:rFonts w:ascii="Arial" w:cs="Arial" w:eastAsia="Arial" w:hAnsi="Arial"/>
                <w:sz w:val="14"/>
                <w:szCs w:val="14"/>
                <w:b w:val="1"/>
                <w:bCs w:val="1"/>
                <w:color w:val="auto"/>
                <w:w w:val="90"/>
              </w:rPr>
              <w:t>Services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Services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137"/>
              <w:spacing w:after="0"/>
              <w:rPr>
                <w:sz w:val="20"/>
                <w:szCs w:val="20"/>
                <w:color w:val="auto"/>
              </w:rPr>
            </w:pPr>
            <w:r>
              <w:rPr>
                <w:rFonts w:ascii="Arial" w:cs="Arial" w:eastAsia="Arial" w:hAnsi="Arial"/>
                <w:sz w:val="14"/>
                <w:szCs w:val="14"/>
                <w:b w:val="1"/>
                <w:bCs w:val="1"/>
                <w:color w:val="auto"/>
                <w:w w:val="90"/>
              </w:rPr>
              <w:t>Services</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$ 270,640</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54,637</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325,277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208,751</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49,210</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257,961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166,637</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34,730</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201,367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126,532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31,439</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157,971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$ 104,003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123,910</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82,219</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Arial" w:cs="Arial" w:eastAsia="Arial" w:hAnsi="Arial"/>
                <w:sz w:val="18"/>
                <w:szCs w:val="18"/>
                <w:color w:val="auto"/>
              </w:rPr>
              <w:t>Operating expenses</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80" w:type="dxa"/>
            <w:vAlign w:val="bottom"/>
            <w:gridSpan w:val="2"/>
            <w:vMerge w:val="continue"/>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82,216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71,414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Income tax provision</w:t>
            </w: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29,673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720" w:type="dxa"/>
            <w:vAlign w:val="bottom"/>
            <w:vMerge w:val="restart"/>
          </w:tcPr>
          <w:p>
            <w:pPr>
              <w:jc w:val="right"/>
              <w:ind w:right="21"/>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7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0" w:name="page11"/>
    <w:bookmarkEnd w:id="10"/>
    <w:p>
      <w:pPr>
        <w:ind w:left="4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171"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September 30, 2012</w:t>
      </w:r>
    </w:p>
    <w:p>
      <w:pPr>
        <w:spacing w:after="0" w:line="9"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Business Combinations, Goodwill and Intangible Assets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October 1, 2011, the Company acquired Trumbull Services, LLC., a market leader in subrogation services for property and casualty insurance companies, from The Hartford Financial Services Group, Inc. (the “Trumbull Acquisition”).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details of the Company’s goodwill balance as of September 30, 2012:</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84"/>
              </w:rPr>
              <w:t>Outsourcing</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Transformation</w:t>
            </w: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3"/>
              </w:rPr>
              <w:t>Services</w:t>
            </w:r>
          </w:p>
        </w:tc>
        <w:tc>
          <w:tcPr>
            <w:tcW w:w="14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Services</w:t>
            </w:r>
          </w:p>
        </w:tc>
        <w:tc>
          <w:tcPr>
            <w:tcW w:w="30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6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at January 1, 2011</w:t>
            </w:r>
          </w:p>
        </w:tc>
        <w:tc>
          <w:tcPr>
            <w:tcW w:w="1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26,585</w:t>
            </w:r>
          </w:p>
        </w:tc>
        <w:tc>
          <w:tcPr>
            <w:tcW w:w="6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87"/>
              </w:rPr>
              <w:t>16,785</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$43,370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80" w:type="dxa"/>
            <w:vAlign w:val="bottom"/>
          </w:tcPr>
          <w:p>
            <w:pPr>
              <w:ind w:left="200"/>
              <w:spacing w:after="0"/>
              <w:rPr>
                <w:sz w:val="20"/>
                <w:szCs w:val="20"/>
                <w:color w:val="auto"/>
              </w:rPr>
            </w:pPr>
            <w:r>
              <w:rPr>
                <w:rFonts w:ascii="Arial" w:cs="Arial" w:eastAsia="Arial" w:hAnsi="Arial"/>
                <w:sz w:val="18"/>
                <w:szCs w:val="18"/>
                <w:color w:val="auto"/>
              </w:rPr>
              <w:t>Goodwill arising from OPI acquisition</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54,604</w:t>
            </w:r>
          </w:p>
        </w:tc>
        <w:tc>
          <w:tcPr>
            <w:tcW w:w="140" w:type="dxa"/>
            <w:vAlign w:val="bottom"/>
          </w:tcPr>
          <w:p>
            <w:pPr>
              <w:spacing w:after="0"/>
              <w:rPr>
                <w:sz w:val="18"/>
                <w:szCs w:val="18"/>
                <w:color w:val="auto"/>
              </w:rPr>
            </w:pPr>
          </w:p>
        </w:tc>
        <w:tc>
          <w:tcPr>
            <w:tcW w:w="10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54,604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Currency translation adjustments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(5,687)</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(5,687)</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20" w:type="dxa"/>
            <w:vAlign w:val="bottom"/>
            <w:gridSpan w:val="2"/>
            <w:vMerge w:val="restart"/>
          </w:tcPr>
          <w:p>
            <w:pPr>
              <w:spacing w:after="0"/>
              <w:rPr>
                <w:sz w:val="20"/>
                <w:szCs w:val="20"/>
                <w:color w:val="auto"/>
              </w:rPr>
            </w:pPr>
            <w:r>
              <w:rPr>
                <w:rFonts w:ascii="Arial" w:cs="Arial" w:eastAsia="Arial" w:hAnsi="Arial"/>
                <w:sz w:val="18"/>
                <w:szCs w:val="18"/>
                <w:color w:val="auto"/>
              </w:rPr>
              <w:t>Balance at December 31, 2011</w:t>
            </w:r>
          </w:p>
        </w:tc>
        <w:tc>
          <w:tcPr>
            <w:tcW w:w="1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0" w:type="dxa"/>
            <w:vAlign w:val="bottom"/>
          </w:tcPr>
          <w:p>
            <w:pPr>
              <w:spacing w:after="0"/>
              <w:rPr>
                <w:sz w:val="19"/>
                <w:szCs w:val="19"/>
                <w:color w:val="auto"/>
              </w:rPr>
            </w:pPr>
          </w:p>
        </w:tc>
        <w:tc>
          <w:tcPr>
            <w:tcW w:w="4620" w:type="dxa"/>
            <w:vAlign w:val="bottom"/>
            <w:gridSpan w:val="2"/>
            <w:vMerge w:val="continue"/>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75,502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280"/>
              <w:spacing w:after="0"/>
              <w:rPr>
                <w:sz w:val="20"/>
                <w:szCs w:val="20"/>
                <w:color w:val="auto"/>
              </w:rPr>
            </w:pPr>
            <w:r>
              <w:rPr>
                <w:rFonts w:ascii="Arial" w:cs="Arial" w:eastAsia="Arial" w:hAnsi="Arial"/>
                <w:sz w:val="18"/>
                <w:szCs w:val="18"/>
                <w:color w:val="auto"/>
              </w:rPr>
              <w:t>16,785</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$92,287</w:t>
            </w:r>
          </w:p>
        </w:tc>
        <w:tc>
          <w:tcPr>
            <w:tcW w:w="0" w:type="dxa"/>
            <w:vAlign w:val="bottom"/>
          </w:tcPr>
          <w:p>
            <w:pPr>
              <w:spacing w:after="0"/>
              <w:rPr>
                <w:sz w:val="1"/>
                <w:szCs w:val="1"/>
                <w:color w:val="auto"/>
              </w:rPr>
            </w:pPr>
          </w:p>
        </w:tc>
      </w:tr>
      <w:tr>
        <w:trPr>
          <w:trHeight w:val="217"/>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Purchase accounting adjustments </w:t>
            </w:r>
            <w:r>
              <w:rPr>
                <w:rFonts w:ascii="Arial" w:cs="Arial" w:eastAsia="Arial" w:hAnsi="Arial"/>
                <w:sz w:val="11"/>
                <w:szCs w:val="11"/>
                <w:color w:val="auto"/>
              </w:rPr>
              <w:t>(1)</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422</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380" w:type="dxa"/>
            <w:vAlign w:val="bottom"/>
          </w:tcPr>
          <w:p>
            <w:pPr>
              <w:ind w:left="200"/>
              <w:spacing w:after="0"/>
              <w:rPr>
                <w:sz w:val="20"/>
                <w:szCs w:val="20"/>
                <w:color w:val="auto"/>
              </w:rPr>
            </w:pPr>
            <w:r>
              <w:rPr>
                <w:rFonts w:ascii="Arial" w:cs="Arial" w:eastAsia="Arial" w:hAnsi="Arial"/>
                <w:sz w:val="18"/>
                <w:szCs w:val="18"/>
                <w:color w:val="auto"/>
              </w:rPr>
              <w:t>Currency translation adjustments</w:t>
            </w:r>
          </w:p>
        </w:tc>
        <w:tc>
          <w:tcPr>
            <w:tcW w:w="1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September 30, 2012</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76,101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16,785</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92,886</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3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Relates to the acquisition of Business Process Outsourcing, Inc. (“OPI”) on May 31, 2011 (the “OPI Acquisition”).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the Company’s intangible assets is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As of September 30, 2012</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36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Gross</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600" w:type="dxa"/>
            <w:vAlign w:val="bottom"/>
          </w:tcPr>
          <w:p>
            <w:pPr>
              <w:spacing w:after="0"/>
              <w:rPr>
                <w:sz w:val="12"/>
                <w:szCs w:val="12"/>
                <w:color w:val="auto"/>
              </w:rPr>
            </w:pPr>
          </w:p>
        </w:tc>
        <w:tc>
          <w:tcPr>
            <w:tcW w:w="13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Net Carrying</w:t>
            </w:r>
          </w:p>
        </w:tc>
        <w:tc>
          <w:tcPr>
            <w:tcW w:w="0" w:type="dxa"/>
            <w:vAlign w:val="bottom"/>
          </w:tcPr>
          <w:p>
            <w:pPr>
              <w:spacing w:after="0"/>
              <w:rPr>
                <w:sz w:val="1"/>
                <w:szCs w:val="1"/>
                <w:color w:val="auto"/>
              </w:rPr>
            </w:pPr>
          </w:p>
        </w:tc>
      </w:tr>
      <w:tr>
        <w:trPr>
          <w:trHeight w:val="161"/>
        </w:trPr>
        <w:tc>
          <w:tcPr>
            <w:tcW w:w="33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Amount</w:t>
            </w:r>
          </w:p>
        </w:tc>
        <w:tc>
          <w:tcPr>
            <w:tcW w:w="60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33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Customer relationships</w:t>
            </w:r>
          </w:p>
        </w:tc>
        <w:tc>
          <w:tcPr>
            <w:tcW w:w="27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$33,105</w:t>
            </w:r>
          </w:p>
        </w:tc>
        <w:tc>
          <w:tcPr>
            <w:tcW w:w="6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(6,894)</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26,211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Leasehold benefits</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3,491</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(1,115)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2,133</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Non-compete agreements</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1,317</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(1,195)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Trade names and trademarks</w:t>
            </w:r>
          </w:p>
        </w:tc>
        <w:tc>
          <w:tcPr>
            <w:tcW w:w="27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360" w:type="dxa"/>
            <w:vAlign w:val="bottom"/>
          </w:tcPr>
          <w:p>
            <w:pPr>
              <w:spacing w:after="0"/>
              <w:rPr>
                <w:sz w:val="19"/>
                <w:szCs w:val="19"/>
                <w:color w:val="auto"/>
              </w:rPr>
            </w:pPr>
          </w:p>
        </w:tc>
        <w:tc>
          <w:tcPr>
            <w:tcW w:w="3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42,768</w:t>
            </w:r>
          </w:p>
        </w:tc>
        <w:tc>
          <w:tcPr>
            <w:tcW w:w="7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(10,521)</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32,247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33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As of December 31, 2011</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36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Gross</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600" w:type="dxa"/>
            <w:vAlign w:val="bottom"/>
          </w:tcPr>
          <w:p>
            <w:pPr>
              <w:spacing w:after="0"/>
              <w:rPr>
                <w:sz w:val="12"/>
                <w:szCs w:val="12"/>
                <w:color w:val="auto"/>
              </w:rPr>
            </w:pPr>
          </w:p>
        </w:tc>
        <w:tc>
          <w:tcPr>
            <w:tcW w:w="13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Net Carrying</w:t>
            </w:r>
          </w:p>
        </w:tc>
        <w:tc>
          <w:tcPr>
            <w:tcW w:w="0" w:type="dxa"/>
            <w:vAlign w:val="bottom"/>
          </w:tcPr>
          <w:p>
            <w:pPr>
              <w:spacing w:after="0"/>
              <w:rPr>
                <w:sz w:val="1"/>
                <w:szCs w:val="1"/>
                <w:color w:val="auto"/>
              </w:rPr>
            </w:pPr>
          </w:p>
        </w:tc>
      </w:tr>
      <w:tr>
        <w:trPr>
          <w:trHeight w:val="161"/>
        </w:trPr>
        <w:tc>
          <w:tcPr>
            <w:tcW w:w="33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Amount</w:t>
            </w:r>
          </w:p>
        </w:tc>
        <w:tc>
          <w:tcPr>
            <w:tcW w:w="60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33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Customer relationships</w:t>
            </w:r>
          </w:p>
        </w:tc>
        <w:tc>
          <w:tcPr>
            <w:tcW w:w="27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$33,100</w:t>
            </w:r>
          </w:p>
        </w:tc>
        <w:tc>
          <w:tcPr>
            <w:tcW w:w="6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(4,456)</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Leasehold benefits</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3,474</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2,133</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Non-compete agreements</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1,316</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Trade names and trademarks</w:t>
            </w:r>
          </w:p>
        </w:tc>
        <w:tc>
          <w:tcPr>
            <w:tcW w:w="27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360" w:type="dxa"/>
            <w:vAlign w:val="bottom"/>
          </w:tcPr>
          <w:p>
            <w:pPr>
              <w:spacing w:after="0"/>
              <w:rPr>
                <w:sz w:val="19"/>
                <w:szCs w:val="19"/>
                <w:color w:val="auto"/>
              </w:rPr>
            </w:pPr>
          </w:p>
        </w:tc>
        <w:tc>
          <w:tcPr>
            <w:tcW w:w="3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42,745</w:t>
            </w:r>
          </w:p>
        </w:tc>
        <w:tc>
          <w:tcPr>
            <w:tcW w:w="7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(6,432)</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36,313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780" w:type="dxa"/>
            <w:vAlign w:val="bottom"/>
            <w:vMerge w:val="restart"/>
          </w:tcPr>
          <w:p>
            <w:pPr>
              <w:jc w:val="right"/>
              <w:ind w:right="1172"/>
              <w:spacing w:after="0"/>
              <w:rPr>
                <w:sz w:val="20"/>
                <w:szCs w:val="20"/>
                <w:color w:val="auto"/>
              </w:rPr>
            </w:pPr>
            <w:r>
              <w:rPr>
                <w:rFonts w:ascii="Arial" w:cs="Arial" w:eastAsia="Arial" w:hAnsi="Arial"/>
                <w:sz w:val="18"/>
                <w:szCs w:val="18"/>
                <w:color w:val="auto"/>
              </w:rPr>
              <w:t>11</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6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80"/>
          </w:cols>
          <w:pgMar w:left="240" w:top="274" w:right="979" w:bottom="1440" w:gutter="0" w:footer="0" w:header="0"/>
        </w:sectPr>
      </w:pPr>
    </w:p>
    <w:bookmarkStart w:id="11" w:name="page12"/>
    <w:bookmarkEnd w:id="11"/>
    <w:p>
      <w:pPr>
        <w:ind w:left="4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171"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Amortization expense for the three months ended September 30, 2012 and 2011 was $1,324 and $1,395, respectively. Amortization expense for the nine months ended September 30, 2012 and 2011 was $4,083 and $2,943, respectively. The weighted average life of intangible assets was 10.1 years for customer relationships, 6.8 years for leasehold benefits, 10.0 years for developed technology, 1.5 years for non-compete agreements and 3.0 years for trade names and trademarks excluding indefinite life trade names and trademarks. The Company had $900 of indefinite life trade names and trademarks as of both September 30, 2012 and December 31, 2011.</w:t>
      </w:r>
    </w:p>
    <w:p>
      <w:pPr>
        <w:spacing w:after="0" w:line="179"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920" w:type="dxa"/>
            <w:vAlign w:val="bottom"/>
          </w:tcPr>
          <w:p>
            <w:pPr>
              <w:spacing w:after="0"/>
              <w:rPr>
                <w:sz w:val="20"/>
                <w:szCs w:val="20"/>
                <w:color w:val="auto"/>
              </w:rPr>
            </w:pPr>
            <w:r>
              <w:rPr>
                <w:rFonts w:ascii="Arial" w:cs="Arial" w:eastAsia="Arial" w:hAnsi="Arial"/>
                <w:sz w:val="14"/>
                <w:szCs w:val="14"/>
                <w:b w:val="1"/>
                <w:bCs w:val="1"/>
                <w:color w:val="auto"/>
              </w:rPr>
              <w:t>Estimated amortization of intangible assets during the year ending September 30,</w:t>
            </w:r>
          </w:p>
        </w:tc>
        <w:tc>
          <w:tcPr>
            <w:tcW w:w="1840" w:type="dxa"/>
            <w:vAlign w:val="bottom"/>
          </w:tcPr>
          <w:p>
            <w:pPr>
              <w:spacing w:after="0"/>
              <w:rPr>
                <w:sz w:val="14"/>
                <w:szCs w:val="14"/>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$4,607</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2014</w:t>
            </w:r>
          </w:p>
        </w:tc>
        <w:tc>
          <w:tcPr>
            <w:tcW w:w="1840" w:type="dxa"/>
            <w:vAlign w:val="bottom"/>
          </w:tcPr>
          <w:p>
            <w:pPr>
              <w:jc w:val="right"/>
              <w:ind w:right="12"/>
              <w:spacing w:after="0"/>
              <w:rPr>
                <w:sz w:val="20"/>
                <w:szCs w:val="20"/>
                <w:color w:val="auto"/>
              </w:rPr>
            </w:pPr>
            <w:r>
              <w:rPr>
                <w:rFonts w:ascii="Arial" w:cs="Arial" w:eastAsia="Arial" w:hAnsi="Arial"/>
                <w:sz w:val="18"/>
                <w:szCs w:val="18"/>
                <w:color w:val="auto"/>
              </w:rPr>
              <w:t>$ 4,111</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1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$ 3,711</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2016</w:t>
            </w:r>
          </w:p>
        </w:tc>
        <w:tc>
          <w:tcPr>
            <w:tcW w:w="1840" w:type="dxa"/>
            <w:vAlign w:val="bottom"/>
          </w:tcPr>
          <w:p>
            <w:pPr>
              <w:jc w:val="right"/>
              <w:ind w:right="12"/>
              <w:spacing w:after="0"/>
              <w:rPr>
                <w:sz w:val="20"/>
                <w:szCs w:val="20"/>
                <w:color w:val="auto"/>
              </w:rPr>
            </w:pPr>
            <w:r>
              <w:rPr>
                <w:rFonts w:ascii="Arial" w:cs="Arial" w:eastAsia="Arial" w:hAnsi="Arial"/>
                <w:sz w:val="18"/>
                <w:szCs w:val="18"/>
                <w:color w:val="auto"/>
              </w:rPr>
              <w:t>$ 3,711</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$3,702</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w:t>
      </w:r>
    </w:p>
    <w:p>
      <w:pPr>
        <w:spacing w:after="0" w:line="9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following table sets forth the Company’s assets and liabilities that were accounted for at fair value on a recurring basis as of September 30, 2012 and December 31, 2011. The table excludes short-term investments, accounts receivable, short-term borrowings, accounts payable and accrued expenses for which fair values approximate their carrying amounts.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40" w:type="dxa"/>
            <w:vAlign w:val="bottom"/>
            <w:gridSpan w:val="2"/>
          </w:tcPr>
          <w:p>
            <w:pPr>
              <w:spacing w:after="0"/>
              <w:rPr>
                <w:sz w:val="20"/>
                <w:szCs w:val="20"/>
                <w:color w:val="auto"/>
              </w:rPr>
            </w:pPr>
            <w:r>
              <w:rPr>
                <w:rFonts w:ascii="Arial" w:cs="Arial" w:eastAsia="Arial" w:hAnsi="Arial"/>
                <w:sz w:val="14"/>
                <w:szCs w:val="14"/>
                <w:b w:val="1"/>
                <w:bCs w:val="1"/>
                <w:color w:val="auto"/>
              </w:rPr>
              <w:t>As of September 30, 2012</w:t>
            </w: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4"/>
                <w:szCs w:val="14"/>
                <w:b w:val="1"/>
                <w:bCs w:val="1"/>
                <w:color w:val="auto"/>
              </w:rPr>
              <w:t>Level 1</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16"/>
              <w:spacing w:after="0"/>
              <w:rPr>
                <w:sz w:val="20"/>
                <w:szCs w:val="20"/>
                <w:color w:val="auto"/>
              </w:rPr>
            </w:pPr>
            <w:r>
              <w:rPr>
                <w:rFonts w:ascii="Arial" w:cs="Arial" w:eastAsia="Arial" w:hAnsi="Arial"/>
                <w:sz w:val="14"/>
                <w:szCs w:val="14"/>
                <w:b w:val="1"/>
                <w:bCs w:val="1"/>
                <w:color w:val="auto"/>
                <w:w w:val="84"/>
              </w:rPr>
              <w:t>Level 2</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4"/>
                <w:szCs w:val="14"/>
                <w:b w:val="1"/>
                <w:bCs w:val="1"/>
                <w:color w:val="auto"/>
              </w:rPr>
              <w:t>Level 3</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r>
      <w:tr>
        <w:trPr>
          <w:trHeight w:val="196"/>
        </w:trPr>
        <w:tc>
          <w:tcPr>
            <w:tcW w:w="20" w:type="dxa"/>
            <w:vAlign w:val="bottom"/>
          </w:tcPr>
          <w:p>
            <w:pPr>
              <w:spacing w:after="0"/>
              <w:rPr>
                <w:sz w:val="17"/>
                <w:szCs w:val="17"/>
                <w:color w:val="auto"/>
              </w:rPr>
            </w:pPr>
          </w:p>
        </w:tc>
        <w:tc>
          <w:tcPr>
            <w:tcW w:w="4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Money market and mutual funds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ind w:left="40"/>
              <w:spacing w:after="0"/>
              <w:rPr>
                <w:sz w:val="20"/>
                <w:szCs w:val="20"/>
                <w:color w:val="auto"/>
              </w:rPr>
            </w:pPr>
            <w:r>
              <w:rPr>
                <w:rFonts w:ascii="Arial" w:cs="Arial" w:eastAsia="Arial" w:hAnsi="Arial"/>
                <w:sz w:val="18"/>
                <w:szCs w:val="18"/>
                <w:color w:val="auto"/>
                <w:w w:val="83"/>
              </w:rPr>
              <w:t>83,225</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83,225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w:t>
            </w:r>
          </w:p>
        </w:tc>
        <w:tc>
          <w:tcPr>
            <w:tcW w:w="2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2,759</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2,759</w:t>
            </w:r>
          </w:p>
        </w:tc>
        <w:tc>
          <w:tcPr>
            <w:tcW w:w="100" w:type="dxa"/>
            <w:vAlign w:val="bottom"/>
            <w:shd w:val="clear" w:color="auto" w:fill="CCEEFF"/>
          </w:tcPr>
          <w:p>
            <w:pPr>
              <w:spacing w:after="0"/>
              <w:rPr>
                <w:sz w:val="18"/>
                <w:szCs w:val="18"/>
                <w:color w:val="auto"/>
              </w:rPr>
            </w:pPr>
          </w:p>
        </w:tc>
      </w:tr>
      <w:tr>
        <w:trPr>
          <w:trHeight w:val="222"/>
        </w:trPr>
        <w:tc>
          <w:tcPr>
            <w:tcW w:w="4540" w:type="dxa"/>
            <w:vAlign w:val="bottom"/>
            <w:gridSpan w:val="2"/>
          </w:tcPr>
          <w:p>
            <w:pPr>
              <w:spacing w:after="0"/>
              <w:rPr>
                <w:sz w:val="20"/>
                <w:szCs w:val="20"/>
                <w:color w:val="auto"/>
              </w:rPr>
            </w:pPr>
            <w:r>
              <w:rPr>
                <w:rFonts w:ascii="Arial" w:cs="Arial" w:eastAsia="Arial" w:hAnsi="Arial"/>
                <w:sz w:val="18"/>
                <w:szCs w:val="18"/>
                <w:color w:val="auto"/>
              </w:rPr>
              <w:t>Total</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ind w:left="40"/>
              <w:spacing w:after="0"/>
              <w:rPr>
                <w:sz w:val="20"/>
                <w:szCs w:val="20"/>
                <w:color w:val="auto"/>
              </w:rPr>
            </w:pPr>
            <w:r>
              <w:rPr>
                <w:rFonts w:ascii="Arial" w:cs="Arial" w:eastAsia="Arial" w:hAnsi="Arial"/>
                <w:sz w:val="18"/>
                <w:szCs w:val="18"/>
                <w:color w:val="auto"/>
                <w:w w:val="83"/>
              </w:rPr>
              <w:t>83,225</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2,759</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85,984</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Derivative financial instruments</w:t>
            </w:r>
          </w:p>
        </w:tc>
        <w:tc>
          <w:tcPr>
            <w:tcW w:w="22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8,488</w:t>
            </w:r>
          </w:p>
        </w:tc>
        <w:tc>
          <w:tcPr>
            <w:tcW w:w="3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8,488</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8,488</w:t>
            </w:r>
          </w:p>
        </w:tc>
        <w:tc>
          <w:tcPr>
            <w:tcW w:w="100" w:type="dxa"/>
            <w:vAlign w:val="bottom"/>
            <w:shd w:val="clear" w:color="auto" w:fill="CCEEFF"/>
          </w:tcPr>
          <w:p>
            <w:pPr>
              <w:spacing w:after="0"/>
              <w:rPr>
                <w:sz w:val="18"/>
                <w:szCs w:val="18"/>
                <w:color w:val="auto"/>
              </w:rPr>
            </w:pPr>
          </w:p>
        </w:tc>
      </w:tr>
      <w:tr>
        <w:trPr>
          <w:trHeight w:val="20"/>
        </w:trPr>
        <w:tc>
          <w:tcPr>
            <w:tcW w:w="454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4540" w:type="dxa"/>
            <w:vAlign w:val="bottom"/>
            <w:gridSpan w:val="2"/>
          </w:tcPr>
          <w:p>
            <w:pPr>
              <w:spacing w:after="0"/>
              <w:rPr>
                <w:sz w:val="20"/>
                <w:szCs w:val="20"/>
                <w:color w:val="auto"/>
              </w:rPr>
            </w:pPr>
            <w:r>
              <w:rPr>
                <w:rFonts w:ascii="Arial" w:cs="Arial" w:eastAsia="Arial" w:hAnsi="Arial"/>
                <w:sz w:val="14"/>
                <w:szCs w:val="14"/>
                <w:b w:val="1"/>
                <w:bCs w:val="1"/>
                <w:color w:val="auto"/>
              </w:rPr>
              <w:t>As of December 31, 2011</w:t>
            </w: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4"/>
                <w:szCs w:val="14"/>
                <w:b w:val="1"/>
                <w:bCs w:val="1"/>
                <w:color w:val="auto"/>
              </w:rPr>
              <w:t>Level 1</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right"/>
              <w:ind w:right="16"/>
              <w:spacing w:after="0"/>
              <w:rPr>
                <w:sz w:val="20"/>
                <w:szCs w:val="20"/>
                <w:color w:val="auto"/>
              </w:rPr>
            </w:pPr>
            <w:r>
              <w:rPr>
                <w:rFonts w:ascii="Arial" w:cs="Arial" w:eastAsia="Arial" w:hAnsi="Arial"/>
                <w:sz w:val="14"/>
                <w:szCs w:val="14"/>
                <w:b w:val="1"/>
                <w:bCs w:val="1"/>
                <w:color w:val="auto"/>
                <w:w w:val="84"/>
              </w:rPr>
              <w:t>Level 2</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4"/>
                <w:szCs w:val="14"/>
                <w:b w:val="1"/>
                <w:bCs w:val="1"/>
                <w:color w:val="auto"/>
              </w:rPr>
              <w:t>Level 3</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r>
      <w:tr>
        <w:trPr>
          <w:trHeight w:val="196"/>
        </w:trPr>
        <w:tc>
          <w:tcPr>
            <w:tcW w:w="20" w:type="dxa"/>
            <w:vAlign w:val="bottom"/>
          </w:tcPr>
          <w:p>
            <w:pPr>
              <w:spacing w:after="0"/>
              <w:rPr>
                <w:sz w:val="17"/>
                <w:szCs w:val="17"/>
                <w:color w:val="auto"/>
              </w:rPr>
            </w:pPr>
          </w:p>
        </w:tc>
        <w:tc>
          <w:tcPr>
            <w:tcW w:w="4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Money market and mutual funds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ind w:left="40"/>
              <w:spacing w:after="0"/>
              <w:rPr>
                <w:sz w:val="20"/>
                <w:szCs w:val="20"/>
                <w:color w:val="auto"/>
              </w:rPr>
            </w:pPr>
            <w:r>
              <w:rPr>
                <w:rFonts w:ascii="Arial" w:cs="Arial" w:eastAsia="Arial" w:hAnsi="Arial"/>
                <w:sz w:val="18"/>
                <w:szCs w:val="18"/>
                <w:color w:val="auto"/>
                <w:w w:val="83"/>
              </w:rPr>
              <w:t>42,067</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42,067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w:t>
            </w:r>
          </w:p>
        </w:tc>
        <w:tc>
          <w:tcPr>
            <w:tcW w:w="2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r>
      <w:tr>
        <w:trPr>
          <w:trHeight w:val="222"/>
        </w:trPr>
        <w:tc>
          <w:tcPr>
            <w:tcW w:w="4540" w:type="dxa"/>
            <w:vAlign w:val="bottom"/>
            <w:gridSpan w:val="2"/>
          </w:tcPr>
          <w:p>
            <w:pPr>
              <w:spacing w:after="0"/>
              <w:rPr>
                <w:sz w:val="20"/>
                <w:szCs w:val="20"/>
                <w:color w:val="auto"/>
              </w:rPr>
            </w:pPr>
            <w:r>
              <w:rPr>
                <w:rFonts w:ascii="Arial" w:cs="Arial" w:eastAsia="Arial" w:hAnsi="Arial"/>
                <w:sz w:val="18"/>
                <w:szCs w:val="18"/>
                <w:color w:val="auto"/>
              </w:rPr>
              <w:t>Total</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ind w:left="40"/>
              <w:spacing w:after="0"/>
              <w:rPr>
                <w:sz w:val="20"/>
                <w:szCs w:val="20"/>
                <w:color w:val="auto"/>
              </w:rPr>
            </w:pPr>
            <w:r>
              <w:rPr>
                <w:rFonts w:ascii="Arial" w:cs="Arial" w:eastAsia="Arial" w:hAnsi="Arial"/>
                <w:sz w:val="18"/>
                <w:szCs w:val="18"/>
                <w:color w:val="auto"/>
                <w:w w:val="83"/>
              </w:rPr>
              <w:t>42,067</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32</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42,099</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Derivative financial instruments</w:t>
            </w:r>
          </w:p>
        </w:tc>
        <w:tc>
          <w:tcPr>
            <w:tcW w:w="22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17,729</w:t>
            </w:r>
          </w:p>
        </w:tc>
        <w:tc>
          <w:tcPr>
            <w:tcW w:w="3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17,729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17,729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17,729</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Company’s derivative financial instruments consist of foreign currency forward exchange contracts. Fair values for derivative financial instruments are based on broker quotations and are classified as Level 2. See Note 7 for further details.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12" w:name="page13"/>
    <w:bookmarkEnd w:id="12"/>
    <w:p>
      <w:pPr>
        <w:ind w:left="4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171"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Derivatives and Hedge Accounting</w:t>
      </w:r>
    </w:p>
    <w:p>
      <w:pPr>
        <w:spacing w:after="0" w:line="96"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The Company uses derivative instruments and hedging transactions to mitigate exposure to foreign currency fluctuation risks associated with forecasted transactions denominated in certain foreign currencies and to minimize earnings and cash flow volatility associated with changes in foreign currency exchanges rates. The Company’s derivative financial instruments are largely forward foreign exchange contracts that are designated effective and that qualify as cash flow hedges under ASC topic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(ASC No. 815). The Company also uses derivatives consisting of foreign currency exchange contracts not designated as hedging instruments under ASC No. 815 to hedge intercompany balances and other monetary assets or liabilities denominated in currencies other than the Company’s functional currency. The Company’s primary exchange rate exposure is with the U.K. pound sterling and the Indian rupee. The Company also has exposure in Philippine pesos, Czech koruna and other local currencies in which it operates.</w:t>
      </w:r>
    </w:p>
    <w:p>
      <w:pPr>
        <w:spacing w:after="0" w:line="118"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The Company had outstanding foreign exchange contracts totaling $226,555 and GBP 11,496 as of September 30, 2012 and totaling $235,866 and GBP 10,368 as of December 31, 2011. The Company estimates that approximately $3,297 of net derivative losses included in accumulated other comprehensive income (“AOCI”) could be reclassified into earnings within the next twelve months based on exchange rates prevailing as of September 30, 2012. As of September 30, 2012, the maximum outstanding term of derivative instruments that hedge forecasted transactions was thirty-three months.</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evaluates the effectiveness of its hedging positions at the time a contract is entered into as well as on an ongoing basis. If during this time a contract is deemed ineffective, the change in the fair value is recorded in the unaudited consolidated statements of income and is included in foreign exchange (loss)/gain. For hedging positions that are discontinued because the forecasted transaction is not expected to occur by the end of the originally specified period, any related derivative amounts recorded in equity are reclassified to earnings. No amounts of gains or losses were reclassified from AOCI into earnings as a result of forecasted transactions that failed to occur during the three and nine months ended September 30, 2012 and 2011.</w:t>
      </w:r>
    </w:p>
    <w:p>
      <w:pPr>
        <w:spacing w:after="0" w:line="116"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The following tables set forth the fair value of the foreign currency exchange contracts and their location on the unaudited consolidated financial statements: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Derivatives designated as hedging instruments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460" w:type="dxa"/>
            <w:vAlign w:val="bottom"/>
          </w:tcPr>
          <w:p>
            <w:pPr>
              <w:spacing w:after="0"/>
              <w:rPr>
                <w:sz w:val="14"/>
                <w:szCs w:val="14"/>
                <w:color w:val="auto"/>
              </w:rPr>
            </w:pPr>
          </w:p>
        </w:tc>
        <w:tc>
          <w:tcPr>
            <w:tcW w:w="4100" w:type="dxa"/>
            <w:vAlign w:val="bottom"/>
            <w:tcBorders>
              <w:bottom w:val="single" w:sz="8" w:color="CCEEFF"/>
            </w:tcBorders>
          </w:tcPr>
          <w:p>
            <w:pPr>
              <w:spacing w:after="0"/>
              <w:rPr>
                <w:sz w:val="14"/>
                <w:szCs w:val="14"/>
                <w:color w:val="auto"/>
              </w:rPr>
            </w:pPr>
          </w:p>
        </w:tc>
        <w:tc>
          <w:tcPr>
            <w:tcW w:w="28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196"/>
        </w:trPr>
        <w:tc>
          <w:tcPr>
            <w:tcW w:w="460" w:type="dxa"/>
            <w:vAlign w:val="bottom"/>
          </w:tcPr>
          <w:p>
            <w:pPr>
              <w:spacing w:after="0"/>
              <w:rPr>
                <w:sz w:val="17"/>
                <w:szCs w:val="17"/>
                <w:color w:val="auto"/>
              </w:rPr>
            </w:pPr>
          </w:p>
        </w:tc>
        <w:tc>
          <w:tcPr>
            <w:tcW w:w="4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current assets:</w:t>
            </w:r>
          </w:p>
        </w:tc>
        <w:tc>
          <w:tcPr>
            <w:tcW w:w="2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60" w:type="dxa"/>
            <w:vAlign w:val="bottom"/>
          </w:tcPr>
          <w:p>
            <w:pPr>
              <w:spacing w:after="0"/>
              <w:rPr>
                <w:sz w:val="18"/>
                <w:szCs w:val="18"/>
                <w:color w:val="auto"/>
              </w:rPr>
            </w:pPr>
          </w:p>
        </w:tc>
        <w:tc>
          <w:tcPr>
            <w:tcW w:w="4100" w:type="dxa"/>
            <w:vAlign w:val="bottom"/>
          </w:tcPr>
          <w:p>
            <w:pPr>
              <w:jc w:val="center"/>
              <w:ind w:right="552"/>
              <w:spacing w:after="0"/>
              <w:rPr>
                <w:sz w:val="20"/>
                <w:szCs w:val="20"/>
                <w:color w:val="auto"/>
              </w:rPr>
            </w:pPr>
            <w:r>
              <w:rPr>
                <w:rFonts w:ascii="Arial" w:cs="Arial" w:eastAsia="Arial" w:hAnsi="Arial"/>
                <w:sz w:val="18"/>
                <w:szCs w:val="18"/>
                <w:color w:val="auto"/>
                <w:w w:val="87"/>
              </w:rPr>
              <w:t>Foreign currency exchange contracts</w:t>
            </w:r>
          </w:p>
        </w:tc>
        <w:tc>
          <w:tcPr>
            <w:tcW w:w="3080" w:type="dxa"/>
            <w:vAlign w:val="bottom"/>
            <w:gridSpan w:val="3"/>
          </w:tcPr>
          <w:p>
            <w:pPr>
              <w:ind w:left="292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420"/>
              <w:spacing w:after="0"/>
              <w:rPr>
                <w:sz w:val="20"/>
                <w:szCs w:val="20"/>
                <w:color w:val="auto"/>
              </w:rPr>
            </w:pPr>
            <w:r>
              <w:rPr>
                <w:rFonts w:ascii="Arial" w:cs="Arial" w:eastAsia="Arial" w:hAnsi="Arial"/>
                <w:sz w:val="18"/>
                <w:szCs w:val="18"/>
                <w:color w:val="auto"/>
              </w:rPr>
              <w:t>1,409</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2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100" w:type="dxa"/>
            <w:vAlign w:val="bottom"/>
          </w:tcPr>
          <w:p>
            <w:pPr>
              <w:jc w:val="center"/>
              <w:ind w:right="552"/>
              <w:spacing w:after="0"/>
              <w:rPr>
                <w:sz w:val="20"/>
                <w:szCs w:val="20"/>
                <w:color w:val="auto"/>
              </w:rPr>
            </w:pPr>
            <w:r>
              <w:rPr>
                <w:rFonts w:ascii="Arial" w:cs="Arial" w:eastAsia="Arial" w:hAnsi="Arial"/>
                <w:sz w:val="18"/>
                <w:szCs w:val="18"/>
                <w:color w:val="auto"/>
                <w:w w:val="87"/>
              </w:rPr>
              <w:t>Foreign currency exchange contracts</w:t>
            </w:r>
          </w:p>
        </w:tc>
        <w:tc>
          <w:tcPr>
            <w:tcW w:w="3080" w:type="dxa"/>
            <w:vAlign w:val="bottom"/>
            <w:gridSpan w:val="3"/>
          </w:tcPr>
          <w:p>
            <w:pPr>
              <w:ind w:left="292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420"/>
              <w:spacing w:after="0"/>
              <w:rPr>
                <w:sz w:val="20"/>
                <w:szCs w:val="20"/>
                <w:color w:val="auto"/>
              </w:rPr>
            </w:pPr>
            <w:r>
              <w:rPr>
                <w:rFonts w:ascii="Arial" w:cs="Arial" w:eastAsia="Arial" w:hAnsi="Arial"/>
                <w:sz w:val="18"/>
                <w:szCs w:val="18"/>
                <w:color w:val="auto"/>
              </w:rPr>
              <w:t>1,350</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4100" w:type="dxa"/>
            <w:vAlign w:val="bottom"/>
            <w:shd w:val="clear" w:color="auto" w:fill="CCEEFF"/>
          </w:tcPr>
          <w:p>
            <w:pPr>
              <w:jc w:val="center"/>
              <w:ind w:right="512"/>
              <w:spacing w:after="0"/>
              <w:rPr>
                <w:sz w:val="20"/>
                <w:szCs w:val="20"/>
                <w:color w:val="auto"/>
              </w:rPr>
            </w:pPr>
            <w:r>
              <w:rPr>
                <w:rFonts w:ascii="Arial" w:cs="Arial" w:eastAsia="Arial" w:hAnsi="Arial"/>
                <w:sz w:val="18"/>
                <w:szCs w:val="18"/>
                <w:b w:val="1"/>
                <w:bCs w:val="1"/>
                <w:color w:val="auto"/>
                <w:w w:val="87"/>
              </w:rPr>
              <w:t>Accrued expenses and other current liabilities:</w:t>
            </w:r>
          </w:p>
        </w:tc>
        <w:tc>
          <w:tcPr>
            <w:tcW w:w="2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100" w:type="dxa"/>
            <w:vAlign w:val="bottom"/>
          </w:tcPr>
          <w:p>
            <w:pPr>
              <w:jc w:val="center"/>
              <w:ind w:right="552"/>
              <w:spacing w:after="0"/>
              <w:rPr>
                <w:sz w:val="20"/>
                <w:szCs w:val="20"/>
                <w:color w:val="auto"/>
              </w:rPr>
            </w:pPr>
            <w:r>
              <w:rPr>
                <w:rFonts w:ascii="Arial" w:cs="Arial" w:eastAsia="Arial" w:hAnsi="Arial"/>
                <w:sz w:val="18"/>
                <w:szCs w:val="18"/>
                <w:color w:val="auto"/>
                <w:w w:val="87"/>
              </w:rPr>
              <w:t>Foreign currency exchange contracts</w:t>
            </w:r>
          </w:p>
        </w:tc>
        <w:tc>
          <w:tcPr>
            <w:tcW w:w="3080" w:type="dxa"/>
            <w:vAlign w:val="bottom"/>
            <w:gridSpan w:val="3"/>
          </w:tcPr>
          <w:p>
            <w:pPr>
              <w:ind w:left="292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420"/>
              <w:spacing w:after="0"/>
              <w:rPr>
                <w:sz w:val="20"/>
                <w:szCs w:val="20"/>
                <w:color w:val="auto"/>
              </w:rPr>
            </w:pPr>
            <w:r>
              <w:rPr>
                <w:rFonts w:ascii="Arial" w:cs="Arial" w:eastAsia="Arial" w:hAnsi="Arial"/>
                <w:sz w:val="18"/>
                <w:szCs w:val="18"/>
                <w:color w:val="auto"/>
              </w:rPr>
              <w:t>4,706</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9,170</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non-current liabilities:</w:t>
            </w:r>
          </w:p>
        </w:tc>
        <w:tc>
          <w:tcPr>
            <w:tcW w:w="2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460" w:type="dxa"/>
            <w:vAlign w:val="bottom"/>
          </w:tcPr>
          <w:p>
            <w:pPr>
              <w:spacing w:after="0"/>
              <w:rPr>
                <w:sz w:val="19"/>
                <w:szCs w:val="19"/>
                <w:color w:val="auto"/>
              </w:rPr>
            </w:pPr>
          </w:p>
        </w:tc>
        <w:tc>
          <w:tcPr>
            <w:tcW w:w="4100" w:type="dxa"/>
            <w:vAlign w:val="bottom"/>
          </w:tcPr>
          <w:p>
            <w:pPr>
              <w:jc w:val="center"/>
              <w:ind w:right="552"/>
              <w:spacing w:after="0"/>
              <w:rPr>
                <w:sz w:val="20"/>
                <w:szCs w:val="20"/>
                <w:color w:val="auto"/>
              </w:rPr>
            </w:pPr>
            <w:r>
              <w:rPr>
                <w:rFonts w:ascii="Arial" w:cs="Arial" w:eastAsia="Arial" w:hAnsi="Arial"/>
                <w:sz w:val="18"/>
                <w:szCs w:val="18"/>
                <w:color w:val="auto"/>
                <w:w w:val="87"/>
              </w:rPr>
              <w:t>Foreign currency exchange contracts</w:t>
            </w:r>
          </w:p>
        </w:tc>
        <w:tc>
          <w:tcPr>
            <w:tcW w:w="3080" w:type="dxa"/>
            <w:vAlign w:val="bottom"/>
            <w:gridSpan w:val="3"/>
          </w:tcPr>
          <w:p>
            <w:pPr>
              <w:ind w:left="292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420"/>
              <w:spacing w:after="0"/>
              <w:rPr>
                <w:sz w:val="20"/>
                <w:szCs w:val="20"/>
                <w:color w:val="auto"/>
              </w:rPr>
            </w:pPr>
            <w:r>
              <w:rPr>
                <w:rFonts w:ascii="Arial" w:cs="Arial" w:eastAsia="Arial" w:hAnsi="Arial"/>
                <w:sz w:val="18"/>
                <w:szCs w:val="18"/>
                <w:color w:val="auto"/>
              </w:rPr>
              <w:t>3,642</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8,559</w:t>
            </w:r>
          </w:p>
        </w:tc>
        <w:tc>
          <w:tcPr>
            <w:tcW w:w="100" w:type="dxa"/>
            <w:vAlign w:val="bottom"/>
          </w:tcPr>
          <w:p>
            <w:pPr>
              <w:spacing w:after="0"/>
              <w:rPr>
                <w:sz w:val="19"/>
                <w:szCs w:val="19"/>
                <w:color w:val="auto"/>
              </w:rPr>
            </w:pPr>
          </w:p>
        </w:tc>
      </w:tr>
      <w:tr>
        <w:trPr>
          <w:trHeight w:val="370"/>
        </w:trPr>
        <w:tc>
          <w:tcPr>
            <w:tcW w:w="45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Derivatives not designated as hedging instruments:</w:t>
            </w:r>
          </w:p>
        </w:tc>
        <w:tc>
          <w:tcPr>
            <w:tcW w:w="2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0"/>
        </w:trPr>
        <w:tc>
          <w:tcPr>
            <w:tcW w:w="4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320" w:type="dxa"/>
            <w:vAlign w:val="bottom"/>
            <w:gridSpan w:val="5"/>
          </w:tcPr>
          <w:p>
            <w:pPr>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460" w:type="dxa"/>
            <w:vAlign w:val="bottom"/>
          </w:tcPr>
          <w:p>
            <w:pPr>
              <w:spacing w:after="0"/>
              <w:rPr>
                <w:sz w:val="14"/>
                <w:szCs w:val="14"/>
                <w:color w:val="auto"/>
              </w:rPr>
            </w:pPr>
          </w:p>
        </w:tc>
        <w:tc>
          <w:tcPr>
            <w:tcW w:w="4100" w:type="dxa"/>
            <w:vAlign w:val="bottom"/>
            <w:tcBorders>
              <w:bottom w:val="single" w:sz="8" w:color="CCEEFF"/>
            </w:tcBorders>
          </w:tcPr>
          <w:p>
            <w:pPr>
              <w:spacing w:after="0"/>
              <w:rPr>
                <w:sz w:val="14"/>
                <w:szCs w:val="14"/>
                <w:color w:val="auto"/>
              </w:rPr>
            </w:pPr>
          </w:p>
        </w:tc>
        <w:tc>
          <w:tcPr>
            <w:tcW w:w="286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96"/>
              </w:rPr>
              <w:t>2012</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196"/>
        </w:trPr>
        <w:tc>
          <w:tcPr>
            <w:tcW w:w="460" w:type="dxa"/>
            <w:vAlign w:val="bottom"/>
          </w:tcPr>
          <w:p>
            <w:pPr>
              <w:spacing w:after="0"/>
              <w:rPr>
                <w:sz w:val="17"/>
                <w:szCs w:val="17"/>
                <w:color w:val="auto"/>
              </w:rPr>
            </w:pPr>
          </w:p>
        </w:tc>
        <w:tc>
          <w:tcPr>
            <w:tcW w:w="4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current assets:</w:t>
            </w:r>
          </w:p>
        </w:tc>
        <w:tc>
          <w:tcPr>
            <w:tcW w:w="2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60" w:type="dxa"/>
            <w:vAlign w:val="bottom"/>
          </w:tcPr>
          <w:p>
            <w:pPr>
              <w:spacing w:after="0"/>
              <w:rPr>
                <w:sz w:val="18"/>
                <w:szCs w:val="18"/>
                <w:color w:val="auto"/>
              </w:rPr>
            </w:pPr>
          </w:p>
        </w:tc>
        <w:tc>
          <w:tcPr>
            <w:tcW w:w="4100" w:type="dxa"/>
            <w:vAlign w:val="bottom"/>
          </w:tcPr>
          <w:p>
            <w:pPr>
              <w:jc w:val="center"/>
              <w:ind w:right="552"/>
              <w:spacing w:after="0"/>
              <w:rPr>
                <w:sz w:val="20"/>
                <w:szCs w:val="20"/>
                <w:color w:val="auto"/>
              </w:rPr>
            </w:pPr>
            <w:r>
              <w:rPr>
                <w:rFonts w:ascii="Arial" w:cs="Arial" w:eastAsia="Arial" w:hAnsi="Arial"/>
                <w:sz w:val="18"/>
                <w:szCs w:val="18"/>
                <w:color w:val="auto"/>
                <w:w w:val="87"/>
              </w:rPr>
              <w:t>Foreign currency exchange contracts</w:t>
            </w:r>
          </w:p>
        </w:tc>
        <w:tc>
          <w:tcPr>
            <w:tcW w:w="3080" w:type="dxa"/>
            <w:vAlign w:val="bottom"/>
            <w:gridSpan w:val="3"/>
          </w:tcPr>
          <w:p>
            <w:pPr>
              <w:ind w:left="2860"/>
              <w:spacing w:after="0"/>
              <w:rPr>
                <w:sz w:val="20"/>
                <w:szCs w:val="20"/>
                <w:color w:val="auto"/>
              </w:rPr>
            </w:pPr>
            <w:r>
              <w:rPr>
                <w:rFonts w:ascii="Arial" w:cs="Arial" w:eastAsia="Arial" w:hAnsi="Arial"/>
                <w:sz w:val="18"/>
                <w:szCs w:val="18"/>
                <w:color w:val="auto"/>
              </w:rPr>
              <w:t>$</w:t>
            </w:r>
          </w:p>
        </w:tc>
        <w:tc>
          <w:tcPr>
            <w:tcW w:w="110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100" w:type="dxa"/>
            <w:vAlign w:val="bottom"/>
            <w:shd w:val="clear" w:color="auto" w:fill="CCEEFF"/>
          </w:tcPr>
          <w:p>
            <w:pPr>
              <w:jc w:val="center"/>
              <w:ind w:right="512"/>
              <w:spacing w:after="0"/>
              <w:rPr>
                <w:sz w:val="20"/>
                <w:szCs w:val="20"/>
                <w:color w:val="auto"/>
              </w:rPr>
            </w:pPr>
            <w:r>
              <w:rPr>
                <w:rFonts w:ascii="Arial" w:cs="Arial" w:eastAsia="Arial" w:hAnsi="Arial"/>
                <w:sz w:val="18"/>
                <w:szCs w:val="18"/>
                <w:b w:val="1"/>
                <w:bCs w:val="1"/>
                <w:color w:val="auto"/>
                <w:w w:val="87"/>
              </w:rPr>
              <w:t>Accrued expenses and other current liabilities:</w:t>
            </w:r>
          </w:p>
        </w:tc>
        <w:tc>
          <w:tcPr>
            <w:tcW w:w="2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460" w:type="dxa"/>
            <w:vAlign w:val="bottom"/>
          </w:tcPr>
          <w:p>
            <w:pPr>
              <w:spacing w:after="0"/>
              <w:rPr>
                <w:sz w:val="19"/>
                <w:szCs w:val="19"/>
                <w:color w:val="auto"/>
              </w:rPr>
            </w:pPr>
          </w:p>
        </w:tc>
        <w:tc>
          <w:tcPr>
            <w:tcW w:w="4100" w:type="dxa"/>
            <w:vAlign w:val="bottom"/>
          </w:tcPr>
          <w:p>
            <w:pPr>
              <w:jc w:val="center"/>
              <w:ind w:right="552"/>
              <w:spacing w:after="0"/>
              <w:rPr>
                <w:sz w:val="20"/>
                <w:szCs w:val="20"/>
                <w:color w:val="auto"/>
              </w:rPr>
            </w:pPr>
            <w:r>
              <w:rPr>
                <w:rFonts w:ascii="Arial" w:cs="Arial" w:eastAsia="Arial" w:hAnsi="Arial"/>
                <w:sz w:val="18"/>
                <w:szCs w:val="18"/>
                <w:color w:val="auto"/>
                <w:w w:val="87"/>
              </w:rPr>
              <w:t>Foreign currency exchange contracts</w:t>
            </w:r>
          </w:p>
        </w:tc>
        <w:tc>
          <w:tcPr>
            <w:tcW w:w="3080" w:type="dxa"/>
            <w:vAlign w:val="bottom"/>
            <w:gridSpan w:val="3"/>
          </w:tcPr>
          <w:p>
            <w:pPr>
              <w:ind w:left="2860"/>
              <w:spacing w:after="0"/>
              <w:rPr>
                <w:sz w:val="20"/>
                <w:szCs w:val="20"/>
                <w:color w:val="auto"/>
              </w:rPr>
            </w:pPr>
            <w:r>
              <w:rPr>
                <w:rFonts w:ascii="Arial" w:cs="Arial" w:eastAsia="Arial" w:hAnsi="Arial"/>
                <w:sz w:val="18"/>
                <w:szCs w:val="18"/>
                <w:color w:val="auto"/>
              </w:rPr>
              <w:t>$</w:t>
            </w:r>
          </w:p>
        </w:tc>
        <w:tc>
          <w:tcPr>
            <w:tcW w:w="600" w:type="dxa"/>
            <w:vAlign w:val="bottom"/>
          </w:tcPr>
          <w:p>
            <w:pPr>
              <w:ind w:left="340"/>
              <w:spacing w:after="0"/>
              <w:rPr>
                <w:sz w:val="20"/>
                <w:szCs w:val="20"/>
                <w:color w:val="auto"/>
              </w:rPr>
            </w:pPr>
            <w:r>
              <w:rPr>
                <w:rFonts w:ascii="Arial" w:cs="Arial" w:eastAsia="Arial" w:hAnsi="Arial"/>
                <w:sz w:val="18"/>
                <w:szCs w:val="18"/>
                <w:color w:val="auto"/>
                <w:w w:val="79"/>
              </w:rPr>
              <w:t>140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356"/>
        </w:trPr>
        <w:tc>
          <w:tcPr>
            <w:tcW w:w="4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860" w:type="dxa"/>
            <w:vAlign w:val="bottom"/>
          </w:tcPr>
          <w:p>
            <w:pPr>
              <w:jc w:val="right"/>
              <w:ind w:right="1992"/>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274" w:right="259" w:bottom="1440" w:gutter="0" w:footer="0" w:header="0"/>
        </w:sectPr>
      </w:pPr>
    </w:p>
    <w:bookmarkStart w:id="13" w:name="page14"/>
    <w:bookmarkEnd w:id="13"/>
    <w:p>
      <w:pPr>
        <w:ind w:left="4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171"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following tables set forth the effect of foreign currency exchange contracts on the unaudited consolidated statements of income for the three months ended September 30, 2012 and 2011:</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9"/>
              </w:rPr>
              <w:t>Location of Gain/</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(Loss) Recognized</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in Income on</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5"/>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Derivative</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Location of</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(Ineffective</w:t>
            </w:r>
          </w:p>
        </w:tc>
        <w:tc>
          <w:tcPr>
            <w:tcW w:w="1540" w:type="dxa"/>
            <w:vAlign w:val="bottom"/>
            <w:gridSpan w:val="7"/>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Amount of Gain/(Loss)</w:t>
            </w:r>
          </w:p>
        </w:tc>
        <w:tc>
          <w:tcPr>
            <w:tcW w:w="0" w:type="dxa"/>
            <w:vAlign w:val="bottom"/>
          </w:tcPr>
          <w:p>
            <w:pPr>
              <w:spacing w:after="0"/>
              <w:rPr>
                <w:sz w:val="1"/>
                <w:szCs w:val="1"/>
                <w:color w:val="auto"/>
              </w:rPr>
            </w:pPr>
          </w:p>
        </w:tc>
      </w:tr>
      <w:tr>
        <w:trPr>
          <w:trHeight w:val="149"/>
        </w:trPr>
        <w:tc>
          <w:tcPr>
            <w:tcW w:w="29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Derivatives in</w:t>
            </w: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(Loss)/Gain</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Portion and</w:t>
            </w:r>
          </w:p>
        </w:tc>
        <w:tc>
          <w:tcPr>
            <w:tcW w:w="1540" w:type="dxa"/>
            <w:vAlign w:val="bottom"/>
            <w:gridSpan w:val="7"/>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Recognized in</w:t>
            </w:r>
          </w:p>
        </w:tc>
        <w:tc>
          <w:tcPr>
            <w:tcW w:w="0" w:type="dxa"/>
            <w:vAlign w:val="bottom"/>
          </w:tcPr>
          <w:p>
            <w:pPr>
              <w:spacing w:after="0"/>
              <w:rPr>
                <w:sz w:val="1"/>
                <w:szCs w:val="1"/>
                <w:color w:val="auto"/>
              </w:rPr>
            </w:pPr>
          </w:p>
        </w:tc>
      </w:tr>
      <w:tr>
        <w:trPr>
          <w:trHeight w:val="148"/>
        </w:trPr>
        <w:tc>
          <w:tcPr>
            <w:tcW w:w="2980" w:type="dxa"/>
            <w:vAlign w:val="bottom"/>
            <w:gridSpan w:val="4"/>
            <w:vMerge w:val="continue"/>
          </w:tcPr>
          <w:p>
            <w:pPr>
              <w:spacing w:after="0"/>
              <w:rPr>
                <w:sz w:val="12"/>
                <w:szCs w:val="12"/>
                <w:color w:val="auto"/>
              </w:rPr>
            </w:pPr>
          </w:p>
        </w:tc>
        <w:tc>
          <w:tcPr>
            <w:tcW w:w="600" w:type="dxa"/>
            <w:vAlign w:val="bottom"/>
          </w:tcPr>
          <w:p>
            <w:pPr>
              <w:spacing w:after="0"/>
              <w:rPr>
                <w:sz w:val="12"/>
                <w:szCs w:val="12"/>
                <w:color w:val="auto"/>
              </w:rPr>
            </w:pPr>
          </w:p>
        </w:tc>
        <w:tc>
          <w:tcPr>
            <w:tcW w:w="1700" w:type="dxa"/>
            <w:vAlign w:val="bottom"/>
            <w:gridSpan w:val="5"/>
          </w:tcPr>
          <w:p>
            <w:pPr>
              <w:jc w:val="center"/>
              <w:ind w:right="260"/>
              <w:spacing w:after="0" w:line="148" w:lineRule="exact"/>
              <w:rPr>
                <w:sz w:val="20"/>
                <w:szCs w:val="20"/>
                <w:color w:val="auto"/>
              </w:rPr>
            </w:pPr>
            <w:r>
              <w:rPr>
                <w:rFonts w:ascii="Arial" w:cs="Arial" w:eastAsia="Arial" w:hAnsi="Arial"/>
                <w:sz w:val="14"/>
                <w:szCs w:val="14"/>
                <w:b w:val="1"/>
                <w:bCs w:val="1"/>
                <w:color w:val="auto"/>
                <w:w w:val="87"/>
              </w:rPr>
              <w:t>Amount of Gain/(Loss)</w:t>
            </w:r>
          </w:p>
        </w:tc>
        <w:tc>
          <w:tcPr>
            <w:tcW w:w="12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5"/>
              </w:rPr>
              <w:t>Reclassified from</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40" w:type="dxa"/>
            <w:vAlign w:val="bottom"/>
            <w:gridSpan w:val="5"/>
          </w:tcPr>
          <w:p>
            <w:pPr>
              <w:jc w:val="center"/>
              <w:ind w:right="580"/>
              <w:spacing w:after="0" w:line="148" w:lineRule="exact"/>
              <w:rPr>
                <w:sz w:val="20"/>
                <w:szCs w:val="20"/>
                <w:color w:val="auto"/>
              </w:rPr>
            </w:pPr>
            <w:r>
              <w:rPr>
                <w:rFonts w:ascii="Arial" w:cs="Arial" w:eastAsia="Arial" w:hAnsi="Arial"/>
                <w:sz w:val="14"/>
                <w:szCs w:val="14"/>
                <w:b w:val="1"/>
                <w:bCs w:val="1"/>
                <w:color w:val="auto"/>
                <w:w w:val="88"/>
              </w:rPr>
              <w:t>Amount of</w:t>
            </w:r>
          </w:p>
        </w:tc>
        <w:tc>
          <w:tcPr>
            <w:tcW w:w="1420" w:type="dxa"/>
            <w:vAlign w:val="bottom"/>
            <w:gridSpan w:val="5"/>
          </w:tcPr>
          <w:p>
            <w:pPr>
              <w:jc w:val="center"/>
              <w:ind w:right="160"/>
              <w:spacing w:after="0" w:line="148" w:lineRule="exact"/>
              <w:rPr>
                <w:sz w:val="20"/>
                <w:szCs w:val="20"/>
                <w:color w:val="auto"/>
              </w:rPr>
            </w:pPr>
            <w:r>
              <w:rPr>
                <w:rFonts w:ascii="Arial" w:cs="Arial" w:eastAsia="Arial" w:hAnsi="Arial"/>
                <w:sz w:val="14"/>
                <w:szCs w:val="14"/>
                <w:b w:val="1"/>
                <w:bCs w:val="1"/>
                <w:color w:val="auto"/>
                <w:w w:val="89"/>
              </w:rPr>
              <w:t>Amount Excluded</w:t>
            </w:r>
          </w:p>
        </w:tc>
        <w:tc>
          <w:tcPr>
            <w:tcW w:w="1540" w:type="dxa"/>
            <w:vAlign w:val="bottom"/>
            <w:gridSpan w:val="7"/>
          </w:tcPr>
          <w:p>
            <w:pPr>
              <w:jc w:val="center"/>
              <w:ind w:right="100"/>
              <w:spacing w:after="0" w:line="148" w:lineRule="exact"/>
              <w:rPr>
                <w:sz w:val="20"/>
                <w:szCs w:val="20"/>
                <w:color w:val="auto"/>
              </w:rPr>
            </w:pPr>
            <w:r>
              <w:rPr>
                <w:rFonts w:ascii="Arial" w:cs="Arial" w:eastAsia="Arial" w:hAnsi="Arial"/>
                <w:sz w:val="14"/>
                <w:szCs w:val="14"/>
                <w:b w:val="1"/>
                <w:bCs w:val="1"/>
                <w:color w:val="auto"/>
                <w:w w:val="88"/>
              </w:rPr>
              <w:t>Income on Derivative</w:t>
            </w:r>
          </w:p>
        </w:tc>
        <w:tc>
          <w:tcPr>
            <w:tcW w:w="0" w:type="dxa"/>
            <w:vAlign w:val="bottom"/>
          </w:tcPr>
          <w:p>
            <w:pPr>
              <w:spacing w:after="0"/>
              <w:rPr>
                <w:sz w:val="1"/>
                <w:szCs w:val="1"/>
                <w:color w:val="auto"/>
              </w:rPr>
            </w:pPr>
          </w:p>
        </w:tc>
      </w:tr>
      <w:tr>
        <w:trPr>
          <w:trHeight w:val="149"/>
        </w:trPr>
        <w:tc>
          <w:tcPr>
            <w:tcW w:w="29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Cash Flow</w:t>
            </w:r>
          </w:p>
        </w:tc>
        <w:tc>
          <w:tcPr>
            <w:tcW w:w="600" w:type="dxa"/>
            <w:vAlign w:val="bottom"/>
          </w:tcPr>
          <w:p>
            <w:pPr>
              <w:spacing w:after="0"/>
              <w:rPr>
                <w:sz w:val="12"/>
                <w:szCs w:val="12"/>
                <w:color w:val="auto"/>
              </w:rPr>
            </w:pPr>
          </w:p>
        </w:tc>
        <w:tc>
          <w:tcPr>
            <w:tcW w:w="1700" w:type="dxa"/>
            <w:vAlign w:val="bottom"/>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Recognized in AOCI on</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AOCI into</w:t>
            </w:r>
          </w:p>
        </w:tc>
        <w:tc>
          <w:tcPr>
            <w:tcW w:w="160" w:type="dxa"/>
            <w:vAlign w:val="bottom"/>
          </w:tcPr>
          <w:p>
            <w:pPr>
              <w:spacing w:after="0"/>
              <w:rPr>
                <w:sz w:val="12"/>
                <w:szCs w:val="12"/>
                <w:color w:val="auto"/>
              </w:rPr>
            </w:pPr>
          </w:p>
        </w:tc>
        <w:tc>
          <w:tcPr>
            <w:tcW w:w="1760" w:type="dxa"/>
            <w:vAlign w:val="bottom"/>
            <w:gridSpan w:val="6"/>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(Loss)/Gain Reclassified</w:t>
            </w:r>
          </w:p>
        </w:tc>
        <w:tc>
          <w:tcPr>
            <w:tcW w:w="900" w:type="dxa"/>
            <w:vAlign w:val="bottom"/>
            <w:gridSpan w:val="2"/>
          </w:tcPr>
          <w:p>
            <w:pPr>
              <w:jc w:val="center"/>
              <w:ind w:left="289"/>
              <w:spacing w:after="0" w:line="149" w:lineRule="exact"/>
              <w:rPr>
                <w:sz w:val="20"/>
                <w:szCs w:val="20"/>
                <w:color w:val="auto"/>
              </w:rPr>
            </w:pPr>
            <w:r>
              <w:rPr>
                <w:rFonts w:ascii="Arial" w:cs="Arial" w:eastAsia="Arial" w:hAnsi="Arial"/>
                <w:sz w:val="14"/>
                <w:szCs w:val="14"/>
                <w:b w:val="1"/>
                <w:bCs w:val="1"/>
                <w:color w:val="auto"/>
                <w:w w:val="96"/>
              </w:rPr>
              <w:t>from</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gridSpan w:val="7"/>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(Ineffective Portion and</w:t>
            </w:r>
          </w:p>
        </w:tc>
        <w:tc>
          <w:tcPr>
            <w:tcW w:w="0" w:type="dxa"/>
            <w:vAlign w:val="bottom"/>
          </w:tcPr>
          <w:p>
            <w:pPr>
              <w:spacing w:after="0"/>
              <w:rPr>
                <w:sz w:val="1"/>
                <w:szCs w:val="1"/>
                <w:color w:val="auto"/>
              </w:rPr>
            </w:pPr>
          </w:p>
        </w:tc>
      </w:tr>
      <w:tr>
        <w:trPr>
          <w:trHeight w:val="149"/>
        </w:trPr>
        <w:tc>
          <w:tcPr>
            <w:tcW w:w="29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Hedging</w:t>
            </w:r>
          </w:p>
        </w:tc>
        <w:tc>
          <w:tcPr>
            <w:tcW w:w="600" w:type="dxa"/>
            <w:vAlign w:val="bottom"/>
          </w:tcPr>
          <w:p>
            <w:pPr>
              <w:spacing w:after="0"/>
              <w:rPr>
                <w:sz w:val="12"/>
                <w:szCs w:val="12"/>
                <w:color w:val="auto"/>
              </w:rPr>
            </w:pPr>
          </w:p>
        </w:tc>
        <w:tc>
          <w:tcPr>
            <w:tcW w:w="1700" w:type="dxa"/>
            <w:vAlign w:val="bottom"/>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Derivative</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Income (Effective</w:t>
            </w:r>
          </w:p>
        </w:tc>
        <w:tc>
          <w:tcPr>
            <w:tcW w:w="160" w:type="dxa"/>
            <w:vAlign w:val="bottom"/>
          </w:tcPr>
          <w:p>
            <w:pPr>
              <w:spacing w:after="0"/>
              <w:rPr>
                <w:sz w:val="12"/>
                <w:szCs w:val="12"/>
                <w:color w:val="auto"/>
              </w:rPr>
            </w:pPr>
          </w:p>
        </w:tc>
        <w:tc>
          <w:tcPr>
            <w:tcW w:w="1760" w:type="dxa"/>
            <w:vAlign w:val="bottom"/>
            <w:gridSpan w:val="6"/>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from AOCI into Income</w:t>
            </w:r>
          </w:p>
        </w:tc>
        <w:tc>
          <w:tcPr>
            <w:tcW w:w="142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81"/>
              </w:rPr>
              <w:t>Effectiveness</w:t>
            </w:r>
          </w:p>
        </w:tc>
        <w:tc>
          <w:tcPr>
            <w:tcW w:w="1540" w:type="dxa"/>
            <w:vAlign w:val="bottom"/>
            <w:gridSpan w:val="7"/>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Amount Excluded from</w:t>
            </w:r>
          </w:p>
        </w:tc>
        <w:tc>
          <w:tcPr>
            <w:tcW w:w="0" w:type="dxa"/>
            <w:vAlign w:val="bottom"/>
          </w:tcPr>
          <w:p>
            <w:pPr>
              <w:spacing w:after="0"/>
              <w:rPr>
                <w:sz w:val="1"/>
                <w:szCs w:val="1"/>
                <w:color w:val="auto"/>
              </w:rPr>
            </w:pPr>
          </w:p>
        </w:tc>
      </w:tr>
      <w:tr>
        <w:trPr>
          <w:trHeight w:val="149"/>
        </w:trPr>
        <w:tc>
          <w:tcPr>
            <w:tcW w:w="298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Relationships</w:t>
            </w:r>
          </w:p>
        </w:tc>
        <w:tc>
          <w:tcPr>
            <w:tcW w:w="600" w:type="dxa"/>
            <w:vAlign w:val="bottom"/>
          </w:tcPr>
          <w:p>
            <w:pPr>
              <w:spacing w:after="0"/>
              <w:rPr>
                <w:sz w:val="12"/>
                <w:szCs w:val="12"/>
                <w:color w:val="auto"/>
              </w:rPr>
            </w:pPr>
          </w:p>
        </w:tc>
        <w:tc>
          <w:tcPr>
            <w:tcW w:w="760" w:type="dxa"/>
            <w:vAlign w:val="bottom"/>
            <w:gridSpan w:val="2"/>
          </w:tcPr>
          <w:p>
            <w:pPr>
              <w:ind w:left="180"/>
              <w:spacing w:after="0" w:line="129" w:lineRule="exact"/>
              <w:rPr>
                <w:sz w:val="20"/>
                <w:szCs w:val="20"/>
                <w:color w:val="auto"/>
              </w:rPr>
            </w:pPr>
            <w:r>
              <w:rPr>
                <w:rFonts w:ascii="Arial" w:cs="Arial" w:eastAsia="Arial" w:hAnsi="Arial"/>
                <w:sz w:val="14"/>
                <w:szCs w:val="14"/>
                <w:b w:val="1"/>
                <w:bCs w:val="1"/>
                <w:color w:val="auto"/>
                <w:w w:val="88"/>
              </w:rPr>
              <w:t>(Effective</w:t>
            </w:r>
          </w:p>
        </w:tc>
        <w:tc>
          <w:tcPr>
            <w:tcW w:w="940" w:type="dxa"/>
            <w:vAlign w:val="bottom"/>
            <w:gridSpan w:val="3"/>
          </w:tcPr>
          <w:p>
            <w:pPr>
              <w:ind w:left="40"/>
              <w:spacing w:after="0" w:line="129" w:lineRule="exact"/>
              <w:rPr>
                <w:sz w:val="20"/>
                <w:szCs w:val="20"/>
                <w:color w:val="auto"/>
              </w:rPr>
            </w:pPr>
            <w:r>
              <w:rPr>
                <w:rFonts w:ascii="Arial" w:cs="Arial" w:eastAsia="Arial" w:hAnsi="Arial"/>
                <w:sz w:val="14"/>
                <w:szCs w:val="14"/>
                <w:b w:val="1"/>
                <w:bCs w:val="1"/>
                <w:color w:val="auto"/>
              </w:rPr>
              <w:t>Portion)</w:t>
            </w:r>
          </w:p>
        </w:tc>
        <w:tc>
          <w:tcPr>
            <w:tcW w:w="12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Portion)</w:t>
            </w:r>
          </w:p>
        </w:tc>
        <w:tc>
          <w:tcPr>
            <w:tcW w:w="160" w:type="dxa"/>
            <w:vAlign w:val="bottom"/>
          </w:tcPr>
          <w:p>
            <w:pPr>
              <w:spacing w:after="0"/>
              <w:rPr>
                <w:sz w:val="12"/>
                <w:szCs w:val="12"/>
                <w:color w:val="auto"/>
              </w:rPr>
            </w:pPr>
          </w:p>
        </w:tc>
        <w:tc>
          <w:tcPr>
            <w:tcW w:w="1760" w:type="dxa"/>
            <w:vAlign w:val="bottom"/>
            <w:gridSpan w:val="6"/>
          </w:tcPr>
          <w:p>
            <w:pPr>
              <w:jc w:val="center"/>
              <w:ind w:right="240"/>
              <w:spacing w:after="0" w:line="129" w:lineRule="exact"/>
              <w:rPr>
                <w:sz w:val="20"/>
                <w:szCs w:val="20"/>
                <w:color w:val="auto"/>
              </w:rPr>
            </w:pPr>
            <w:r>
              <w:rPr>
                <w:rFonts w:ascii="Arial" w:cs="Arial" w:eastAsia="Arial" w:hAnsi="Arial"/>
                <w:sz w:val="14"/>
                <w:szCs w:val="14"/>
                <w:b w:val="1"/>
                <w:bCs w:val="1"/>
                <w:color w:val="auto"/>
                <w:w w:val="89"/>
              </w:rPr>
              <w:t>(Effective Portion)</w:t>
            </w:r>
          </w:p>
        </w:tc>
        <w:tc>
          <w:tcPr>
            <w:tcW w:w="900" w:type="dxa"/>
            <w:vAlign w:val="bottom"/>
            <w:gridSpan w:val="2"/>
          </w:tcPr>
          <w:p>
            <w:pPr>
              <w:jc w:val="center"/>
              <w:ind w:left="289"/>
              <w:spacing w:after="0" w:line="129" w:lineRule="exact"/>
              <w:rPr>
                <w:sz w:val="20"/>
                <w:szCs w:val="20"/>
                <w:color w:val="auto"/>
              </w:rPr>
            </w:pPr>
            <w:r>
              <w:rPr>
                <w:rFonts w:ascii="Arial" w:cs="Arial" w:eastAsia="Arial" w:hAnsi="Arial"/>
                <w:sz w:val="14"/>
                <w:szCs w:val="14"/>
                <w:b w:val="1"/>
                <w:bCs w:val="1"/>
                <w:color w:val="auto"/>
                <w:w w:val="84"/>
              </w:rPr>
              <w:t>Testing)</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gridSpan w:val="7"/>
          </w:tcPr>
          <w:p>
            <w:pPr>
              <w:jc w:val="center"/>
              <w:ind w:right="100"/>
              <w:spacing w:after="0" w:line="129" w:lineRule="exact"/>
              <w:rPr>
                <w:sz w:val="20"/>
                <w:szCs w:val="20"/>
                <w:color w:val="auto"/>
              </w:rPr>
            </w:pPr>
            <w:r>
              <w:rPr>
                <w:rFonts w:ascii="Arial" w:cs="Arial" w:eastAsia="Arial" w:hAnsi="Arial"/>
                <w:sz w:val="14"/>
                <w:szCs w:val="14"/>
                <w:b w:val="1"/>
                <w:bCs w:val="1"/>
                <w:color w:val="auto"/>
                <w:w w:val="83"/>
              </w:rPr>
              <w:t>Effectiveness Testing)</w:t>
            </w:r>
          </w:p>
        </w:tc>
        <w:tc>
          <w:tcPr>
            <w:tcW w:w="0" w:type="dxa"/>
            <w:vAlign w:val="bottom"/>
          </w:tcPr>
          <w:p>
            <w:pPr>
              <w:spacing w:after="0"/>
              <w:rPr>
                <w:sz w:val="1"/>
                <w:szCs w:val="1"/>
                <w:color w:val="auto"/>
              </w:rPr>
            </w:pPr>
          </w:p>
        </w:tc>
      </w:tr>
      <w:tr>
        <w:trPr>
          <w:trHeight w:val="20"/>
        </w:trPr>
        <w:tc>
          <w:tcPr>
            <w:tcW w:w="46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Borders>
              <w:top w:val="single" w:sz="8" w:color="auto"/>
            </w:tcBorders>
          </w:tcPr>
          <w:p>
            <w:pPr>
              <w:jc w:val="right"/>
              <w:ind w:right="72"/>
              <w:spacing w:after="0" w:line="129"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Borders>
              <w:top w:val="single" w:sz="8" w:color="auto"/>
            </w:tcBorders>
            <w:gridSpan w:val="2"/>
          </w:tcPr>
          <w:p>
            <w:pPr>
              <w:jc w:val="right"/>
              <w:ind w:right="147"/>
              <w:spacing w:after="0" w:line="129"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jc w:val="right"/>
              <w:ind w:right="52"/>
              <w:spacing w:after="0" w:line="129" w:lineRule="exact"/>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Borders>
              <w:top w:val="single" w:sz="8" w:color="auto"/>
            </w:tcBorders>
            <w:gridSpan w:val="2"/>
          </w:tcPr>
          <w:p>
            <w:pPr>
              <w:jc w:val="right"/>
              <w:ind w:right="52"/>
              <w:spacing w:after="0" w:line="129"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gridSpan w:val="2"/>
          </w:tcPr>
          <w:p>
            <w:pPr>
              <w:jc w:val="right"/>
              <w:ind w:right="72"/>
              <w:spacing w:after="0" w:line="129" w:lineRule="exact"/>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980" w:type="dxa"/>
            <w:vAlign w:val="bottom"/>
            <w:tcBorders>
              <w:top w:val="single" w:sz="8" w:color="CCEEFF"/>
            </w:tcBorders>
            <w:gridSpan w:val="4"/>
            <w:shd w:val="clear" w:color="auto" w:fill="CCEEFF"/>
          </w:tcPr>
          <w:p>
            <w:pPr>
              <w:spacing w:after="0" w:line="188" w:lineRule="exact"/>
              <w:rPr>
                <w:sz w:val="20"/>
                <w:szCs w:val="20"/>
                <w:color w:val="auto"/>
              </w:rPr>
            </w:pPr>
            <w:r>
              <w:rPr>
                <w:rFonts w:ascii="Arial" w:cs="Arial" w:eastAsia="Arial" w:hAnsi="Arial"/>
                <w:sz w:val="18"/>
                <w:szCs w:val="18"/>
                <w:color w:val="auto"/>
              </w:rPr>
              <w:t>Foreign exchange contracts</w:t>
            </w:r>
          </w:p>
        </w:tc>
        <w:tc>
          <w:tcPr>
            <w:tcW w:w="6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CCEEFF"/>
            </w:tcBorders>
            <w:shd w:val="clear" w:color="auto" w:fill="CCEEFF"/>
          </w:tcPr>
          <w:p>
            <w:pPr>
              <w:jc w:val="center"/>
              <w:spacing w:after="0" w:line="188" w:lineRule="exact"/>
              <w:rPr>
                <w:sz w:val="20"/>
                <w:szCs w:val="20"/>
                <w:color w:val="auto"/>
              </w:rPr>
            </w:pPr>
            <w:r>
              <w:rPr>
                <w:rFonts w:ascii="Arial" w:cs="Arial" w:eastAsia="Arial" w:hAnsi="Arial"/>
                <w:sz w:val="18"/>
                <w:szCs w:val="18"/>
                <w:color w:val="auto"/>
                <w:w w:val="87"/>
              </w:rPr>
              <w:t>Foreign exchange</w:t>
            </w:r>
          </w:p>
        </w:tc>
        <w:tc>
          <w:tcPr>
            <w:tcW w:w="16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420" w:type="dxa"/>
            <w:vAlign w:val="bottom"/>
            <w:tcBorders>
              <w:top w:val="single" w:sz="8" w:color="CCEEFF"/>
            </w:tcBorders>
            <w:gridSpan w:val="5"/>
            <w:shd w:val="clear" w:color="auto" w:fill="CCEEFF"/>
          </w:tcPr>
          <w:p>
            <w:pPr>
              <w:jc w:val="center"/>
              <w:ind w:right="160"/>
              <w:spacing w:after="0" w:line="188" w:lineRule="exact"/>
              <w:rPr>
                <w:sz w:val="20"/>
                <w:szCs w:val="20"/>
                <w:color w:val="auto"/>
              </w:rPr>
            </w:pPr>
            <w:r>
              <w:rPr>
                <w:rFonts w:ascii="Arial" w:cs="Arial" w:eastAsia="Arial" w:hAnsi="Arial"/>
                <w:sz w:val="18"/>
                <w:szCs w:val="18"/>
                <w:color w:val="auto"/>
                <w:w w:val="87"/>
              </w:rPr>
              <w:t>Foreign exchange</w:t>
            </w:r>
          </w:p>
        </w:tc>
        <w:tc>
          <w:tcPr>
            <w:tcW w:w="3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$ 9,980</w:t>
            </w:r>
          </w:p>
        </w:tc>
        <w:tc>
          <w:tcPr>
            <w:tcW w:w="220" w:type="dxa"/>
            <w:vAlign w:val="bottom"/>
            <w:shd w:val="clear" w:color="auto" w:fill="CCEEFF"/>
          </w:tcPr>
          <w:p>
            <w:pPr>
              <w:spacing w:after="0"/>
              <w:rPr>
                <w:sz w:val="19"/>
                <w:szCs w:val="19"/>
                <w:color w:val="auto"/>
              </w:rPr>
            </w:pPr>
          </w:p>
        </w:tc>
        <w:tc>
          <w:tcPr>
            <w:tcW w:w="9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 (5,835)</w:t>
            </w: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(loss)/gain</w:t>
            </w:r>
          </w:p>
        </w:tc>
        <w:tc>
          <w:tcPr>
            <w:tcW w:w="10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  (2,018)</w:t>
            </w: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656</w:t>
            </w:r>
          </w:p>
        </w:tc>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(loss)/gain</w:t>
            </w: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center"/>
              <w:ind w:right="400"/>
              <w:spacing w:after="0"/>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8"/>
        </w:trPr>
        <w:tc>
          <w:tcPr>
            <w:tcW w:w="2980" w:type="dxa"/>
            <w:vAlign w:val="bottom"/>
            <w:gridSpan w:val="4"/>
            <w:vMerge w:val="restart"/>
          </w:tcPr>
          <w:p>
            <w:pPr>
              <w:ind w:left="460"/>
              <w:spacing w:after="0"/>
              <w:rPr>
                <w:sz w:val="20"/>
                <w:szCs w:val="20"/>
                <w:color w:val="auto"/>
              </w:rPr>
            </w:pPr>
            <w:r>
              <w:rPr>
                <w:rFonts w:ascii="Arial" w:cs="Arial" w:eastAsia="Arial" w:hAnsi="Arial"/>
                <w:sz w:val="14"/>
                <w:szCs w:val="14"/>
                <w:b w:val="1"/>
                <w:bCs w:val="1"/>
                <w:color w:val="auto"/>
              </w:rPr>
              <w:t>Derivatives not designated</w:t>
            </w: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gridSpan w:val="7"/>
          </w:tcPr>
          <w:p>
            <w:pPr>
              <w:jc w:val="center"/>
              <w:spacing w:after="0"/>
              <w:rPr>
                <w:sz w:val="20"/>
                <w:szCs w:val="20"/>
                <w:color w:val="auto"/>
              </w:rPr>
            </w:pPr>
            <w:r>
              <w:rPr>
                <w:rFonts w:ascii="Arial" w:cs="Arial" w:eastAsia="Arial" w:hAnsi="Arial"/>
                <w:sz w:val="14"/>
                <w:szCs w:val="14"/>
                <w:b w:val="1"/>
                <w:bCs w:val="1"/>
                <w:color w:val="auto"/>
                <w:w w:val="90"/>
              </w:rPr>
              <w:t>Amount of Gain/(Loss)</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980" w:type="dxa"/>
            <w:vAlign w:val="bottom"/>
            <w:gridSpan w:val="4"/>
            <w:vMerge w:val="continue"/>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340" w:type="dxa"/>
            <w:vAlign w:val="bottom"/>
            <w:gridSpan w:val="7"/>
          </w:tcPr>
          <w:p>
            <w:pPr>
              <w:jc w:val="center"/>
              <w:ind w:right="300"/>
              <w:spacing w:after="0" w:line="135" w:lineRule="exact"/>
              <w:rPr>
                <w:sz w:val="20"/>
                <w:szCs w:val="20"/>
                <w:color w:val="auto"/>
              </w:rPr>
            </w:pPr>
            <w:r>
              <w:rPr>
                <w:rFonts w:ascii="Arial" w:cs="Arial" w:eastAsia="Arial" w:hAnsi="Arial"/>
                <w:sz w:val="14"/>
                <w:szCs w:val="14"/>
                <w:b w:val="1"/>
                <w:bCs w:val="1"/>
                <w:color w:val="auto"/>
                <w:w w:val="86"/>
              </w:rPr>
              <w:t>Location of Gain/(Loss)</w:t>
            </w:r>
          </w:p>
        </w:tc>
        <w:tc>
          <w:tcPr>
            <w:tcW w:w="1500" w:type="dxa"/>
            <w:vAlign w:val="bottom"/>
            <w:gridSpan w:val="7"/>
          </w:tcPr>
          <w:p>
            <w:pPr>
              <w:jc w:val="center"/>
              <w:spacing w:after="0" w:line="135" w:lineRule="exact"/>
              <w:rPr>
                <w:sz w:val="20"/>
                <w:szCs w:val="20"/>
                <w:color w:val="auto"/>
              </w:rPr>
            </w:pPr>
            <w:r>
              <w:rPr>
                <w:rFonts w:ascii="Arial" w:cs="Arial" w:eastAsia="Arial" w:hAnsi="Arial"/>
                <w:sz w:val="14"/>
                <w:szCs w:val="14"/>
                <w:b w:val="1"/>
                <w:bCs w:val="1"/>
                <w:color w:val="auto"/>
                <w:w w:val="86"/>
              </w:rPr>
              <w:t>Recognized in Income</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80" w:type="dxa"/>
            <w:vAlign w:val="bottom"/>
            <w:gridSpan w:val="4"/>
          </w:tcPr>
          <w:p>
            <w:pPr>
              <w:ind w:left="460"/>
              <w:spacing w:after="0" w:line="149" w:lineRule="exact"/>
              <w:rPr>
                <w:sz w:val="20"/>
                <w:szCs w:val="20"/>
                <w:color w:val="auto"/>
              </w:rPr>
            </w:pPr>
            <w:r>
              <w:rPr>
                <w:rFonts w:ascii="Arial" w:cs="Arial" w:eastAsia="Arial" w:hAnsi="Arial"/>
                <w:sz w:val="14"/>
                <w:szCs w:val="14"/>
                <w:b w:val="1"/>
                <w:bCs w:val="1"/>
                <w:color w:val="auto"/>
              </w:rPr>
              <w:t>as Hedging</w:t>
            </w: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340" w:type="dxa"/>
            <w:vAlign w:val="bottom"/>
            <w:gridSpan w:val="7"/>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Recognized in Income on</w:t>
            </w:r>
          </w:p>
        </w:tc>
        <w:tc>
          <w:tcPr>
            <w:tcW w:w="1380" w:type="dxa"/>
            <w:vAlign w:val="bottom"/>
            <w:gridSpan w:val="6"/>
          </w:tcPr>
          <w:p>
            <w:pPr>
              <w:jc w:val="center"/>
              <w:ind w:left="31"/>
              <w:spacing w:after="0" w:line="149" w:lineRule="exact"/>
              <w:rPr>
                <w:sz w:val="20"/>
                <w:szCs w:val="20"/>
                <w:color w:val="auto"/>
              </w:rPr>
            </w:pPr>
            <w:r>
              <w:rPr>
                <w:rFonts w:ascii="Arial" w:cs="Arial" w:eastAsia="Arial" w:hAnsi="Arial"/>
                <w:sz w:val="14"/>
                <w:szCs w:val="14"/>
                <w:b w:val="1"/>
                <w:bCs w:val="1"/>
                <w:color w:val="auto"/>
                <w:w w:val="87"/>
              </w:rPr>
              <w:t>on Derivatives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2980" w:type="dxa"/>
            <w:vAlign w:val="bottom"/>
            <w:gridSpan w:val="4"/>
            <w:vMerge w:val="restart"/>
          </w:tcPr>
          <w:p>
            <w:pPr>
              <w:ind w:left="460"/>
              <w:spacing w:after="0" w:line="141" w:lineRule="exact"/>
              <w:rPr>
                <w:sz w:val="20"/>
                <w:szCs w:val="20"/>
                <w:color w:val="auto"/>
              </w:rPr>
            </w:pPr>
            <w:r>
              <w:rPr>
                <w:rFonts w:ascii="Arial" w:cs="Arial" w:eastAsia="Arial" w:hAnsi="Arial"/>
                <w:sz w:val="14"/>
                <w:szCs w:val="14"/>
                <w:b w:val="1"/>
                <w:bCs w:val="1"/>
                <w:color w:val="auto"/>
              </w:rPr>
              <w:t>Instruments</w:t>
            </w: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2"/>
            <w:vMerge w:val="restart"/>
          </w:tcPr>
          <w:p>
            <w:pPr>
              <w:jc w:val="center"/>
              <w:ind w:right="80"/>
              <w:spacing w:after="0" w:line="141" w:lineRule="exact"/>
              <w:rPr>
                <w:sz w:val="20"/>
                <w:szCs w:val="20"/>
                <w:color w:val="auto"/>
              </w:rPr>
            </w:pPr>
            <w:r>
              <w:rPr>
                <w:rFonts w:ascii="Arial" w:cs="Arial" w:eastAsia="Arial" w:hAnsi="Arial"/>
                <w:sz w:val="14"/>
                <w:szCs w:val="14"/>
                <w:b w:val="1"/>
                <w:bCs w:val="1"/>
                <w:color w:val="auto"/>
                <w:w w:val="85"/>
              </w:rPr>
              <w:t>Derivatives</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2980" w:type="dxa"/>
            <w:vAlign w:val="bottom"/>
            <w:gridSpan w:val="4"/>
            <w:vMerge w:val="continue"/>
          </w:tcPr>
          <w:p>
            <w:pPr>
              <w:spacing w:after="0"/>
              <w:rPr>
                <w:sz w:val="10"/>
                <w:szCs w:val="10"/>
                <w:color w:val="auto"/>
              </w:rPr>
            </w:pPr>
          </w:p>
        </w:tc>
        <w:tc>
          <w:tcPr>
            <w:tcW w:w="6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gridSpan w:val="2"/>
          </w:tcPr>
          <w:p>
            <w:pPr>
              <w:jc w:val="right"/>
              <w:ind w:right="120"/>
              <w:spacing w:after="0" w:line="102" w:lineRule="exact"/>
              <w:rPr>
                <w:sz w:val="20"/>
                <w:szCs w:val="20"/>
                <w:color w:val="auto"/>
              </w:rPr>
            </w:pPr>
            <w:r>
              <w:rPr>
                <w:rFonts w:ascii="Arial" w:cs="Arial" w:eastAsia="Arial" w:hAnsi="Arial"/>
                <w:sz w:val="11"/>
                <w:szCs w:val="11"/>
                <w:b w:val="1"/>
                <w:bCs w:val="1"/>
                <w:color w:val="auto"/>
              </w:rPr>
              <w:t>2012</w:t>
            </w:r>
          </w:p>
        </w:tc>
        <w:tc>
          <w:tcPr>
            <w:tcW w:w="20" w:type="dxa"/>
            <w:vAlign w:val="bottom"/>
          </w:tcPr>
          <w:p>
            <w:pPr>
              <w:spacing w:after="0"/>
              <w:rPr>
                <w:sz w:val="10"/>
                <w:szCs w:val="10"/>
                <w:color w:val="auto"/>
              </w:rPr>
            </w:pPr>
          </w:p>
        </w:tc>
        <w:tc>
          <w:tcPr>
            <w:tcW w:w="860" w:type="dxa"/>
            <w:vAlign w:val="bottom"/>
            <w:gridSpan w:val="3"/>
          </w:tcPr>
          <w:p>
            <w:pPr>
              <w:jc w:val="right"/>
              <w:ind w:right="60"/>
              <w:spacing w:after="0" w:line="102" w:lineRule="exact"/>
              <w:rPr>
                <w:sz w:val="20"/>
                <w:szCs w:val="20"/>
                <w:color w:val="auto"/>
              </w:rPr>
            </w:pPr>
            <w:r>
              <w:rPr>
                <w:rFonts w:ascii="Arial" w:cs="Arial" w:eastAsia="Arial" w:hAnsi="Arial"/>
                <w:sz w:val="11"/>
                <w:szCs w:val="11"/>
                <w:b w:val="1"/>
                <w:bCs w:val="1"/>
                <w:color w:val="auto"/>
              </w:rPr>
              <w:t>2011</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00" w:type="dxa"/>
            <w:vAlign w:val="bottom"/>
            <w:tcBorders>
              <w:top w:val="single" w:sz="8" w:color="auto"/>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0" w:type="dxa"/>
            <w:vAlign w:val="bottom"/>
          </w:tcPr>
          <w:p>
            <w:pPr>
              <w:spacing w:after="0"/>
              <w:rPr>
                <w:sz w:val="17"/>
                <w:szCs w:val="17"/>
                <w:color w:val="auto"/>
              </w:rPr>
            </w:pPr>
          </w:p>
        </w:tc>
        <w:tc>
          <w:tcPr>
            <w:tcW w:w="252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Foreign exchange contracts</w:t>
            </w:r>
          </w:p>
        </w:tc>
        <w:tc>
          <w:tcPr>
            <w:tcW w:w="6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40" w:type="dxa"/>
            <w:vAlign w:val="bottom"/>
            <w:gridSpan w:val="6"/>
            <w:shd w:val="clear" w:color="auto" w:fill="CCEEFF"/>
          </w:tcPr>
          <w:p>
            <w:pPr>
              <w:jc w:val="center"/>
              <w:spacing w:after="0" w:line="196" w:lineRule="exact"/>
              <w:rPr>
                <w:sz w:val="20"/>
                <w:szCs w:val="20"/>
                <w:color w:val="auto"/>
              </w:rPr>
            </w:pPr>
            <w:r>
              <w:rPr>
                <w:rFonts w:ascii="Arial" w:cs="Arial" w:eastAsia="Arial" w:hAnsi="Arial"/>
                <w:sz w:val="18"/>
                <w:szCs w:val="18"/>
                <w:color w:val="auto"/>
                <w:w w:val="87"/>
              </w:rPr>
              <w:t>Foreign exchange (loss)/gain</w:t>
            </w:r>
          </w:p>
        </w:tc>
        <w:tc>
          <w:tcPr>
            <w:tcW w:w="3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$ 2,623</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w w:val="80"/>
              </w:rPr>
              <w:t>$ (3,713)</w:t>
            </w:r>
          </w:p>
        </w:tc>
        <w:tc>
          <w:tcPr>
            <w:tcW w:w="100" w:type="dxa"/>
            <w:vAlign w:val="bottom"/>
            <w:shd w:val="clear" w:color="auto" w:fill="CCEEFF"/>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following tables set forth the effect of foreign currency exchange contracts on the unaudited consolidated statements of income for the nine months ended September 30, 2012 and 2011:</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7"/>
              </w:rPr>
              <w:t>Location of Gain/</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5"/>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(Loss) Recognized</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5"/>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in Income on</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5"/>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Derivative</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Location of</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5"/>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(Ineffective</w:t>
            </w:r>
          </w:p>
        </w:tc>
        <w:tc>
          <w:tcPr>
            <w:tcW w:w="20" w:type="dxa"/>
            <w:vAlign w:val="bottom"/>
          </w:tcPr>
          <w:p>
            <w:pPr>
              <w:spacing w:after="0"/>
              <w:rPr>
                <w:sz w:val="12"/>
                <w:szCs w:val="12"/>
                <w:color w:val="auto"/>
              </w:rPr>
            </w:pPr>
          </w:p>
        </w:tc>
        <w:tc>
          <w:tcPr>
            <w:tcW w:w="1560" w:type="dxa"/>
            <w:vAlign w:val="bottom"/>
            <w:gridSpan w:val="9"/>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Amount of Gain/(Loss)</w:t>
            </w:r>
          </w:p>
        </w:tc>
        <w:tc>
          <w:tcPr>
            <w:tcW w:w="0" w:type="dxa"/>
            <w:vAlign w:val="bottom"/>
          </w:tcPr>
          <w:p>
            <w:pPr>
              <w:spacing w:after="0"/>
              <w:rPr>
                <w:sz w:val="1"/>
                <w:szCs w:val="1"/>
                <w:color w:val="auto"/>
              </w:rPr>
            </w:pPr>
          </w:p>
        </w:tc>
      </w:tr>
      <w:tr>
        <w:trPr>
          <w:trHeight w:val="149"/>
        </w:trPr>
        <w:tc>
          <w:tcPr>
            <w:tcW w:w="27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Derivatives in</w:t>
            </w: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(Loss)/Gain</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5"/>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Portion and</w:t>
            </w:r>
          </w:p>
        </w:tc>
        <w:tc>
          <w:tcPr>
            <w:tcW w:w="20" w:type="dxa"/>
            <w:vAlign w:val="bottom"/>
          </w:tcPr>
          <w:p>
            <w:pPr>
              <w:spacing w:after="0"/>
              <w:rPr>
                <w:sz w:val="12"/>
                <w:szCs w:val="12"/>
                <w:color w:val="auto"/>
              </w:rPr>
            </w:pPr>
          </w:p>
        </w:tc>
        <w:tc>
          <w:tcPr>
            <w:tcW w:w="1180" w:type="dxa"/>
            <w:vAlign w:val="bottom"/>
            <w:gridSpan w:val="7"/>
          </w:tcPr>
          <w:p>
            <w:pPr>
              <w:jc w:val="center"/>
              <w:ind w:left="232"/>
              <w:spacing w:after="0" w:line="149" w:lineRule="exact"/>
              <w:rPr>
                <w:sz w:val="20"/>
                <w:szCs w:val="20"/>
                <w:color w:val="auto"/>
              </w:rPr>
            </w:pPr>
            <w:r>
              <w:rPr>
                <w:rFonts w:ascii="Arial" w:cs="Arial" w:eastAsia="Arial" w:hAnsi="Arial"/>
                <w:sz w:val="14"/>
                <w:szCs w:val="14"/>
                <w:b w:val="1"/>
                <w:bCs w:val="1"/>
                <w:color w:val="auto"/>
                <w:w w:val="84"/>
              </w:rPr>
              <w:t>Recognized in</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gridSpan w:val="4"/>
            <w:vMerge w:val="continue"/>
          </w:tcPr>
          <w:p>
            <w:pPr>
              <w:spacing w:after="0"/>
              <w:rPr>
                <w:sz w:val="12"/>
                <w:szCs w:val="12"/>
                <w:color w:val="auto"/>
              </w:rPr>
            </w:pPr>
          </w:p>
        </w:tc>
        <w:tc>
          <w:tcPr>
            <w:tcW w:w="360" w:type="dxa"/>
            <w:vAlign w:val="bottom"/>
          </w:tcPr>
          <w:p>
            <w:pPr>
              <w:spacing w:after="0"/>
              <w:rPr>
                <w:sz w:val="12"/>
                <w:szCs w:val="12"/>
                <w:color w:val="auto"/>
              </w:rPr>
            </w:pPr>
          </w:p>
        </w:tc>
        <w:tc>
          <w:tcPr>
            <w:tcW w:w="1660" w:type="dxa"/>
            <w:vAlign w:val="bottom"/>
            <w:gridSpan w:val="4"/>
          </w:tcPr>
          <w:p>
            <w:pPr>
              <w:jc w:val="center"/>
              <w:ind w:right="180"/>
              <w:spacing w:after="0" w:line="148" w:lineRule="exact"/>
              <w:rPr>
                <w:sz w:val="20"/>
                <w:szCs w:val="20"/>
                <w:color w:val="auto"/>
              </w:rPr>
            </w:pPr>
            <w:r>
              <w:rPr>
                <w:rFonts w:ascii="Arial" w:cs="Arial" w:eastAsia="Arial" w:hAnsi="Arial"/>
                <w:sz w:val="14"/>
                <w:szCs w:val="14"/>
                <w:b w:val="1"/>
                <w:bCs w:val="1"/>
                <w:color w:val="auto"/>
                <w:w w:val="87"/>
              </w:rPr>
              <w:t>Amount of Gain/(Loss)</w:t>
            </w:r>
          </w:p>
        </w:tc>
        <w:tc>
          <w:tcPr>
            <w:tcW w:w="100" w:type="dxa"/>
            <w:vAlign w:val="bottom"/>
          </w:tcPr>
          <w:p>
            <w:pPr>
              <w:spacing w:after="0"/>
              <w:rPr>
                <w:sz w:val="12"/>
                <w:szCs w:val="12"/>
                <w:color w:val="auto"/>
              </w:rPr>
            </w:pPr>
          </w:p>
        </w:tc>
        <w:tc>
          <w:tcPr>
            <w:tcW w:w="1640" w:type="dxa"/>
            <w:vAlign w:val="bottom"/>
            <w:gridSpan w:val="2"/>
          </w:tcPr>
          <w:p>
            <w:pPr>
              <w:jc w:val="center"/>
              <w:ind w:right="160"/>
              <w:spacing w:after="0" w:line="148" w:lineRule="exact"/>
              <w:rPr>
                <w:sz w:val="20"/>
                <w:szCs w:val="20"/>
                <w:color w:val="auto"/>
              </w:rPr>
            </w:pPr>
            <w:r>
              <w:rPr>
                <w:rFonts w:ascii="Arial" w:cs="Arial" w:eastAsia="Arial" w:hAnsi="Arial"/>
                <w:sz w:val="14"/>
                <w:szCs w:val="14"/>
                <w:b w:val="1"/>
                <w:bCs w:val="1"/>
                <w:color w:val="auto"/>
                <w:w w:val="85"/>
              </w:rPr>
              <w:t>Reclassified from</w:t>
            </w:r>
          </w:p>
        </w:tc>
        <w:tc>
          <w:tcPr>
            <w:tcW w:w="1520" w:type="dxa"/>
            <w:vAlign w:val="bottom"/>
            <w:gridSpan w:val="5"/>
          </w:tcPr>
          <w:p>
            <w:pPr>
              <w:jc w:val="center"/>
              <w:spacing w:after="0" w:line="148" w:lineRule="exact"/>
              <w:rPr>
                <w:sz w:val="20"/>
                <w:szCs w:val="20"/>
                <w:color w:val="auto"/>
              </w:rPr>
            </w:pPr>
            <w:r>
              <w:rPr>
                <w:rFonts w:ascii="Arial" w:cs="Arial" w:eastAsia="Arial" w:hAnsi="Arial"/>
                <w:sz w:val="14"/>
                <w:szCs w:val="14"/>
                <w:b w:val="1"/>
                <w:bCs w:val="1"/>
                <w:color w:val="auto"/>
                <w:w w:val="88"/>
              </w:rPr>
              <w:t>Amount of</w:t>
            </w:r>
          </w:p>
        </w:tc>
        <w:tc>
          <w:tcPr>
            <w:tcW w:w="260" w:type="dxa"/>
            <w:vAlign w:val="bottom"/>
          </w:tcPr>
          <w:p>
            <w:pPr>
              <w:spacing w:after="0"/>
              <w:rPr>
                <w:sz w:val="12"/>
                <w:szCs w:val="12"/>
                <w:color w:val="auto"/>
              </w:rPr>
            </w:pPr>
          </w:p>
        </w:tc>
        <w:tc>
          <w:tcPr>
            <w:tcW w:w="1540" w:type="dxa"/>
            <w:vAlign w:val="bottom"/>
            <w:gridSpan w:val="5"/>
          </w:tcPr>
          <w:p>
            <w:pPr>
              <w:jc w:val="center"/>
              <w:ind w:right="140"/>
              <w:spacing w:after="0" w:line="148" w:lineRule="exact"/>
              <w:rPr>
                <w:sz w:val="20"/>
                <w:szCs w:val="20"/>
                <w:color w:val="auto"/>
              </w:rPr>
            </w:pPr>
            <w:r>
              <w:rPr>
                <w:rFonts w:ascii="Arial" w:cs="Arial" w:eastAsia="Arial" w:hAnsi="Arial"/>
                <w:sz w:val="14"/>
                <w:szCs w:val="14"/>
                <w:b w:val="1"/>
                <w:bCs w:val="1"/>
                <w:color w:val="auto"/>
                <w:w w:val="87"/>
              </w:rPr>
              <w:t>Amount Excluded</w:t>
            </w:r>
          </w:p>
        </w:tc>
        <w:tc>
          <w:tcPr>
            <w:tcW w:w="20" w:type="dxa"/>
            <w:vAlign w:val="bottom"/>
          </w:tcPr>
          <w:p>
            <w:pPr>
              <w:spacing w:after="0"/>
              <w:rPr>
                <w:sz w:val="12"/>
                <w:szCs w:val="12"/>
                <w:color w:val="auto"/>
              </w:rPr>
            </w:pPr>
          </w:p>
        </w:tc>
        <w:tc>
          <w:tcPr>
            <w:tcW w:w="1560" w:type="dxa"/>
            <w:vAlign w:val="bottom"/>
            <w:gridSpan w:val="9"/>
          </w:tcPr>
          <w:p>
            <w:pPr>
              <w:jc w:val="center"/>
              <w:ind w:right="80"/>
              <w:spacing w:after="0" w:line="148" w:lineRule="exact"/>
              <w:rPr>
                <w:sz w:val="20"/>
                <w:szCs w:val="20"/>
                <w:color w:val="auto"/>
              </w:rPr>
            </w:pPr>
            <w:r>
              <w:rPr>
                <w:rFonts w:ascii="Arial" w:cs="Arial" w:eastAsia="Arial" w:hAnsi="Arial"/>
                <w:sz w:val="14"/>
                <w:szCs w:val="14"/>
                <w:b w:val="1"/>
                <w:bCs w:val="1"/>
                <w:color w:val="auto"/>
                <w:w w:val="90"/>
              </w:rPr>
              <w:t>Income on Derivative</w:t>
            </w:r>
          </w:p>
        </w:tc>
        <w:tc>
          <w:tcPr>
            <w:tcW w:w="0" w:type="dxa"/>
            <w:vAlign w:val="bottom"/>
          </w:tcPr>
          <w:p>
            <w:pPr>
              <w:spacing w:after="0"/>
              <w:rPr>
                <w:sz w:val="1"/>
                <w:szCs w:val="1"/>
                <w:color w:val="auto"/>
              </w:rPr>
            </w:pPr>
          </w:p>
        </w:tc>
      </w:tr>
      <w:tr>
        <w:trPr>
          <w:trHeight w:val="149"/>
        </w:trPr>
        <w:tc>
          <w:tcPr>
            <w:tcW w:w="27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Cash Flow</w:t>
            </w:r>
          </w:p>
        </w:tc>
        <w:tc>
          <w:tcPr>
            <w:tcW w:w="360" w:type="dxa"/>
            <w:vAlign w:val="bottom"/>
          </w:tcPr>
          <w:p>
            <w:pPr>
              <w:spacing w:after="0"/>
              <w:rPr>
                <w:sz w:val="12"/>
                <w:szCs w:val="12"/>
                <w:color w:val="auto"/>
              </w:rPr>
            </w:pPr>
          </w:p>
        </w:tc>
        <w:tc>
          <w:tcPr>
            <w:tcW w:w="166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Recognized in AOCI on</w:t>
            </w:r>
          </w:p>
        </w:tc>
        <w:tc>
          <w:tcPr>
            <w:tcW w:w="100" w:type="dxa"/>
            <w:vAlign w:val="bottom"/>
          </w:tcPr>
          <w:p>
            <w:pPr>
              <w:spacing w:after="0"/>
              <w:rPr>
                <w:sz w:val="12"/>
                <w:szCs w:val="12"/>
                <w:color w:val="auto"/>
              </w:rPr>
            </w:pPr>
          </w:p>
        </w:tc>
        <w:tc>
          <w:tcPr>
            <w:tcW w:w="16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AOCI into</w:t>
            </w:r>
          </w:p>
        </w:tc>
        <w:tc>
          <w:tcPr>
            <w:tcW w:w="152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6"/>
              </w:rPr>
              <w:t>(Loss)/Gain Reclassified</w:t>
            </w:r>
          </w:p>
        </w:tc>
        <w:tc>
          <w:tcPr>
            <w:tcW w:w="260" w:type="dxa"/>
            <w:vAlign w:val="bottom"/>
          </w:tcPr>
          <w:p>
            <w:pPr>
              <w:spacing w:after="0"/>
              <w:rPr>
                <w:sz w:val="12"/>
                <w:szCs w:val="12"/>
                <w:color w:val="auto"/>
              </w:rPr>
            </w:pPr>
          </w:p>
        </w:tc>
        <w:tc>
          <w:tcPr>
            <w:tcW w:w="960" w:type="dxa"/>
            <w:vAlign w:val="bottom"/>
            <w:gridSpan w:val="2"/>
          </w:tcPr>
          <w:p>
            <w:pPr>
              <w:jc w:val="center"/>
              <w:ind w:left="372"/>
              <w:spacing w:after="0" w:line="149" w:lineRule="exact"/>
              <w:rPr>
                <w:sz w:val="20"/>
                <w:szCs w:val="20"/>
                <w:color w:val="auto"/>
              </w:rPr>
            </w:pPr>
            <w:r>
              <w:rPr>
                <w:rFonts w:ascii="Arial" w:cs="Arial" w:eastAsia="Arial" w:hAnsi="Arial"/>
                <w:sz w:val="14"/>
                <w:szCs w:val="14"/>
                <w:b w:val="1"/>
                <w:bCs w:val="1"/>
                <w:color w:val="auto"/>
                <w:w w:val="89"/>
              </w:rPr>
              <w:t>from</w:t>
            </w: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gridSpan w:val="9"/>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(Ineffective Portion and</w:t>
            </w:r>
          </w:p>
        </w:tc>
        <w:tc>
          <w:tcPr>
            <w:tcW w:w="0" w:type="dxa"/>
            <w:vAlign w:val="bottom"/>
          </w:tcPr>
          <w:p>
            <w:pPr>
              <w:spacing w:after="0"/>
              <w:rPr>
                <w:sz w:val="1"/>
                <w:szCs w:val="1"/>
                <w:color w:val="auto"/>
              </w:rPr>
            </w:pPr>
          </w:p>
        </w:tc>
      </w:tr>
      <w:tr>
        <w:trPr>
          <w:trHeight w:val="149"/>
        </w:trPr>
        <w:tc>
          <w:tcPr>
            <w:tcW w:w="27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Hedging</w:t>
            </w:r>
          </w:p>
        </w:tc>
        <w:tc>
          <w:tcPr>
            <w:tcW w:w="360" w:type="dxa"/>
            <w:vAlign w:val="bottom"/>
          </w:tcPr>
          <w:p>
            <w:pPr>
              <w:spacing w:after="0"/>
              <w:rPr>
                <w:sz w:val="12"/>
                <w:szCs w:val="12"/>
                <w:color w:val="auto"/>
              </w:rPr>
            </w:pPr>
          </w:p>
        </w:tc>
        <w:tc>
          <w:tcPr>
            <w:tcW w:w="166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Derivative</w:t>
            </w:r>
          </w:p>
        </w:tc>
        <w:tc>
          <w:tcPr>
            <w:tcW w:w="100" w:type="dxa"/>
            <w:vAlign w:val="bottom"/>
          </w:tcPr>
          <w:p>
            <w:pPr>
              <w:spacing w:after="0"/>
              <w:rPr>
                <w:sz w:val="12"/>
                <w:szCs w:val="12"/>
                <w:color w:val="auto"/>
              </w:rPr>
            </w:pPr>
          </w:p>
        </w:tc>
        <w:tc>
          <w:tcPr>
            <w:tcW w:w="16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Income (Effective</w:t>
            </w:r>
          </w:p>
        </w:tc>
        <w:tc>
          <w:tcPr>
            <w:tcW w:w="152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1"/>
              </w:rPr>
              <w:t>from AOCI into Income</w:t>
            </w:r>
          </w:p>
        </w:tc>
        <w:tc>
          <w:tcPr>
            <w:tcW w:w="260" w:type="dxa"/>
            <w:vAlign w:val="bottom"/>
          </w:tcPr>
          <w:p>
            <w:pPr>
              <w:spacing w:after="0"/>
              <w:rPr>
                <w:sz w:val="12"/>
                <w:szCs w:val="12"/>
                <w:color w:val="auto"/>
              </w:rPr>
            </w:pPr>
          </w:p>
        </w:tc>
        <w:tc>
          <w:tcPr>
            <w:tcW w:w="1540" w:type="dxa"/>
            <w:vAlign w:val="bottom"/>
            <w:gridSpan w:val="5"/>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Effectiveness</w:t>
            </w:r>
          </w:p>
        </w:tc>
        <w:tc>
          <w:tcPr>
            <w:tcW w:w="20" w:type="dxa"/>
            <w:vAlign w:val="bottom"/>
          </w:tcPr>
          <w:p>
            <w:pPr>
              <w:spacing w:after="0"/>
              <w:rPr>
                <w:sz w:val="12"/>
                <w:szCs w:val="12"/>
                <w:color w:val="auto"/>
              </w:rPr>
            </w:pPr>
          </w:p>
        </w:tc>
        <w:tc>
          <w:tcPr>
            <w:tcW w:w="1560" w:type="dxa"/>
            <w:vAlign w:val="bottom"/>
            <w:gridSpan w:val="9"/>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Amount Excluded from</w:t>
            </w:r>
          </w:p>
        </w:tc>
        <w:tc>
          <w:tcPr>
            <w:tcW w:w="0" w:type="dxa"/>
            <w:vAlign w:val="bottom"/>
          </w:tcPr>
          <w:p>
            <w:pPr>
              <w:spacing w:after="0"/>
              <w:rPr>
                <w:sz w:val="1"/>
                <w:szCs w:val="1"/>
                <w:color w:val="auto"/>
              </w:rPr>
            </w:pPr>
          </w:p>
        </w:tc>
      </w:tr>
      <w:tr>
        <w:trPr>
          <w:trHeight w:val="149"/>
        </w:trPr>
        <w:tc>
          <w:tcPr>
            <w:tcW w:w="276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Relationships</w:t>
            </w:r>
          </w:p>
        </w:tc>
        <w:tc>
          <w:tcPr>
            <w:tcW w:w="360" w:type="dxa"/>
            <w:vAlign w:val="bottom"/>
          </w:tcPr>
          <w:p>
            <w:pPr>
              <w:spacing w:after="0"/>
              <w:rPr>
                <w:sz w:val="12"/>
                <w:szCs w:val="12"/>
                <w:color w:val="auto"/>
              </w:rPr>
            </w:pPr>
          </w:p>
        </w:tc>
        <w:tc>
          <w:tcPr>
            <w:tcW w:w="1660" w:type="dxa"/>
            <w:vAlign w:val="bottom"/>
            <w:gridSpan w:val="4"/>
          </w:tcPr>
          <w:p>
            <w:pPr>
              <w:jc w:val="center"/>
              <w:ind w:right="180"/>
              <w:spacing w:after="0" w:line="129" w:lineRule="exact"/>
              <w:rPr>
                <w:sz w:val="20"/>
                <w:szCs w:val="20"/>
                <w:color w:val="auto"/>
              </w:rPr>
            </w:pPr>
            <w:r>
              <w:rPr>
                <w:rFonts w:ascii="Arial" w:cs="Arial" w:eastAsia="Arial" w:hAnsi="Arial"/>
                <w:sz w:val="14"/>
                <w:szCs w:val="14"/>
                <w:b w:val="1"/>
                <w:bCs w:val="1"/>
                <w:color w:val="auto"/>
                <w:w w:val="89"/>
              </w:rPr>
              <w:t>(Effective Portion)</w:t>
            </w:r>
          </w:p>
        </w:tc>
        <w:tc>
          <w:tcPr>
            <w:tcW w:w="100" w:type="dxa"/>
            <w:vAlign w:val="bottom"/>
          </w:tcPr>
          <w:p>
            <w:pPr>
              <w:spacing w:after="0"/>
              <w:rPr>
                <w:sz w:val="12"/>
                <w:szCs w:val="12"/>
                <w:color w:val="auto"/>
              </w:rPr>
            </w:pPr>
          </w:p>
        </w:tc>
        <w:tc>
          <w:tcPr>
            <w:tcW w:w="164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9"/>
              </w:rPr>
              <w:t>Portion)</w:t>
            </w:r>
          </w:p>
        </w:tc>
        <w:tc>
          <w:tcPr>
            <w:tcW w:w="1520" w:type="dxa"/>
            <w:vAlign w:val="bottom"/>
            <w:gridSpan w:val="5"/>
          </w:tcPr>
          <w:p>
            <w:pPr>
              <w:jc w:val="center"/>
              <w:spacing w:after="0" w:line="129" w:lineRule="exact"/>
              <w:rPr>
                <w:sz w:val="20"/>
                <w:szCs w:val="20"/>
                <w:color w:val="auto"/>
              </w:rPr>
            </w:pPr>
            <w:r>
              <w:rPr>
                <w:rFonts w:ascii="Arial" w:cs="Arial" w:eastAsia="Arial" w:hAnsi="Arial"/>
                <w:sz w:val="14"/>
                <w:szCs w:val="14"/>
                <w:b w:val="1"/>
                <w:bCs w:val="1"/>
                <w:color w:val="auto"/>
                <w:w w:val="89"/>
              </w:rPr>
              <w:t>(Effective Portion)</w:t>
            </w:r>
          </w:p>
        </w:tc>
        <w:tc>
          <w:tcPr>
            <w:tcW w:w="260" w:type="dxa"/>
            <w:vAlign w:val="bottom"/>
          </w:tcPr>
          <w:p>
            <w:pPr>
              <w:spacing w:after="0"/>
              <w:rPr>
                <w:sz w:val="12"/>
                <w:szCs w:val="12"/>
                <w:color w:val="auto"/>
              </w:rPr>
            </w:pPr>
          </w:p>
        </w:tc>
        <w:tc>
          <w:tcPr>
            <w:tcW w:w="960" w:type="dxa"/>
            <w:vAlign w:val="bottom"/>
            <w:gridSpan w:val="2"/>
          </w:tcPr>
          <w:p>
            <w:pPr>
              <w:jc w:val="center"/>
              <w:ind w:left="392"/>
              <w:spacing w:after="0" w:line="129" w:lineRule="exact"/>
              <w:rPr>
                <w:sz w:val="20"/>
                <w:szCs w:val="20"/>
                <w:color w:val="auto"/>
              </w:rPr>
            </w:pPr>
            <w:r>
              <w:rPr>
                <w:rFonts w:ascii="Arial" w:cs="Arial" w:eastAsia="Arial" w:hAnsi="Arial"/>
                <w:sz w:val="14"/>
                <w:szCs w:val="14"/>
                <w:b w:val="1"/>
                <w:bCs w:val="1"/>
                <w:color w:val="auto"/>
                <w:w w:val="84"/>
              </w:rPr>
              <w:t>Testing)</w:t>
            </w: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gridSpan w:val="9"/>
          </w:tcPr>
          <w:p>
            <w:pPr>
              <w:jc w:val="center"/>
              <w:ind w:right="80"/>
              <w:spacing w:after="0" w:line="129" w:lineRule="exact"/>
              <w:rPr>
                <w:sz w:val="20"/>
                <w:szCs w:val="20"/>
                <w:color w:val="auto"/>
              </w:rPr>
            </w:pPr>
            <w:r>
              <w:rPr>
                <w:rFonts w:ascii="Arial" w:cs="Arial" w:eastAsia="Arial" w:hAnsi="Arial"/>
                <w:sz w:val="14"/>
                <w:szCs w:val="14"/>
                <w:b w:val="1"/>
                <w:bCs w:val="1"/>
                <w:color w:val="auto"/>
                <w:w w:val="83"/>
              </w:rPr>
              <w:t>Effectiveness Testing)</w:t>
            </w:r>
          </w:p>
        </w:tc>
        <w:tc>
          <w:tcPr>
            <w:tcW w:w="0" w:type="dxa"/>
            <w:vAlign w:val="bottom"/>
          </w:tcPr>
          <w:p>
            <w:pPr>
              <w:spacing w:after="0"/>
              <w:rPr>
                <w:sz w:val="1"/>
                <w:szCs w:val="1"/>
                <w:color w:val="auto"/>
              </w:rPr>
            </w:pPr>
          </w:p>
        </w:tc>
      </w:tr>
      <w:tr>
        <w:trPr>
          <w:trHeight w:val="20"/>
        </w:trPr>
        <w:tc>
          <w:tcPr>
            <w:tcW w:w="46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Borders>
              <w:top w:val="single" w:sz="8" w:color="auto"/>
            </w:tcBorders>
          </w:tcPr>
          <w:p>
            <w:pPr>
              <w:jc w:val="right"/>
              <w:ind w:right="72"/>
              <w:spacing w:after="0" w:line="129"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122"/>
              <w:spacing w:after="0" w:line="129"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jc w:val="right"/>
              <w:ind w:right="92"/>
              <w:spacing w:after="0" w:line="129" w:lineRule="exact"/>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Borders>
              <w:top w:val="single" w:sz="8" w:color="auto"/>
            </w:tcBorders>
            <w:gridSpan w:val="2"/>
          </w:tcPr>
          <w:p>
            <w:pPr>
              <w:jc w:val="right"/>
              <w:ind w:right="3"/>
              <w:spacing w:after="0" w:line="129" w:lineRule="exact"/>
              <w:rPr>
                <w:sz w:val="20"/>
                <w:szCs w:val="20"/>
                <w:color w:val="auto"/>
              </w:rPr>
            </w:pPr>
            <w:r>
              <w:rPr>
                <w:rFonts w:ascii="Arial" w:cs="Arial" w:eastAsia="Arial" w:hAnsi="Arial"/>
                <w:sz w:val="14"/>
                <w:szCs w:val="14"/>
                <w:b w:val="1"/>
                <w:bCs w:val="1"/>
                <w:color w:val="auto"/>
              </w:rPr>
              <w:t>2012</w:t>
            </w:r>
          </w:p>
        </w:tc>
        <w:tc>
          <w:tcPr>
            <w:tcW w:w="960" w:type="dxa"/>
            <w:vAlign w:val="bottom"/>
            <w:tcBorders>
              <w:top w:val="single" w:sz="8" w:color="auto"/>
            </w:tcBorders>
            <w:gridSpan w:val="6"/>
          </w:tcPr>
          <w:p>
            <w:pPr>
              <w:jc w:val="right"/>
              <w:ind w:right="72"/>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760" w:type="dxa"/>
            <w:vAlign w:val="bottom"/>
            <w:tcBorders>
              <w:top w:val="single" w:sz="8" w:color="CCEEFF"/>
            </w:tcBorders>
            <w:gridSpan w:val="4"/>
            <w:shd w:val="clear" w:color="auto" w:fill="CCEEFF"/>
          </w:tcPr>
          <w:p>
            <w:pPr>
              <w:spacing w:after="0" w:line="188" w:lineRule="exact"/>
              <w:rPr>
                <w:sz w:val="20"/>
                <w:szCs w:val="20"/>
                <w:color w:val="auto"/>
              </w:rPr>
            </w:pPr>
            <w:r>
              <w:rPr>
                <w:rFonts w:ascii="Arial" w:cs="Arial" w:eastAsia="Arial" w:hAnsi="Arial"/>
                <w:sz w:val="18"/>
                <w:szCs w:val="18"/>
                <w:color w:val="auto"/>
              </w:rPr>
              <w:t>Foreign exchange contracts</w:t>
            </w:r>
          </w:p>
        </w:tc>
        <w:tc>
          <w:tcPr>
            <w:tcW w:w="36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740" w:type="dxa"/>
            <w:vAlign w:val="bottom"/>
            <w:tcBorders>
              <w:top w:val="single" w:sz="8" w:color="CCEEFF"/>
            </w:tcBorders>
            <w:gridSpan w:val="3"/>
            <w:shd w:val="clear" w:color="auto" w:fill="CCEEFF"/>
          </w:tcPr>
          <w:p>
            <w:pPr>
              <w:ind w:left="100"/>
              <w:spacing w:after="0" w:line="188" w:lineRule="exact"/>
              <w:rPr>
                <w:sz w:val="20"/>
                <w:szCs w:val="20"/>
                <w:color w:val="auto"/>
              </w:rPr>
            </w:pPr>
            <w:r>
              <w:rPr>
                <w:rFonts w:ascii="Arial" w:cs="Arial" w:eastAsia="Arial" w:hAnsi="Arial"/>
                <w:sz w:val="18"/>
                <w:szCs w:val="18"/>
                <w:color w:val="auto"/>
              </w:rPr>
              <w:t>Foreign exchange</w:t>
            </w:r>
          </w:p>
        </w:tc>
        <w:tc>
          <w:tcPr>
            <w:tcW w:w="4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800" w:type="dxa"/>
            <w:vAlign w:val="bottom"/>
            <w:tcBorders>
              <w:top w:val="single" w:sz="8" w:color="CCEEFF"/>
            </w:tcBorders>
            <w:gridSpan w:val="6"/>
            <w:shd w:val="clear" w:color="auto" w:fill="CCEEFF"/>
          </w:tcPr>
          <w:p>
            <w:pPr>
              <w:ind w:left="260"/>
              <w:spacing w:after="0" w:line="188" w:lineRule="exact"/>
              <w:rPr>
                <w:sz w:val="20"/>
                <w:szCs w:val="20"/>
                <w:color w:val="auto"/>
              </w:rPr>
            </w:pPr>
            <w:r>
              <w:rPr>
                <w:rFonts w:ascii="Arial" w:cs="Arial" w:eastAsia="Arial" w:hAnsi="Arial"/>
                <w:sz w:val="18"/>
                <w:szCs w:val="18"/>
                <w:color w:val="auto"/>
              </w:rPr>
              <w:t>Foreign exchange</w:t>
            </w:r>
          </w:p>
        </w:tc>
        <w:tc>
          <w:tcPr>
            <w:tcW w:w="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$ 4,859</w:t>
            </w:r>
          </w:p>
        </w:tc>
        <w:tc>
          <w:tcPr>
            <w:tcW w:w="2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  (2,865)</w:t>
            </w:r>
          </w:p>
        </w:tc>
        <w:tc>
          <w:tcPr>
            <w:tcW w:w="17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(loss)/gain</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4"/>
              </w:rPr>
              <w:t>$ (7,281)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3,386</w:t>
            </w:r>
          </w:p>
        </w:tc>
        <w:tc>
          <w:tcPr>
            <w:tcW w:w="12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(loss)/gain</w:t>
            </w: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8"/>
        </w:trPr>
        <w:tc>
          <w:tcPr>
            <w:tcW w:w="2760" w:type="dxa"/>
            <w:vAlign w:val="bottom"/>
            <w:gridSpan w:val="4"/>
            <w:vMerge w:val="restart"/>
          </w:tcPr>
          <w:p>
            <w:pPr>
              <w:ind w:left="460"/>
              <w:spacing w:after="0"/>
              <w:rPr>
                <w:sz w:val="20"/>
                <w:szCs w:val="20"/>
                <w:color w:val="auto"/>
              </w:rPr>
            </w:pPr>
            <w:r>
              <w:rPr>
                <w:rFonts w:ascii="Arial" w:cs="Arial" w:eastAsia="Arial" w:hAnsi="Arial"/>
                <w:sz w:val="14"/>
                <w:szCs w:val="14"/>
                <w:b w:val="1"/>
                <w:bCs w:val="1"/>
                <w:color w:val="auto"/>
              </w:rPr>
              <w:t>Derivatives not designated</w:t>
            </w: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40" w:type="dxa"/>
            <w:vAlign w:val="bottom"/>
            <w:gridSpan w:val="10"/>
          </w:tcPr>
          <w:p>
            <w:pPr>
              <w:jc w:val="center"/>
              <w:ind w:right="180"/>
              <w:spacing w:after="0"/>
              <w:rPr>
                <w:sz w:val="20"/>
                <w:szCs w:val="20"/>
                <w:color w:val="auto"/>
              </w:rPr>
            </w:pPr>
            <w:r>
              <w:rPr>
                <w:rFonts w:ascii="Arial" w:cs="Arial" w:eastAsia="Arial" w:hAnsi="Arial"/>
                <w:sz w:val="14"/>
                <w:szCs w:val="14"/>
                <w:b w:val="1"/>
                <w:bCs w:val="1"/>
                <w:color w:val="auto"/>
                <w:w w:val="87"/>
              </w:rPr>
              <w:t>Amount of Gain/(Loss)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760" w:type="dxa"/>
            <w:vAlign w:val="bottom"/>
            <w:gridSpan w:val="4"/>
            <w:vMerge w:val="continue"/>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20" w:type="dxa"/>
            <w:vAlign w:val="bottom"/>
            <w:gridSpan w:val="5"/>
          </w:tcPr>
          <w:p>
            <w:pPr>
              <w:jc w:val="center"/>
              <w:ind w:right="500"/>
              <w:spacing w:after="0" w:line="135" w:lineRule="exact"/>
              <w:rPr>
                <w:sz w:val="20"/>
                <w:szCs w:val="20"/>
                <w:color w:val="auto"/>
              </w:rPr>
            </w:pPr>
            <w:r>
              <w:rPr>
                <w:rFonts w:ascii="Arial" w:cs="Arial" w:eastAsia="Arial" w:hAnsi="Arial"/>
                <w:sz w:val="14"/>
                <w:szCs w:val="14"/>
                <w:b w:val="1"/>
                <w:bCs w:val="1"/>
                <w:color w:val="auto"/>
                <w:w w:val="86"/>
              </w:rPr>
              <w:t>Location of Gain/(Loss)</w:t>
            </w:r>
          </w:p>
        </w:tc>
        <w:tc>
          <w:tcPr>
            <w:tcW w:w="40" w:type="dxa"/>
            <w:vAlign w:val="bottom"/>
          </w:tcPr>
          <w:p>
            <w:pPr>
              <w:spacing w:after="0"/>
              <w:rPr>
                <w:sz w:val="11"/>
                <w:szCs w:val="11"/>
                <w:color w:val="auto"/>
              </w:rPr>
            </w:pPr>
          </w:p>
        </w:tc>
        <w:tc>
          <w:tcPr>
            <w:tcW w:w="1740" w:type="dxa"/>
            <w:vAlign w:val="bottom"/>
            <w:gridSpan w:val="10"/>
          </w:tcPr>
          <w:p>
            <w:pPr>
              <w:jc w:val="center"/>
              <w:ind w:right="180"/>
              <w:spacing w:after="0" w:line="135" w:lineRule="exact"/>
              <w:rPr>
                <w:sz w:val="20"/>
                <w:szCs w:val="20"/>
                <w:color w:val="auto"/>
              </w:rPr>
            </w:pPr>
            <w:r>
              <w:rPr>
                <w:rFonts w:ascii="Arial" w:cs="Arial" w:eastAsia="Arial" w:hAnsi="Arial"/>
                <w:sz w:val="14"/>
                <w:szCs w:val="14"/>
                <w:b w:val="1"/>
                <w:bCs w:val="1"/>
                <w:color w:val="auto"/>
                <w:w w:val="86"/>
              </w:rPr>
              <w:t>Recognized in Income</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60" w:type="dxa"/>
            <w:vAlign w:val="bottom"/>
            <w:gridSpan w:val="4"/>
          </w:tcPr>
          <w:p>
            <w:pPr>
              <w:ind w:left="460"/>
              <w:spacing w:after="0" w:line="149" w:lineRule="exact"/>
              <w:rPr>
                <w:sz w:val="20"/>
                <w:szCs w:val="20"/>
                <w:color w:val="auto"/>
              </w:rPr>
            </w:pPr>
            <w:r>
              <w:rPr>
                <w:rFonts w:ascii="Arial" w:cs="Arial" w:eastAsia="Arial" w:hAnsi="Arial"/>
                <w:sz w:val="14"/>
                <w:szCs w:val="14"/>
                <w:b w:val="1"/>
                <w:bCs w:val="1"/>
                <w:color w:val="auto"/>
              </w:rPr>
              <w:t>as Hedging</w:t>
            </w: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gridSpan w:val="5"/>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Recognized in Income on</w:t>
            </w:r>
          </w:p>
        </w:tc>
        <w:tc>
          <w:tcPr>
            <w:tcW w:w="40" w:type="dxa"/>
            <w:vAlign w:val="bottom"/>
          </w:tcPr>
          <w:p>
            <w:pPr>
              <w:spacing w:after="0"/>
              <w:rPr>
                <w:sz w:val="12"/>
                <w:szCs w:val="12"/>
                <w:color w:val="auto"/>
              </w:rPr>
            </w:pPr>
          </w:p>
        </w:tc>
        <w:tc>
          <w:tcPr>
            <w:tcW w:w="1740" w:type="dxa"/>
            <w:vAlign w:val="bottom"/>
            <w:gridSpan w:val="10"/>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on Derivatives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2760" w:type="dxa"/>
            <w:vAlign w:val="bottom"/>
            <w:gridSpan w:val="4"/>
            <w:vMerge w:val="restart"/>
          </w:tcPr>
          <w:p>
            <w:pPr>
              <w:ind w:left="460"/>
              <w:spacing w:after="0" w:line="141" w:lineRule="exact"/>
              <w:rPr>
                <w:sz w:val="20"/>
                <w:szCs w:val="20"/>
                <w:color w:val="auto"/>
              </w:rPr>
            </w:pPr>
            <w:r>
              <w:rPr>
                <w:rFonts w:ascii="Arial" w:cs="Arial" w:eastAsia="Arial" w:hAnsi="Arial"/>
                <w:sz w:val="14"/>
                <w:szCs w:val="14"/>
                <w:b w:val="1"/>
                <w:bCs w:val="1"/>
                <w:color w:val="auto"/>
              </w:rPr>
              <w:t>Instruments</w:t>
            </w: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gridSpan w:val="4"/>
            <w:vMerge w:val="restart"/>
          </w:tcPr>
          <w:p>
            <w:pPr>
              <w:jc w:val="center"/>
              <w:ind w:right="700"/>
              <w:spacing w:after="0" w:line="141" w:lineRule="exact"/>
              <w:rPr>
                <w:sz w:val="20"/>
                <w:szCs w:val="20"/>
                <w:color w:val="auto"/>
              </w:rPr>
            </w:pPr>
            <w:r>
              <w:rPr>
                <w:rFonts w:ascii="Arial" w:cs="Arial" w:eastAsia="Arial" w:hAnsi="Arial"/>
                <w:sz w:val="14"/>
                <w:szCs w:val="14"/>
                <w:b w:val="1"/>
                <w:bCs w:val="1"/>
                <w:color w:val="auto"/>
                <w:w w:val="85"/>
              </w:rPr>
              <w:t>Derivatives</w:t>
            </w:r>
          </w:p>
        </w:tc>
        <w:tc>
          <w:tcPr>
            <w:tcW w:w="58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2760" w:type="dxa"/>
            <w:vAlign w:val="bottom"/>
            <w:gridSpan w:val="4"/>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20" w:type="dxa"/>
            <w:vAlign w:val="bottom"/>
            <w:gridSpan w:val="4"/>
            <w:vMerge w:val="continue"/>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Borders>
              <w:top w:val="single" w:sz="8" w:color="auto"/>
            </w:tcBorders>
            <w:gridSpan w:val="2"/>
          </w:tcPr>
          <w:p>
            <w:pPr>
              <w:jc w:val="right"/>
              <w:ind w:right="140"/>
              <w:spacing w:after="0" w:line="102" w:lineRule="exact"/>
              <w:rPr>
                <w:sz w:val="20"/>
                <w:szCs w:val="20"/>
                <w:color w:val="auto"/>
              </w:rPr>
            </w:pPr>
            <w:r>
              <w:rPr>
                <w:rFonts w:ascii="Arial" w:cs="Arial" w:eastAsia="Arial" w:hAnsi="Arial"/>
                <w:sz w:val="11"/>
                <w:szCs w:val="11"/>
                <w:b w:val="1"/>
                <w:bCs w:val="1"/>
                <w:color w:val="auto"/>
              </w:rPr>
              <w:t>2012</w:t>
            </w:r>
          </w:p>
        </w:tc>
        <w:tc>
          <w:tcPr>
            <w:tcW w:w="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gridSpan w:val="2"/>
          </w:tcPr>
          <w:p>
            <w:pPr>
              <w:ind w:left="40"/>
              <w:spacing w:after="0" w:line="102" w:lineRule="exact"/>
              <w:rPr>
                <w:sz w:val="20"/>
                <w:szCs w:val="20"/>
                <w:color w:val="auto"/>
              </w:rPr>
            </w:pPr>
            <w:r>
              <w:rPr>
                <w:rFonts w:ascii="Arial" w:cs="Arial" w:eastAsia="Arial" w:hAnsi="Arial"/>
                <w:sz w:val="11"/>
                <w:szCs w:val="11"/>
                <w:b w:val="1"/>
                <w:bCs w:val="1"/>
                <w:color w:val="auto"/>
              </w:rPr>
              <w:t>2011</w:t>
            </w:r>
          </w:p>
        </w:tc>
        <w:tc>
          <w:tcPr>
            <w:tcW w:w="1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00" w:type="dxa"/>
            <w:vAlign w:val="bottom"/>
            <w:tcBorders>
              <w:top w:val="single" w:sz="8" w:color="auto"/>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0" w:type="dxa"/>
            <w:vAlign w:val="bottom"/>
          </w:tcPr>
          <w:p>
            <w:pPr>
              <w:spacing w:after="0"/>
              <w:rPr>
                <w:sz w:val="17"/>
                <w:szCs w:val="17"/>
                <w:color w:val="auto"/>
              </w:rPr>
            </w:pPr>
          </w:p>
        </w:tc>
        <w:tc>
          <w:tcPr>
            <w:tcW w:w="230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Foreign exchange contracts</w:t>
            </w:r>
          </w:p>
        </w:tc>
        <w:tc>
          <w:tcPr>
            <w:tcW w:w="3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40" w:type="dxa"/>
            <w:vAlign w:val="bottom"/>
            <w:gridSpan w:val="6"/>
            <w:shd w:val="clear" w:color="auto" w:fill="CCEEFF"/>
          </w:tcPr>
          <w:p>
            <w:pPr>
              <w:jc w:val="center"/>
              <w:spacing w:after="0" w:line="196" w:lineRule="exact"/>
              <w:rPr>
                <w:sz w:val="20"/>
                <w:szCs w:val="20"/>
                <w:color w:val="auto"/>
              </w:rPr>
            </w:pPr>
            <w:r>
              <w:rPr>
                <w:rFonts w:ascii="Arial" w:cs="Arial" w:eastAsia="Arial" w:hAnsi="Arial"/>
                <w:sz w:val="18"/>
                <w:szCs w:val="18"/>
                <w:color w:val="auto"/>
                <w:w w:val="87"/>
              </w:rPr>
              <w:t>Foreign exchange (loss)/gain</w:t>
            </w: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86"/>
              </w:rPr>
              <w:t>$ 2,925</w:t>
            </w:r>
          </w:p>
        </w:tc>
        <w:tc>
          <w:tcPr>
            <w:tcW w:w="380" w:type="dxa"/>
            <w:vAlign w:val="bottom"/>
            <w:gridSpan w:val="2"/>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3"/>
            <w:shd w:val="clear" w:color="auto" w:fill="CCEEFF"/>
          </w:tcPr>
          <w:p>
            <w:pPr>
              <w:ind w:left="40"/>
              <w:spacing w:after="0" w:line="196" w:lineRule="exact"/>
              <w:rPr>
                <w:sz w:val="20"/>
                <w:szCs w:val="20"/>
                <w:color w:val="auto"/>
              </w:rPr>
            </w:pPr>
            <w:r>
              <w:rPr>
                <w:rFonts w:ascii="Arial" w:cs="Arial" w:eastAsia="Arial" w:hAnsi="Arial"/>
                <w:sz w:val="18"/>
                <w:szCs w:val="18"/>
                <w:color w:val="auto"/>
                <w:w w:val="77"/>
              </w:rPr>
              <w:t>(2,937)</w:t>
            </w:r>
          </w:p>
        </w:tc>
        <w:tc>
          <w:tcPr>
            <w:tcW w:w="1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3"/>
        </w:trPr>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gridSpan w:val="2"/>
          </w:tcPr>
          <w:p>
            <w:pPr>
              <w:jc w:val="right"/>
              <w:ind w:right="492"/>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4" w:name="page15"/>
    <w:bookmarkEnd w:id="14"/>
    <w:p>
      <w:pPr>
        <w:ind w:left="4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171"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September 30, 2012</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Fixed Assets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fixed assets, net of accumulated depreciation, consisted of the following:</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1280" w:type="dxa"/>
            <w:vAlign w:val="bottom"/>
            <w:gridSpan w:val="4"/>
          </w:tcPr>
          <w:p>
            <w:pPr>
              <w:ind w:left="38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6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4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Owned Assets:</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440"/>
              <w:spacing w:after="0"/>
              <w:rPr>
                <w:sz w:val="20"/>
                <w:szCs w:val="20"/>
                <w:color w:val="auto"/>
              </w:rPr>
            </w:pPr>
            <w:r>
              <w:rPr>
                <w:rFonts w:ascii="Arial" w:cs="Arial" w:eastAsia="Arial" w:hAnsi="Arial"/>
                <w:sz w:val="18"/>
                <w:szCs w:val="18"/>
                <w:color w:val="auto"/>
              </w:rPr>
              <w:t>Network equipment, computers and software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62,924</w:t>
            </w:r>
          </w:p>
        </w:tc>
        <w:tc>
          <w:tcPr>
            <w:tcW w:w="400" w:type="dxa"/>
            <w:vAlign w:val="bottom"/>
          </w:tcPr>
          <w:p>
            <w:pPr>
              <w:spacing w:after="0"/>
              <w:rPr>
                <w:sz w:val="18"/>
                <w:szCs w:val="18"/>
                <w:color w:val="auto"/>
              </w:rPr>
            </w:pP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55,499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Buildings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440"/>
              <w:spacing w:after="0"/>
              <w:rPr>
                <w:sz w:val="20"/>
                <w:szCs w:val="20"/>
                <w:color w:val="auto"/>
              </w:rPr>
            </w:pPr>
            <w:r>
              <w:rPr>
                <w:rFonts w:ascii="Arial" w:cs="Arial" w:eastAsia="Arial" w:hAnsi="Arial"/>
                <w:sz w:val="18"/>
                <w:szCs w:val="18"/>
                <w:color w:val="auto"/>
              </w:rPr>
              <w:t>Land</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985</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Leasehold improvements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24,403</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440"/>
              <w:spacing w:after="0"/>
              <w:rPr>
                <w:sz w:val="20"/>
                <w:szCs w:val="20"/>
                <w:color w:val="auto"/>
              </w:rPr>
            </w:pPr>
            <w:r>
              <w:rPr>
                <w:rFonts w:ascii="Arial" w:cs="Arial" w:eastAsia="Arial" w:hAnsi="Arial"/>
                <w:sz w:val="18"/>
                <w:szCs w:val="18"/>
                <w:color w:val="auto"/>
              </w:rPr>
              <w:t>Office furniture and equipment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10,598</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9,011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Motor vehicles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80" w:type="dxa"/>
            <w:vAlign w:val="bottom"/>
          </w:tcPr>
          <w:p>
            <w:pPr>
              <w:ind w:left="440"/>
              <w:spacing w:after="0"/>
              <w:rPr>
                <w:sz w:val="20"/>
                <w:szCs w:val="20"/>
                <w:color w:val="auto"/>
              </w:rPr>
            </w:pPr>
            <w:r>
              <w:rPr>
                <w:rFonts w:ascii="Arial" w:cs="Arial" w:eastAsia="Arial" w:hAnsi="Arial"/>
                <w:sz w:val="18"/>
                <w:szCs w:val="18"/>
                <w:color w:val="auto"/>
              </w:rPr>
              <w:t>Capital work in progress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103,137</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440"/>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(65,523)</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(54,736)</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37,614</w:t>
            </w:r>
          </w:p>
        </w:tc>
        <w:tc>
          <w:tcPr>
            <w:tcW w:w="4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180" w:type="dxa"/>
            <w:vAlign w:val="bottom"/>
          </w:tcPr>
          <w:p>
            <w:pPr>
              <w:spacing w:after="0"/>
              <w:rPr>
                <w:sz w:val="20"/>
                <w:szCs w:val="20"/>
                <w:color w:val="auto"/>
              </w:rPr>
            </w:pPr>
            <w:r>
              <w:rPr>
                <w:rFonts w:ascii="Arial" w:cs="Arial" w:eastAsia="Arial" w:hAnsi="Arial"/>
                <w:sz w:val="18"/>
                <w:szCs w:val="18"/>
                <w:b w:val="1"/>
                <w:bCs w:val="1"/>
                <w:color w:val="auto"/>
              </w:rPr>
              <w:t>Assets under capital leases:</w:t>
            </w: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Network equipment, computers and software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4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440"/>
              <w:spacing w:after="0"/>
              <w:rPr>
                <w:sz w:val="20"/>
                <w:szCs w:val="20"/>
                <w:color w:val="auto"/>
              </w:rPr>
            </w:pPr>
            <w:r>
              <w:rPr>
                <w:rFonts w:ascii="Arial" w:cs="Arial" w:eastAsia="Arial" w:hAnsi="Arial"/>
                <w:sz w:val="18"/>
                <w:szCs w:val="18"/>
                <w:color w:val="auto"/>
              </w:rPr>
              <w:t>Leasehold improvements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2,554</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Office furniture and equipment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80" w:type="dxa"/>
            <w:vAlign w:val="bottom"/>
          </w:tcPr>
          <w:p>
            <w:pPr>
              <w:ind w:left="440"/>
              <w:spacing w:after="0"/>
              <w:rPr>
                <w:sz w:val="20"/>
                <w:szCs w:val="20"/>
                <w:color w:val="auto"/>
              </w:rPr>
            </w:pPr>
            <w:r>
              <w:rPr>
                <w:rFonts w:ascii="Arial" w:cs="Arial" w:eastAsia="Arial" w:hAnsi="Arial"/>
                <w:sz w:val="18"/>
                <w:szCs w:val="18"/>
                <w:color w:val="auto"/>
              </w:rPr>
              <w:t>Motor vehicles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w:t>
            </w: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5,404</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440"/>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(1,864)</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3,540</w:t>
            </w:r>
          </w:p>
        </w:tc>
        <w:tc>
          <w:tcPr>
            <w:tcW w:w="4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ind w:left="440"/>
              <w:spacing w:after="0"/>
              <w:rPr>
                <w:sz w:val="20"/>
                <w:szCs w:val="20"/>
                <w:color w:val="auto"/>
              </w:rPr>
            </w:pPr>
            <w:r>
              <w:rPr>
                <w:rFonts w:ascii="Arial" w:cs="Arial" w:eastAsia="Arial" w:hAnsi="Arial"/>
                <w:sz w:val="18"/>
                <w:szCs w:val="18"/>
                <w:color w:val="auto"/>
              </w:rPr>
              <w:t>Fixed assets, net</w:t>
            </w: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8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41,154</w:t>
            </w:r>
          </w:p>
        </w:tc>
        <w:tc>
          <w:tcPr>
            <w:tcW w:w="400" w:type="dxa"/>
            <w:vAlign w:val="bottom"/>
          </w:tcPr>
          <w:p>
            <w:pPr>
              <w:spacing w:after="0"/>
              <w:rPr>
                <w:sz w:val="19"/>
                <w:szCs w:val="19"/>
                <w:color w:val="auto"/>
              </w:rPr>
            </w:pP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42,320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Depreciation and amortization expense excluding amortization of acquisition-related intangibles for the three months ended September 30, 2012 and 2011 was $5,009 and $5,048, respectively, and $14,649 and $13,462 for the nine months ended September 30, 2012 and 2011, respectively.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Capital work in progress represents advances paid toward acquisitions of fixed assets and the cost of fixed assets not yet ready to be placed in service.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Capital Structure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one class of common stock.</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During the three months ended September 30, 2012 and 2011, the Company did not acquire any shares of common stock from employees in connection with withholding tax payments related to the vesting of restricted stock. During the three months ended September 30, 2011, the Company completed a public offering of its common stock. The Company sold 1,000,000 shares of its common stock and certain selling stockholders sold an aggregate of 3,000,000 shares of common stock at a price of $23.00 per share less underwriting discount. The Company received net proceeds of $21,573 from the offering.</w:t>
      </w:r>
    </w:p>
    <w:p>
      <w:pPr>
        <w:spacing w:after="0" w:line="113"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During the nine months ended September 30, 2012 and 2011, the Company acquired 12,865 shares and 9,596 shares of common stock, respectively from employees in connection with withholding tax payments related to the vesting of restricted stock for a total consideration of $331 and $185, respectively.</w:t>
      </w:r>
    </w:p>
    <w:p>
      <w:pPr>
        <w:spacing w:after="0" w:line="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20"/>
          </w:cols>
          <w:pgMar w:left="240" w:top="274" w:right="339" w:bottom="1440" w:gutter="0" w:footer="0" w:header="0"/>
        </w:sectPr>
      </w:pPr>
    </w:p>
    <w:bookmarkStart w:id="15" w:name="page16"/>
    <w:bookmarkEnd w:id="15"/>
    <w:p>
      <w:pPr>
        <w:ind w:left="4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171"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2012</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During the nine months ended September 30, 2011, the Company also acquired 61,299 shares of common stock for a total consideration of $1,439 in pursuance of an option agreement between the Company and Prudential Financial, Inc. (“Prudential”) dated July 1, 2004. The purchase price of $23.47 per share was the average closing price for the 30-day period on the Nasdaq Global Select Market preceding the date of exercise of options by Prudential.</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shares acquired pursuant to the transactions discussed in this section are currently being held as treasury stock.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Benefit Plans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Company’s Gratuity Plans in India and the Philippines provide a lump-sum payment to vested employees on retirement or on termination of employment in an amount based on the respective employee’s salary and years of employment with the Company. Liabilities with regard to the Gratuity Plans are determined by actuarial valuation using the projected unit credit method. Current service costs for the Gratuity Plans are accrued in the year to which they relate. Actuarial gains or losses or prior service costs, if any, resulting from amendments to the plans are recognized and amortized over the remaining period of service of the employees.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gratuity cost includes the following components: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5"/>
          </w:tcPr>
          <w:p>
            <w:pPr>
              <w:jc w:val="right"/>
              <w:ind w:right="36"/>
              <w:spacing w:after="0"/>
              <w:rPr>
                <w:sz w:val="20"/>
                <w:szCs w:val="20"/>
                <w:color w:val="auto"/>
              </w:rPr>
            </w:pPr>
            <w:r>
              <w:rPr>
                <w:rFonts w:ascii="Arial" w:cs="Arial" w:eastAsia="Arial" w:hAnsi="Arial"/>
                <w:sz w:val="14"/>
                <w:szCs w:val="14"/>
                <w:b w:val="1"/>
                <w:bCs w:val="1"/>
                <w:color w:val="auto"/>
                <w:w w:val="85"/>
              </w:rPr>
              <w:t>Three months ended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6"/>
              </w:rPr>
              <w:t>Nine months ended</w:t>
            </w:r>
          </w:p>
        </w:tc>
      </w:t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5"/>
          </w:tcPr>
          <w:p>
            <w:pPr>
              <w:jc w:val="right"/>
              <w:ind w:right="216"/>
              <w:spacing w:after="0"/>
              <w:rPr>
                <w:sz w:val="20"/>
                <w:szCs w:val="20"/>
                <w:color w:val="auto"/>
              </w:rPr>
            </w:pPr>
            <w:r>
              <w:rPr>
                <w:rFonts w:ascii="Arial" w:cs="Arial" w:eastAsia="Arial" w:hAnsi="Arial"/>
                <w:sz w:val="14"/>
                <w:szCs w:val="14"/>
                <w:b w:val="1"/>
                <w:bCs w:val="1"/>
                <w:color w:val="auto"/>
              </w:rPr>
              <w:t>September 30,</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20" w:type="dxa"/>
            <w:vAlign w:val="bottom"/>
          </w:tcPr>
          <w:p>
            <w:pPr>
              <w:spacing w:after="0"/>
              <w:rPr>
                <w:sz w:val="12"/>
                <w:szCs w:val="12"/>
                <w:color w:val="auto"/>
              </w:rPr>
            </w:pPr>
          </w:p>
        </w:tc>
        <w:tc>
          <w:tcPr>
            <w:tcW w:w="4680" w:type="dxa"/>
            <w:vAlign w:val="bottom"/>
            <w:tcBorders>
              <w:bottom w:val="single" w:sz="8" w:color="CCEEFF"/>
            </w:tcBorders>
          </w:tcPr>
          <w:p>
            <w:pPr>
              <w:spacing w:after="0"/>
              <w:rPr>
                <w:sz w:val="12"/>
                <w:szCs w:val="12"/>
                <w:color w:val="auto"/>
              </w:rPr>
            </w:pPr>
          </w:p>
        </w:tc>
        <w:tc>
          <w:tcPr>
            <w:tcW w:w="25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w w:val="83"/>
              </w:rPr>
              <w:t>2012</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2011</w:t>
            </w:r>
          </w:p>
        </w:tc>
        <w:tc>
          <w:tcPr>
            <w:tcW w:w="3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w w:val="89"/>
              </w:rPr>
              <w:t>2012</w:t>
            </w:r>
          </w:p>
        </w:tc>
        <w:tc>
          <w:tcPr>
            <w:tcW w:w="40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Service cost</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$ 686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Interest cost</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312</w:t>
            </w:r>
          </w:p>
        </w:tc>
        <w:tc>
          <w:tcPr>
            <w:tcW w:w="4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(104)</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Actuarial loss</w:t>
            </w:r>
          </w:p>
        </w:tc>
        <w:tc>
          <w:tcPr>
            <w:tcW w:w="2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40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gratuity cost</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1,095</w:t>
            </w: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$ 955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Gratuity Plans in India are funded plans that are managed and administered by Life Insurance Corporation of India and HDFC Standard Life Insurance Company. They calculate the annual contribution required to be made by the Company and manage the Gratuity Plans, including any required payouts. Fund managers manage these funds on a cash accumulation basis and declare interest retrospectively on March 31 of each year. The Company expects the return on the Gratuity Plans to be approximately 9% per annum for the year ended March 31, 2013.</w:t>
      </w:r>
    </w:p>
    <w:p>
      <w:pPr>
        <w:spacing w:after="0" w:line="107"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6140" w:type="dxa"/>
            <w:vAlign w:val="bottom"/>
            <w:gridSpan w:val="2"/>
          </w:tcPr>
          <w:p>
            <w:pPr>
              <w:spacing w:after="0"/>
              <w:rPr>
                <w:sz w:val="20"/>
                <w:szCs w:val="20"/>
                <w:color w:val="auto"/>
              </w:rPr>
            </w:pPr>
            <w:r>
              <w:rPr>
                <w:rFonts w:ascii="Arial" w:cs="Arial" w:eastAsia="Arial" w:hAnsi="Arial"/>
                <w:sz w:val="18"/>
                <w:szCs w:val="18"/>
                <w:b w:val="1"/>
                <w:bCs w:val="1"/>
                <w:color w:val="auto"/>
              </w:rPr>
              <w:t>Change in Plan Assets</w:t>
            </w:r>
          </w:p>
        </w:tc>
        <w:tc>
          <w:tcPr>
            <w:tcW w:w="2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380" w:type="dxa"/>
            <w:vAlign w:val="bottom"/>
            <w:vMerge w:val="restart"/>
          </w:tcPr>
          <w:p>
            <w:pPr>
              <w:spacing w:after="0"/>
              <w:rPr>
                <w:sz w:val="17"/>
                <w:szCs w:val="17"/>
                <w:color w:val="auto"/>
              </w:rPr>
            </w:pPr>
          </w:p>
        </w:tc>
        <w:tc>
          <w:tcPr>
            <w:tcW w:w="47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Plan assets at January 1, 2012</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Employer contribution</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1,169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Effect of exchange rate changes</w:t>
            </w:r>
          </w:p>
        </w:tc>
        <w:tc>
          <w:tcPr>
            <w:tcW w:w="238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Plan assets at September 30, 2012</w:t>
            </w:r>
          </w:p>
        </w:tc>
        <w:tc>
          <w:tcPr>
            <w:tcW w:w="2380" w:type="dxa"/>
            <w:vAlign w:val="bottom"/>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Company maintains the Exl Service Inc. 401(k) Plan under Section 401(k) of the Internal Revenue Code of 1986, covering all eligible employees, as defined. The Company may make discretionary contributions of up to a maximum of 3% of employee compensation within certain limits. The Company has made provisions for contributions to the 401(k) Plan amounting to $245 and $179 during the three month periods ended September 30, 2012 and September 30, 2011, respectively, and $925 and $525 during the nine month periods ended September 30, 2012 and September 30, 2011.</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74" w:right="279" w:bottom="1440" w:gutter="0" w:footer="0" w:header="0"/>
        </w:sectPr>
      </w:pPr>
    </w:p>
    <w:bookmarkStart w:id="16" w:name="page17"/>
    <w:bookmarkEnd w:id="16"/>
    <w:p>
      <w:pPr>
        <w:ind w:left="4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171"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September 30, 2012</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During the three and nine month periods ended September 30, 2012 and 2011, the Company contributed the following amounts to various defined contribution plans on behalf of its employees in India, the Philippines, Romania, Bulgaria, Malaysia and the Czech Republic:</w:t>
      </w:r>
    </w:p>
    <w:p>
      <w:pPr>
        <w:spacing w:after="0" w:line="134"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September 30, 2012</w:t>
            </w:r>
          </w:p>
        </w:tc>
        <w:tc>
          <w:tcPr>
            <w:tcW w:w="2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$1,384</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Three months ended September 30, 2011</w:t>
            </w:r>
          </w:p>
        </w:tc>
        <w:tc>
          <w:tcPr>
            <w:tcW w:w="2740" w:type="dxa"/>
            <w:vAlign w:val="bottom"/>
          </w:tcPr>
          <w:p>
            <w:pPr>
              <w:jc w:val="right"/>
              <w:ind w:right="12"/>
              <w:spacing w:after="0"/>
              <w:rPr>
                <w:sz w:val="20"/>
                <w:szCs w:val="20"/>
                <w:color w:val="auto"/>
              </w:rPr>
            </w:pPr>
            <w:r>
              <w:rPr>
                <w:rFonts w:ascii="Arial" w:cs="Arial" w:eastAsia="Arial" w:hAnsi="Arial"/>
                <w:sz w:val="18"/>
                <w:szCs w:val="18"/>
                <w:color w:val="auto"/>
              </w:rPr>
              <w:t>$1,426</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Nine months ended September 30, 2012</w:t>
            </w:r>
          </w:p>
        </w:tc>
        <w:tc>
          <w:tcPr>
            <w:tcW w:w="2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$4,227</w:t>
            </w:r>
          </w:p>
        </w:tc>
      </w:tr>
      <w:tr>
        <w:trPr>
          <w:trHeight w:val="222"/>
        </w:trPr>
        <w:tc>
          <w:tcPr>
            <w:tcW w:w="5020" w:type="dxa"/>
            <w:vAlign w:val="bottom"/>
          </w:tcPr>
          <w:p>
            <w:pPr>
              <w:spacing w:after="0"/>
              <w:rPr>
                <w:sz w:val="20"/>
                <w:szCs w:val="20"/>
                <w:color w:val="auto"/>
              </w:rPr>
            </w:pPr>
            <w:r>
              <w:rPr>
                <w:rFonts w:ascii="Arial" w:cs="Arial" w:eastAsia="Arial" w:hAnsi="Arial"/>
                <w:sz w:val="18"/>
                <w:szCs w:val="18"/>
                <w:color w:val="auto"/>
              </w:rPr>
              <w:t>Nine months ended September 30, 2011</w:t>
            </w:r>
          </w:p>
        </w:tc>
        <w:tc>
          <w:tcPr>
            <w:tcW w:w="2740" w:type="dxa"/>
            <w:vAlign w:val="bottom"/>
          </w:tcPr>
          <w:p>
            <w:pPr>
              <w:jc w:val="right"/>
              <w:ind w:right="12"/>
              <w:spacing w:after="0"/>
              <w:rPr>
                <w:sz w:val="20"/>
                <w:szCs w:val="20"/>
                <w:color w:val="auto"/>
              </w:rPr>
            </w:pPr>
            <w:r>
              <w:rPr>
                <w:rFonts w:ascii="Arial" w:cs="Arial" w:eastAsia="Arial" w:hAnsi="Arial"/>
                <w:sz w:val="18"/>
                <w:szCs w:val="18"/>
                <w:color w:val="auto"/>
              </w:rPr>
              <w:t>$3,676</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Leases</w:t>
      </w:r>
    </w:p>
    <w:p>
      <w:pPr>
        <w:spacing w:after="0" w:line="9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Company finances its use of certain facilities, computer hardware, leasehold improvements, furniture, fixtures, office equipment and motor vehicles under various lease arrangements provided by financial institutions. Future minimum lease payments under these capital leases as of September 30, 2012 are as follows:</w:t>
      </w:r>
    </w:p>
    <w:p>
      <w:pPr>
        <w:spacing w:after="0" w:line="189"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Year ending September 30,</w:t>
            </w:r>
          </w:p>
        </w:tc>
        <w:tc>
          <w:tcPr>
            <w:tcW w:w="2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2013</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$2,133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2015</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1,245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2017</w:t>
            </w:r>
          </w:p>
        </w:tc>
        <w:tc>
          <w:tcPr>
            <w:tcW w:w="21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5,665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Less: amount representing interest</w:t>
            </w:r>
          </w:p>
        </w:tc>
        <w:tc>
          <w:tcPr>
            <w:tcW w:w="21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minimum lease payments</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4,893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Less: current portion</w:t>
            </w:r>
          </w:p>
        </w:tc>
        <w:tc>
          <w:tcPr>
            <w:tcW w:w="21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Long term capital lease obligation</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3,152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Company conducts its operations using facilities leased under non-cancelable operating lease agreements that expire at various dates. Future minimum lease payments under non-cancelable operating lease agreements expiring after more than twelve months are as follows:</w:t>
      </w:r>
    </w:p>
    <w:p>
      <w:pPr>
        <w:spacing w:after="0" w:line="134"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Year ending September 30,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2013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8,140</w:t>
            </w: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6,794</w:t>
            </w: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2015</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5,685</w:t>
            </w: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w:t>
            </w: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2017</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860</w:t>
            </w: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100" w:type="dxa"/>
            <w:vAlign w:val="bottom"/>
            <w:shd w:val="clear" w:color="auto" w:fill="CCEEFF"/>
          </w:tcPr>
          <w:p>
            <w:pPr>
              <w:spacing w:after="0"/>
              <w:rPr>
                <w:sz w:val="18"/>
                <w:szCs w:val="18"/>
                <w:color w:val="auto"/>
              </w:rPr>
            </w:pPr>
          </w:p>
        </w:tc>
      </w:tr>
      <w:tr>
        <w:trPr>
          <w:trHeight w:val="222"/>
        </w:trPr>
        <w:tc>
          <w:tcPr>
            <w:tcW w:w="70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26,291</w:t>
            </w:r>
          </w:p>
        </w:tc>
        <w:tc>
          <w:tcPr>
            <w:tcW w:w="100" w:type="dxa"/>
            <w:vAlign w:val="bottom"/>
          </w:tcPr>
          <w:p>
            <w:pPr>
              <w:spacing w:after="0"/>
              <w:rPr>
                <w:sz w:val="19"/>
                <w:szCs w:val="19"/>
                <w:color w:val="auto"/>
              </w:rPr>
            </w:pPr>
          </w:p>
        </w:tc>
      </w:tr>
      <w:tr>
        <w:trPr>
          <w:trHeight w:val="20"/>
        </w:trPr>
        <w:tc>
          <w:tcPr>
            <w:tcW w:w="7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operating leases are subject to renewal periodically and have scheduled rent increases. The Company accounts for scheduled rent on a straight-line basis over the lease period. Rent expense under both cancellable and non-cancellable operating leases was $4,341 and $4,050 for the three months ended September 30, 2012 and 2011, respectively, and $13,325 and $10,253 for the nine months ended September 30, 2012 and 2011, respectively. Deferred rent as of September 30, 2012 and December 31, 2011 was $4,670 and $3,815, respectively, and is included in the unaudited consolidated balance sheets under “Accrued expenses and other current liabilities” and “Non-current liabilities.”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274" w:right="299" w:bottom="1440" w:gutter="0" w:footer="0" w:header="0"/>
        </w:sectPr>
      </w:pPr>
    </w:p>
    <w:bookmarkStart w:id="17" w:name="page18"/>
    <w:bookmarkEnd w:id="17"/>
    <w:p>
      <w:pPr>
        <w:ind w:left="4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171"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2012</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96" w:lineRule="exact"/>
        <w:rPr>
          <w:sz w:val="20"/>
          <w:szCs w:val="20"/>
          <w:color w:val="auto"/>
        </w:rPr>
      </w:pPr>
    </w:p>
    <w:p>
      <w:pPr>
        <w:ind w:right="40" w:firstLine="456"/>
        <w:spacing w:after="0" w:line="302" w:lineRule="auto"/>
        <w:rPr>
          <w:sz w:val="20"/>
          <w:szCs w:val="20"/>
          <w:color w:val="auto"/>
        </w:rPr>
      </w:pPr>
      <w:r>
        <w:rPr>
          <w:rFonts w:ascii="Arial" w:cs="Arial" w:eastAsia="Arial" w:hAnsi="Arial"/>
          <w:sz w:val="15"/>
          <w:szCs w:val="15"/>
          <w:color w:val="auto"/>
        </w:rPr>
        <w:t>The Company recorded income tax expense of $4,329 and $4,138 for the three months ended September 30, 2012 and 2011, respectively, and $10,975 and $8,639 for the nine months ended September 30, 2012 and 2011, respectively. The effective rate of taxes decreased from 33.0% during the three months ended September 30, 2011 to 27.0% during the three months ended September 30, 2012. The decrease in the effective tax rate was primarily due to the higher taxable income in the U.S. and non-deductible acquisition related expenses in the three months ended September 30, 2011. The effective rate of taxes increased from</w:t>
      </w:r>
    </w:p>
    <w:p>
      <w:pPr>
        <w:spacing w:after="0" w:line="3"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25.5% during the nine months ended September 30, 2011 to 27.0% during the nine months ended September 30, 2012. The increase in the effective tax rate was primarily due to the expiry of a tax holiday period for most of the Company’s operating units in India that ended on April 1, 2011, completion of the first five years of operations in certain operating units that were located in special economic zones (“SEZs”) in India after which the company is entitled to a 50% exemption from profits and release of a valuation allowance on deferred tax assets of $1,961 during the three months ended March 31, 2011.</w:t>
      </w:r>
    </w:p>
    <w:p>
      <w:pPr>
        <w:spacing w:after="0" w:line="115"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Company did benefit from a four-year income tax holiday for one of its operations centers in the Philippines that expired in the middle of 2012. The tax holiday, however, can be extended for an additional two years. The Company has applied for an extension of the tax holiday, which, if granted, would be effective retrospectively from the date of expiration of four years. The Company’s new operations center in the Philippines, which began operations in January 2012, also benefits from a separate four-year income tax holiday that can be extended for an additional two years. While the Company is reasonably certain that the Philippines Economic Zone Authority will extend these tax holidays, it is possible that such extension requests may be denied, or that these tax holidays may be conditioned or removed entirely due to changes in applicable legislation by the government of the Philippines. Should any of these events occur, the Company’s tax liability in the Philippines would likely increase.</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Company’s operations centers in Jaipur and Noida, India, which were established in SEZs in 2010, are eligible for tax incentives until 2020. As part of the OPI Acquisition, the Company also acquired operations centers in Bengaluru and Kochi, India that are also located in SEZs. The operations center in Bengaluru completed its first five years of operations on March 31, 2012. Under the tax regulations, the Bengaluru operations center is entitled to a 50% tax exemption on export profits for five years from April 1, 2012, after which there could be further increase in the tax expense for the center unless such profit is re-invested for the specified purposes under the tax laws. The Company also established a new operations center in Pune, India in June 2012, which is located in an SEZ. The Company anticipates establishing additional operations centers in SEZs in the future.</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Deferred tax assets and liabilities are recognized for future tax consequences attributable to temporary differences between the financial statement carrying values of assets and liabilities and their respective tax bases and operating loss carry forwards. At September 30, 2012, the Company performed an analysis of the deferred tax asset valuation allowance for net operating loss carry forward for its domestic entities. Based on this analysis, the Company continues to carry a valuation allowance on the deferred tax assets on net operating loss carry forwards. The valuation allowance was approximately $919 as of both September 30, 2012 and December 31, 2011.</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a result of the OPI Acquisition, the Company acquired OPI’s federal and state net operating losses in the United States. Thus, as of September 30, 2012, the Company has federal net operating loss carry forwards of approximately $18,920, which expire in 2027. The Company’s federal net operating loss carry forwards are subject to certain annual utilization limitations under Section 382 of the United States Internal Revenue Code. The Company also has state and local net operating loss carry forwards of varying amounts, which are subject to limitations under the applicable rules and regulations of those taxing jurisdictions. The Company estimates that it will be able to utilize all of the losses before their expiration.</w:t>
      </w:r>
    </w:p>
    <w:p>
      <w:pPr>
        <w:spacing w:after="0" w:line="11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During 2007, the Indian government passed tax legislation that, among other items, subjects Indian taxpayers to a Minimum Alternative Tax (“MAT”). As of September 30, 2012 and December 31, 2011, deferred income taxes related to the MAT were approximately $2,883 and $2,793, respectively.</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274" w:right="279" w:bottom="1440" w:gutter="0" w:footer="0" w:header="0"/>
        </w:sectPr>
      </w:pPr>
    </w:p>
    <w:bookmarkStart w:id="18" w:name="page19"/>
    <w:bookmarkEnd w:id="18"/>
    <w:p>
      <w:pPr>
        <w:ind w:left="4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171"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September 30, 2012</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Company’s provision for income taxes also includes the impact of provisions established for uncertain income tax positions determined in accordance with ASC No. 740, “</w:t>
      </w:r>
      <w:r>
        <w:rPr>
          <w:rFonts w:ascii="Arial" w:cs="Arial" w:eastAsia="Arial" w:hAnsi="Arial"/>
          <w:sz w:val="16"/>
          <w:szCs w:val="16"/>
          <w:i w:val="1"/>
          <w:iCs w:val="1"/>
          <w:color w:val="auto"/>
        </w:rPr>
        <w:t>Income Taxes</w:t>
      </w:r>
      <w:r>
        <w:rPr>
          <w:rFonts w:ascii="Arial" w:cs="Arial" w:eastAsia="Arial" w:hAnsi="Arial"/>
          <w:sz w:val="16"/>
          <w:szCs w:val="16"/>
          <w:color w:val="auto"/>
        </w:rPr>
        <w:t>,” as well as the related net interest. Tax exposures can involve complex issues and may require an extended resolution period. Although the Company believes that it has adequately reserved for its uncertain tax positions, no assurance can be given that the final tax outcome of these matters will not be different. The Company adjusts these reserves in light of changing facts and circumstances, such as the closing of a tax audit or the refinement of an estimate. To the extent that the final tax outcome of these matters differs from the amounts recorded, such differences will impact the provision for income taxes in the period in which such determination is made.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activity related to the gross unrecognized tax benefits from January 1, 2012 through September 30, 2012:</w:t>
      </w:r>
    </w:p>
    <w:p>
      <w:pPr>
        <w:spacing w:after="0" w:line="243"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2012</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$ 5,324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Increases related to prior year tax positions</w:t>
            </w:r>
          </w:p>
        </w:tc>
        <w:tc>
          <w:tcPr>
            <w:tcW w:w="194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Decreases related to prior year tax positions</w:t>
            </w:r>
          </w:p>
        </w:tc>
        <w:tc>
          <w:tcPr>
            <w:tcW w:w="2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(2,245)</w:t>
            </w: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Increases related to current year tax positions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Decreases related to current year tax positions</w:t>
            </w:r>
          </w:p>
        </w:tc>
        <w:tc>
          <w:tcPr>
            <w:tcW w:w="2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(339)</w:t>
            </w: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Effect of exchange rate changes</w:t>
            </w:r>
          </w:p>
        </w:tc>
        <w:tc>
          <w:tcPr>
            <w:tcW w:w="194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September 30, 2012</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$ 3,101</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unrecognized tax benefits as of September 30, 2012 of $3,101, if recognized, would impact the effective tax rate.</w:t>
      </w:r>
    </w:p>
    <w:p>
      <w:pPr>
        <w:spacing w:after="0" w:line="171"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The Company has recognized interest and penalties of ($283) and ($37) during the three and nine months ended September 30, 2012, respectively. The unrecognized tax benefits may increase or decrease in the next twelve months depending on the Company’s tax positions.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Stock-Based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costs related to the Company’s stock-based compensation plan are included in the unaudited consolidated statements of income:</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4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4"/>
              </w:rPr>
              <w:t>Nine months ended</w:t>
            </w:r>
          </w:p>
        </w:tc>
        <w:tc>
          <w:tcPr>
            <w:tcW w:w="0" w:type="dxa"/>
            <w:vAlign w:val="bottom"/>
          </w:tcPr>
          <w:p>
            <w:pPr>
              <w:spacing w:after="0"/>
              <w:rPr>
                <w:sz w:val="1"/>
                <w:szCs w:val="1"/>
                <w:color w:val="auto"/>
              </w:rPr>
            </w:pPr>
          </w:p>
        </w:tc>
      </w:tr>
      <w:tr>
        <w:trPr>
          <w:trHeight w:val="161"/>
        </w:trPr>
        <w:tc>
          <w:tcPr>
            <w:tcW w:w="7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4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7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2011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Borders>
              <w:top w:val="single" w:sz="8" w:color="auto"/>
            </w:tcBorders>
          </w:tcPr>
          <w:p>
            <w:pPr>
              <w:jc w:val="right"/>
              <w:ind w:right="47"/>
              <w:spacing w:after="0" w:line="142" w:lineRule="exact"/>
              <w:rPr>
                <w:sz w:val="20"/>
                <w:szCs w:val="20"/>
                <w:color w:val="auto"/>
              </w:rPr>
            </w:pPr>
            <w:r>
              <w:rPr>
                <w:rFonts w:ascii="Arial" w:cs="Arial" w:eastAsia="Arial" w:hAnsi="Arial"/>
                <w:sz w:val="14"/>
                <w:szCs w:val="14"/>
                <w:b w:val="1"/>
                <w:bCs w:val="1"/>
                <w:color w:val="auto"/>
              </w:rPr>
              <w:t>2012</w:t>
            </w:r>
          </w:p>
        </w:tc>
        <w:tc>
          <w:tcPr>
            <w:tcW w:w="88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Cost of 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$1,571</w:t>
            </w:r>
          </w:p>
        </w:tc>
        <w:tc>
          <w:tcPr>
            <w:tcW w:w="3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867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1,090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3,472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3,444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1,871</w:t>
            </w:r>
          </w:p>
        </w:tc>
        <w:tc>
          <w:tcPr>
            <w:tcW w:w="2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2,160</w:t>
            </w:r>
          </w:p>
        </w:tc>
        <w:tc>
          <w:tcPr>
            <w:tcW w:w="7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7,329</w:t>
            </w:r>
          </w:p>
        </w:tc>
        <w:tc>
          <w:tcPr>
            <w:tcW w:w="8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7,287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fair value of each stock option granted to employees is estimated on the date of grant using the Black-Scholes option-pricing model with the following weighted average assumptions: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16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w w:val="97"/>
              </w:rPr>
              <w:t>Three months ended</w:t>
            </w:r>
          </w:p>
        </w:tc>
        <w:tc>
          <w:tcPr>
            <w:tcW w:w="172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33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w w:val="85"/>
              </w:rPr>
              <w:t>September 30,</w:t>
            </w:r>
          </w:p>
        </w:tc>
        <w:tc>
          <w:tcPr>
            <w:tcW w:w="172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3340" w:type="dxa"/>
            <w:vAlign w:val="bottom"/>
            <w:tcBorders>
              <w:bottom w:val="single" w:sz="8" w:color="CCEEFF"/>
            </w:tcBorders>
          </w:tcPr>
          <w:p>
            <w:pPr>
              <w:spacing w:after="0"/>
              <w:rPr>
                <w:sz w:val="12"/>
                <w:szCs w:val="12"/>
                <w:color w:val="auto"/>
              </w:rPr>
            </w:pPr>
          </w:p>
        </w:tc>
        <w:tc>
          <w:tcPr>
            <w:tcW w:w="3280" w:type="dxa"/>
            <w:vAlign w:val="bottom"/>
            <w:tcBorders>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2011</w:t>
            </w:r>
          </w:p>
        </w:tc>
        <w:tc>
          <w:tcPr>
            <w:tcW w:w="62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1"/>
              <w:spacing w:after="0" w:line="142" w:lineRule="exact"/>
              <w:rPr>
                <w:sz w:val="20"/>
                <w:szCs w:val="20"/>
                <w:color w:val="auto"/>
              </w:rPr>
            </w:pPr>
            <w:r>
              <w:rPr>
                <w:rFonts w:ascii="Arial" w:cs="Arial" w:eastAsia="Arial" w:hAnsi="Arial"/>
                <w:sz w:val="14"/>
                <w:szCs w:val="14"/>
                <w:b w:val="1"/>
                <w:bCs w:val="1"/>
                <w:color w:val="auto"/>
              </w:rPr>
              <w:t>2012</w:t>
            </w:r>
          </w:p>
        </w:tc>
        <w:tc>
          <w:tcPr>
            <w:tcW w:w="66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r>
      <w:tr>
        <w:trPr>
          <w:trHeight w:val="210"/>
        </w:trPr>
        <w:tc>
          <w:tcPr>
            <w:tcW w:w="3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Dividend yield</w:t>
            </w:r>
          </w:p>
        </w:tc>
        <w:tc>
          <w:tcPr>
            <w:tcW w:w="32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Expected life (years)</w:t>
            </w:r>
          </w:p>
        </w:tc>
        <w:tc>
          <w:tcPr>
            <w:tcW w:w="32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4.50</w:t>
            </w:r>
          </w:p>
        </w:tc>
        <w:tc>
          <w:tcPr>
            <w:tcW w:w="620" w:type="dxa"/>
            <w:vAlign w:val="bottom"/>
          </w:tcPr>
          <w:p>
            <w:pPr>
              <w:spacing w:after="0"/>
              <w:rPr>
                <w:sz w:val="18"/>
                <w:szCs w:val="18"/>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8"/>
                <w:szCs w:val="18"/>
                <w:color w:val="auto"/>
              </w:rPr>
              <w:t>5.38</w:t>
            </w:r>
          </w:p>
        </w:tc>
        <w:tc>
          <w:tcPr>
            <w:tcW w:w="440" w:type="dxa"/>
            <w:vAlign w:val="bottom"/>
          </w:tcPr>
          <w:p>
            <w:pPr>
              <w:jc w:val="right"/>
              <w:spacing w:after="0"/>
              <w:rPr>
                <w:sz w:val="20"/>
                <w:szCs w:val="20"/>
                <w:color w:val="auto"/>
              </w:rPr>
            </w:pPr>
            <w:r>
              <w:rPr>
                <w:rFonts w:ascii="Arial" w:cs="Arial" w:eastAsia="Arial" w:hAnsi="Arial"/>
                <w:sz w:val="18"/>
                <w:szCs w:val="18"/>
                <w:color w:val="auto"/>
              </w:rPr>
              <w:t>5.63</w:t>
            </w:r>
          </w:p>
        </w:tc>
        <w:tc>
          <w:tcPr>
            <w:tcW w:w="20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32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1.41%</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0.97%</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2.23%</w:t>
            </w:r>
          </w:p>
        </w:tc>
      </w:tr>
      <w:tr>
        <w:trPr>
          <w:trHeight w:val="222"/>
        </w:trPr>
        <w:tc>
          <w:tcPr>
            <w:tcW w:w="3340" w:type="dxa"/>
            <w:vAlign w:val="bottom"/>
          </w:tcPr>
          <w:p>
            <w:pPr>
              <w:spacing w:after="0"/>
              <w:rPr>
                <w:sz w:val="20"/>
                <w:szCs w:val="20"/>
                <w:color w:val="auto"/>
              </w:rPr>
            </w:pPr>
            <w:r>
              <w:rPr>
                <w:rFonts w:ascii="Arial" w:cs="Arial" w:eastAsia="Arial" w:hAnsi="Arial"/>
                <w:sz w:val="18"/>
                <w:szCs w:val="18"/>
                <w:color w:val="auto"/>
              </w:rPr>
              <w:t>Volatility</w:t>
            </w:r>
          </w:p>
        </w:tc>
        <w:tc>
          <w:tcPr>
            <w:tcW w:w="32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4"/>
          </w:tcPr>
          <w:p>
            <w:pPr>
              <w:jc w:val="right"/>
              <w:ind w:right="480"/>
              <w:spacing w:after="0"/>
              <w:rPr>
                <w:sz w:val="20"/>
                <w:szCs w:val="20"/>
                <w:color w:val="auto"/>
              </w:rPr>
            </w:pPr>
            <w:r>
              <w:rPr>
                <w:rFonts w:ascii="Arial" w:cs="Arial" w:eastAsia="Arial" w:hAnsi="Arial"/>
                <w:sz w:val="18"/>
                <w:szCs w:val="18"/>
                <w:color w:val="auto"/>
              </w:rPr>
              <w:t>40%</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40%</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r>
      <w:tr>
        <w:trPr>
          <w:trHeight w:val="356"/>
        </w:trPr>
        <w:tc>
          <w:tcPr>
            <w:tcW w:w="3340" w:type="dxa"/>
            <w:vAlign w:val="bottom"/>
          </w:tcPr>
          <w:p>
            <w:pPr>
              <w:spacing w:after="0"/>
              <w:rPr>
                <w:sz w:val="24"/>
                <w:szCs w:val="24"/>
                <w:color w:val="auto"/>
              </w:rPr>
            </w:pPr>
          </w:p>
        </w:tc>
        <w:tc>
          <w:tcPr>
            <w:tcW w:w="3280" w:type="dxa"/>
            <w:vAlign w:val="bottom"/>
          </w:tcPr>
          <w:p>
            <w:pPr>
              <w:jc w:val="right"/>
              <w:ind w:right="1192"/>
              <w:spacing w:after="0"/>
              <w:rPr>
                <w:sz w:val="20"/>
                <w:szCs w:val="20"/>
                <w:color w:val="auto"/>
              </w:rPr>
            </w:pPr>
            <w:r>
              <w:rPr>
                <w:rFonts w:ascii="Arial" w:cs="Arial" w:eastAsia="Arial" w:hAnsi="Arial"/>
                <w:sz w:val="18"/>
                <w:szCs w:val="18"/>
                <w:color w:val="auto"/>
              </w:rPr>
              <w:t>19</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380"/>
          </w:cols>
          <w:pgMar w:left="240" w:top="274" w:right="279" w:bottom="1440" w:gutter="0" w:footer="0" w:header="0"/>
        </w:sectPr>
      </w:pPr>
    </w:p>
    <w:bookmarkStart w:id="19" w:name="page20"/>
    <w:bookmarkEnd w:id="19"/>
    <w:p>
      <w:pPr>
        <w:ind w:left="4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EXLSERVICE HOLDINGS, INC.</w:t>
      </w:r>
    </w:p>
    <w:p>
      <w:pPr>
        <w:spacing w:after="0" w:line="171"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estimated expected term of options granted has been based on historical experience since October 2006, which is representative of the expected term of the options. Volatility has been calculated based on the volatility of the Company’s common stock and the volatility of stock of comparative companies. The risk-free interest rate that the Company uses in the option valuation model is based on U.S. treasury zero-coupon bonds with a remaining term similar to the expected term of the options.</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does not anticipate paying any cash dividends in the foreseeable future and therefore uses an expected dividend yield of zero in the option valuation model. The Company is required to estimate forfeitures at the time of grant and revise those estimates in subsequent periods if actual forfeitures differ from those estimates. The Company uses historical data to estimate pre-vesting option forfeitures and records stock-based compensation expense only for those awards that are expected to vest. All stock-based payment awards are amortized on a straight-line basis over the requisite service periods of the awards, which are generally the vesting periods.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 option activity under the Company’s stock plans is shown below:</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Weighted-</w:t>
            </w: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Average</w:t>
            </w:r>
          </w:p>
        </w:tc>
        <w:tc>
          <w:tcPr>
            <w:tcW w:w="2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Aggregate</w:t>
            </w:r>
          </w:p>
        </w:tc>
        <w:tc>
          <w:tcPr>
            <w:tcW w:w="540" w:type="dxa"/>
            <w:vAlign w:val="bottom"/>
          </w:tcPr>
          <w:p>
            <w:pPr>
              <w:spacing w:after="0"/>
              <w:rPr>
                <w:sz w:val="12"/>
                <w:szCs w:val="12"/>
                <w:color w:val="auto"/>
              </w:rPr>
            </w:pP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06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2"/>
                <w:szCs w:val="12"/>
                <w:color w:val="auto"/>
              </w:rPr>
            </w:pPr>
          </w:p>
        </w:tc>
        <w:tc>
          <w:tcPr>
            <w:tcW w:w="8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Exercise</w:t>
            </w:r>
          </w:p>
        </w:tc>
        <w:tc>
          <w:tcPr>
            <w:tcW w:w="2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Intrinsic</w:t>
            </w:r>
          </w:p>
        </w:tc>
        <w:tc>
          <w:tcPr>
            <w:tcW w:w="54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4"/>
              </w:rPr>
              <w:t>of Options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Price</w:t>
            </w:r>
          </w:p>
        </w:tc>
        <w:tc>
          <w:tcPr>
            <w:tcW w:w="2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5"/>
              </w:rPr>
              <w:t>Value</w:t>
            </w:r>
          </w:p>
        </w:tc>
        <w:tc>
          <w:tcPr>
            <w:tcW w:w="540" w:type="dxa"/>
            <w:vAlign w:val="bottom"/>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Life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December 31, 2011</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3,030,128</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$ 28,318</w:t>
            </w:r>
          </w:p>
        </w:tc>
        <w:tc>
          <w:tcPr>
            <w:tcW w:w="5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420"/>
              <w:spacing w:after="0"/>
              <w:rPr>
                <w:sz w:val="20"/>
                <w:szCs w:val="20"/>
                <w:color w:val="auto"/>
              </w:rPr>
            </w:pPr>
            <w:r>
              <w:rPr>
                <w:rFonts w:ascii="Arial" w:cs="Arial" w:eastAsia="Arial" w:hAnsi="Arial"/>
                <w:sz w:val="18"/>
                <w:szCs w:val="18"/>
                <w:color w:val="auto"/>
              </w:rPr>
              <w:t>Granted</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416,129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25.36</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(728,530)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12.17</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(196,020)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17.50</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2012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2,521,707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15.19</w:t>
            </w:r>
          </w:p>
        </w:tc>
        <w:tc>
          <w:tcPr>
            <w:tcW w:w="88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85"/>
              </w:rPr>
              <w:t>$ 36,092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spacing w:after="0"/>
              <w:rPr>
                <w:sz w:val="20"/>
                <w:szCs w:val="20"/>
                <w:color w:val="auto"/>
              </w:rPr>
            </w:pPr>
            <w:r>
              <w:rPr>
                <w:rFonts w:ascii="Arial" w:cs="Arial" w:eastAsia="Arial" w:hAnsi="Arial"/>
                <w:sz w:val="18"/>
                <w:szCs w:val="18"/>
                <w:color w:val="auto"/>
              </w:rPr>
              <w:t>Vested and exercisable at September 30, 2012</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100" w:type="dxa"/>
            <w:vAlign w:val="bottom"/>
            <w:gridSpan w:val="2"/>
            <w:vMerge w:val="continue"/>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1,323,562</w:t>
            </w:r>
          </w:p>
        </w:tc>
        <w:tc>
          <w:tcPr>
            <w:tcW w:w="300" w:type="dxa"/>
            <w:vAlign w:val="bottom"/>
          </w:tcPr>
          <w:p>
            <w:pPr>
              <w:spacing w:after="0"/>
              <w:rPr>
                <w:sz w:val="18"/>
                <w:szCs w:val="18"/>
                <w:color w:val="auto"/>
              </w:rPr>
            </w:pP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13.18</w:t>
            </w:r>
          </w:p>
        </w:tc>
        <w:tc>
          <w:tcPr>
            <w:tcW w:w="880" w:type="dxa"/>
            <w:vAlign w:val="bottom"/>
            <w:gridSpan w:val="2"/>
          </w:tcPr>
          <w:p>
            <w:pPr>
              <w:jc w:val="center"/>
              <w:ind w:left="192"/>
              <w:spacing w:after="0"/>
              <w:rPr>
                <w:sz w:val="20"/>
                <w:szCs w:val="20"/>
                <w:color w:val="auto"/>
              </w:rPr>
            </w:pPr>
            <w:r>
              <w:rPr>
                <w:rFonts w:ascii="Arial" w:cs="Arial" w:eastAsia="Arial" w:hAnsi="Arial"/>
                <w:sz w:val="18"/>
                <w:szCs w:val="18"/>
                <w:color w:val="auto"/>
                <w:w w:val="85"/>
              </w:rPr>
              <w:t>$ 21,603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Available for grant at September 30, 2012</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2,246,314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unrecognized compensation cost for unvested options as of September 30, 2012 was $5,898, which is expected to be expensed over a weighted average period of 2.55 years. The Company did not grant any options during the three months ended September 30, 2012. The weighted-average fair value of options granted during the nine months ended September 30, 2012 and 2011 was $9.43 and $8.15, respectively. The total fair value of shares vested during the three months ended September 30, 2012 and 2011 was $409 and $467, respectively. The total fair value of shares vested during the nine months ended September 30, 2012 and 2011 was $2,757 and $2,603,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and Restricted Stock Units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Restricted stock and restricted stock unit activity under the Company’s stock plans is shown below:</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680" w:type="dxa"/>
            <w:vAlign w:val="bottom"/>
            <w:gridSpan w:val="5"/>
          </w:tcPr>
          <w:p>
            <w:pPr>
              <w:jc w:val="right"/>
              <w:ind w:right="276"/>
              <w:spacing w:after="0"/>
              <w:rPr>
                <w:sz w:val="20"/>
                <w:szCs w:val="20"/>
                <w:color w:val="auto"/>
              </w:rPr>
            </w:pPr>
            <w:r>
              <w:rPr>
                <w:rFonts w:ascii="Arial" w:cs="Arial" w:eastAsia="Arial" w:hAnsi="Arial"/>
                <w:sz w:val="14"/>
                <w:szCs w:val="14"/>
                <w:b w:val="1"/>
                <w:bCs w:val="1"/>
                <w:color w:val="auto"/>
              </w:rPr>
              <w:t>Restricted Stock</w:t>
            </w:r>
          </w:p>
        </w:tc>
        <w:tc>
          <w:tcPr>
            <w:tcW w:w="500" w:type="dxa"/>
            <w:vAlign w:val="bottom"/>
          </w:tcPr>
          <w:p>
            <w:pPr>
              <w:spacing w:after="0"/>
              <w:rPr>
                <w:sz w:val="14"/>
                <w:szCs w:val="14"/>
                <w:color w:val="auto"/>
              </w:rPr>
            </w:pPr>
          </w:p>
        </w:tc>
        <w:tc>
          <w:tcPr>
            <w:tcW w:w="1940" w:type="dxa"/>
            <w:vAlign w:val="bottom"/>
            <w:gridSpan w:val="6"/>
          </w:tcPr>
          <w:p>
            <w:pPr>
              <w:ind w:left="280"/>
              <w:spacing w:after="0"/>
              <w:rPr>
                <w:sz w:val="20"/>
                <w:szCs w:val="20"/>
                <w:color w:val="auto"/>
              </w:rPr>
            </w:pPr>
            <w:r>
              <w:rPr>
                <w:rFonts w:ascii="Arial" w:cs="Arial" w:eastAsia="Arial" w:hAnsi="Arial"/>
                <w:sz w:val="14"/>
                <w:szCs w:val="14"/>
                <w:b w:val="1"/>
                <w:bCs w:val="1"/>
                <w:color w:val="auto"/>
              </w:rPr>
              <w:t>Restricted Stock Units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2"/>
              </w:rPr>
              <w:t>Weighted-</w:t>
            </w:r>
          </w:p>
        </w:tc>
        <w:tc>
          <w:tcPr>
            <w:tcW w:w="50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2"/>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Intrinsic</w:t>
            </w: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Number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5"/>
              </w:rPr>
              <w:t>Value</w:t>
            </w:r>
          </w:p>
        </w:tc>
        <w:tc>
          <w:tcPr>
            <w:tcW w:w="50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December 31, 2011</w:t>
            </w:r>
          </w:p>
        </w:tc>
        <w:tc>
          <w:tcPr>
            <w:tcW w:w="25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63,834</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18.41</w:t>
            </w:r>
          </w:p>
        </w:tc>
        <w:tc>
          <w:tcPr>
            <w:tcW w:w="5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939,659</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420"/>
              <w:spacing w:after="0"/>
              <w:rPr>
                <w:sz w:val="20"/>
                <w:szCs w:val="20"/>
                <w:color w:val="auto"/>
              </w:rPr>
            </w:pPr>
            <w:r>
              <w:rPr>
                <w:rFonts w:ascii="Arial" w:cs="Arial" w:eastAsia="Arial" w:hAnsi="Arial"/>
                <w:sz w:val="18"/>
                <w:szCs w:val="18"/>
                <w:color w:val="auto"/>
              </w:rPr>
              <w:t>Granted</w:t>
            </w:r>
          </w:p>
        </w:tc>
        <w:tc>
          <w:tcPr>
            <w:tcW w:w="256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280"/>
              <w:spacing w:after="0"/>
              <w:rPr>
                <w:sz w:val="20"/>
                <w:szCs w:val="20"/>
                <w:color w:val="auto"/>
              </w:rPr>
            </w:pPr>
            <w:r>
              <w:rPr>
                <w:rFonts w:ascii="Arial" w:cs="Arial" w:eastAsia="Arial" w:hAnsi="Arial"/>
                <w:sz w:val="18"/>
                <w:szCs w:val="18"/>
                <w:color w:val="auto"/>
              </w:rPr>
              <w:t>353,050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Vested</w:t>
            </w:r>
          </w:p>
        </w:tc>
        <w:tc>
          <w:tcPr>
            <w:tcW w:w="3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(52,126)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w:t>
            </w:r>
          </w:p>
        </w:tc>
        <w:tc>
          <w:tcPr>
            <w:tcW w:w="1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(189,442)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25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(2,901)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23.82</w:t>
            </w: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(87,202)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2012</w:t>
            </w:r>
          </w:p>
        </w:tc>
        <w:tc>
          <w:tcPr>
            <w:tcW w:w="25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8,807</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w:t>
            </w:r>
          </w:p>
        </w:tc>
        <w:tc>
          <w:tcPr>
            <w:tcW w:w="15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1,016,065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560" w:type="dxa"/>
            <w:vAlign w:val="bottom"/>
            <w:vMerge w:val="restart"/>
          </w:tcPr>
          <w:p>
            <w:pPr>
              <w:jc w:val="right"/>
              <w:ind w:right="952"/>
              <w:spacing w:after="0"/>
              <w:rPr>
                <w:sz w:val="20"/>
                <w:szCs w:val="20"/>
                <w:color w:val="auto"/>
              </w:rPr>
            </w:pPr>
            <w:r>
              <w:rPr>
                <w:rFonts w:ascii="Arial" w:cs="Arial" w:eastAsia="Arial" w:hAnsi="Arial"/>
                <w:sz w:val="18"/>
                <w:szCs w:val="18"/>
                <w:color w:val="auto"/>
              </w:rPr>
              <w:t>20</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0" w:name="page21"/>
    <w:bookmarkEnd w:id="20"/>
    <w:p>
      <w:pPr>
        <w:ind w:left="4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171"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September 30, 2012, unrecognized compensation cost of $16,847 is expected to be expensed over a weighted average period of 2.47 years.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Geographical Information</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74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86"/>
              </w:rPr>
              <w:t>Nine months ended</w:t>
            </w:r>
          </w:p>
        </w:tc>
      </w:tr>
      <w:tr>
        <w:trPr>
          <w:trHeight w:val="161"/>
        </w:trPr>
        <w:tc>
          <w:tcPr>
            <w:tcW w:w="9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74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920" w:type="dxa"/>
            <w:vAlign w:val="bottom"/>
            <w:tcBorders>
              <w:bottom w:val="single" w:sz="8" w:color="CCEEFF"/>
            </w:tcBorders>
          </w:tcPr>
          <w:p>
            <w:pPr>
              <w:spacing w:after="0"/>
              <w:rPr>
                <w:sz w:val="12"/>
                <w:szCs w:val="12"/>
                <w:color w:val="auto"/>
              </w:rPr>
            </w:pPr>
          </w:p>
        </w:tc>
        <w:tc>
          <w:tcPr>
            <w:tcW w:w="562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w w:val="96"/>
              </w:rPr>
              <w:t>2012</w:t>
            </w: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196"/>
        </w:trPr>
        <w:tc>
          <w:tcPr>
            <w:tcW w:w="65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6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800" w:type="dxa"/>
            <w:vAlign w:val="bottom"/>
            <w:gridSpan w:val="2"/>
          </w:tcPr>
          <w:p>
            <w:pPr>
              <w:jc w:val="right"/>
              <w:ind w:right="72"/>
              <w:spacing w:after="0"/>
              <w:rPr>
                <w:sz w:val="20"/>
                <w:szCs w:val="20"/>
                <w:color w:val="auto"/>
              </w:rPr>
            </w:pPr>
            <w:r>
              <w:rPr>
                <w:rFonts w:ascii="Arial" w:cs="Arial" w:eastAsia="Arial" w:hAnsi="Arial"/>
                <w:sz w:val="18"/>
                <w:szCs w:val="18"/>
                <w:color w:val="auto"/>
                <w:w w:val="91"/>
              </w:rPr>
              <w:t>$ 80,949</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71,503</w:t>
            </w:r>
          </w:p>
        </w:tc>
        <w:tc>
          <w:tcPr>
            <w:tcW w:w="1220" w:type="dxa"/>
            <w:vAlign w:val="bottom"/>
            <w:gridSpan w:val="4"/>
          </w:tcPr>
          <w:p>
            <w:pPr>
              <w:jc w:val="right"/>
              <w:ind w:right="160"/>
              <w:spacing w:after="0"/>
              <w:rPr>
                <w:sz w:val="20"/>
                <w:szCs w:val="20"/>
                <w:color w:val="auto"/>
              </w:rPr>
            </w:pPr>
            <w:r>
              <w:rPr>
                <w:rFonts w:ascii="Arial" w:cs="Arial" w:eastAsia="Arial" w:hAnsi="Arial"/>
                <w:sz w:val="18"/>
                <w:szCs w:val="18"/>
                <w:color w:val="auto"/>
              </w:rPr>
              <w:t>$234,514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5"/>
              </w:rPr>
              <w:t>$184,981</w:t>
            </w:r>
          </w:p>
        </w:tc>
        <w:tc>
          <w:tcPr>
            <w:tcW w:w="100" w:type="dxa"/>
            <w:vAlign w:val="bottom"/>
          </w:tcPr>
          <w:p>
            <w:pPr>
              <w:spacing w:after="0"/>
              <w:rPr>
                <w:sz w:val="18"/>
                <w:szCs w:val="18"/>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8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23,061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20,983</w:t>
            </w:r>
          </w:p>
        </w:tc>
        <w:tc>
          <w:tcPr>
            <w:tcW w:w="4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66,046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59,097</w:t>
            </w:r>
          </w:p>
        </w:tc>
        <w:tc>
          <w:tcPr>
            <w:tcW w:w="100" w:type="dxa"/>
            <w:vAlign w:val="bottom"/>
            <w:shd w:val="clear" w:color="auto" w:fill="CCEEFF"/>
          </w:tcPr>
          <w:p>
            <w:pPr>
              <w:spacing w:after="0"/>
              <w:rPr>
                <w:sz w:val="18"/>
                <w:szCs w:val="18"/>
                <w:color w:val="auto"/>
              </w:rPr>
            </w:pP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Rest of World</w:t>
            </w:r>
          </w:p>
        </w:tc>
        <w:tc>
          <w:tcPr>
            <w:tcW w:w="800" w:type="dxa"/>
            <w:vAlign w:val="bottom"/>
            <w:gridSpan w:val="2"/>
          </w:tcPr>
          <w:p>
            <w:pPr>
              <w:jc w:val="right"/>
              <w:ind w:right="72"/>
              <w:spacing w:after="0"/>
              <w:rPr>
                <w:sz w:val="20"/>
                <w:szCs w:val="20"/>
                <w:color w:val="auto"/>
              </w:rPr>
            </w:pPr>
            <w:r>
              <w:rPr>
                <w:rFonts w:ascii="Arial" w:cs="Arial" w:eastAsia="Arial" w:hAnsi="Arial"/>
                <w:sz w:val="18"/>
                <w:szCs w:val="18"/>
                <w:color w:val="auto"/>
              </w:rPr>
              <w:t>8,629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7,540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24,717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13,883</w:t>
            </w:r>
          </w:p>
        </w:tc>
        <w:tc>
          <w:tcPr>
            <w:tcW w:w="100" w:type="dxa"/>
            <w:vAlign w:val="bottom"/>
          </w:tcPr>
          <w:p>
            <w:pPr>
              <w:spacing w:after="0"/>
              <w:rPr>
                <w:sz w:val="18"/>
                <w:szCs w:val="18"/>
                <w:color w:val="auto"/>
              </w:rPr>
            </w:pPr>
          </w:p>
        </w:tc>
      </w:tr>
      <w:tr>
        <w:trPr>
          <w:trHeight w:val="27"/>
        </w:trPr>
        <w:tc>
          <w:tcPr>
            <w:tcW w:w="920" w:type="dxa"/>
            <w:vAlign w:val="bottom"/>
          </w:tcPr>
          <w:p>
            <w:pPr>
              <w:spacing w:after="0"/>
              <w:rPr>
                <w:sz w:val="2"/>
                <w:szCs w:val="2"/>
                <w:color w:val="auto"/>
              </w:rPr>
            </w:pPr>
          </w:p>
        </w:tc>
        <w:tc>
          <w:tcPr>
            <w:tcW w:w="5620" w:type="dxa"/>
            <w:vAlign w:val="bottom"/>
          </w:tcPr>
          <w:p>
            <w:pPr>
              <w:spacing w:after="0"/>
              <w:rPr>
                <w:sz w:val="2"/>
                <w:szCs w:val="2"/>
                <w:color w:val="auto"/>
              </w:rPr>
            </w:pPr>
          </w:p>
        </w:tc>
        <w:tc>
          <w:tcPr>
            <w:tcW w:w="66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2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112,639</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100,026</w:t>
            </w:r>
          </w:p>
        </w:tc>
        <w:tc>
          <w:tcPr>
            <w:tcW w:w="12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325,277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257,961</w:t>
            </w:r>
          </w:p>
        </w:tc>
        <w:tc>
          <w:tcPr>
            <w:tcW w:w="100" w:type="dxa"/>
            <w:vAlign w:val="bottom"/>
            <w:shd w:val="clear" w:color="auto" w:fill="CCEEFF"/>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2"/>
        </w:trPr>
        <w:tc>
          <w:tcPr>
            <w:tcW w:w="92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gridSpan w:val="5"/>
          </w:tcPr>
          <w:p>
            <w:pPr>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Pr>
          <w:p>
            <w:pPr>
              <w:spacing w:after="0"/>
              <w:rPr>
                <w:sz w:val="24"/>
                <w:szCs w:val="24"/>
                <w:color w:val="auto"/>
              </w:rPr>
            </w:pPr>
          </w:p>
        </w:tc>
        <w:tc>
          <w:tcPr>
            <w:tcW w:w="1040" w:type="dxa"/>
            <w:vAlign w:val="bottom"/>
            <w:gridSpan w:val="5"/>
          </w:tcPr>
          <w:p>
            <w:pPr>
              <w:spacing w:after="0"/>
              <w:rPr>
                <w:sz w:val="20"/>
                <w:szCs w:val="20"/>
                <w:color w:val="auto"/>
              </w:rPr>
            </w:pPr>
            <w:r>
              <w:rPr>
                <w:rFonts w:ascii="Arial" w:cs="Arial" w:eastAsia="Arial" w:hAnsi="Arial"/>
                <w:sz w:val="14"/>
                <w:szCs w:val="14"/>
                <w:b w:val="1"/>
                <w:bCs w:val="1"/>
                <w:color w:val="auto"/>
              </w:rPr>
              <w:t>December 31,</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1"/>
        </w:trPr>
        <w:tc>
          <w:tcPr>
            <w:tcW w:w="920" w:type="dxa"/>
            <w:vAlign w:val="bottom"/>
          </w:tcPr>
          <w:p>
            <w:pPr>
              <w:spacing w:after="0"/>
              <w:rPr>
                <w:sz w:val="14"/>
                <w:szCs w:val="14"/>
                <w:color w:val="auto"/>
              </w:rPr>
            </w:pPr>
          </w:p>
        </w:tc>
        <w:tc>
          <w:tcPr>
            <w:tcW w:w="56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3"/>
          </w:tcPr>
          <w:p>
            <w:pPr>
              <w:jc w:val="right"/>
              <w:ind w:right="196"/>
              <w:spacing w:after="0"/>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2011</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6"/>
        </w:trPr>
        <w:tc>
          <w:tcPr>
            <w:tcW w:w="920" w:type="dxa"/>
            <w:vAlign w:val="bottom"/>
          </w:tcPr>
          <w:p>
            <w:pPr>
              <w:spacing w:after="0"/>
              <w:rPr>
                <w:sz w:val="17"/>
                <w:szCs w:val="17"/>
                <w:color w:val="auto"/>
              </w:rPr>
            </w:pPr>
          </w:p>
        </w:tc>
        <w:tc>
          <w:tcPr>
            <w:tcW w:w="5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Fixed assets, net</w:t>
            </w:r>
          </w:p>
        </w:tc>
        <w:tc>
          <w:tcPr>
            <w:tcW w:w="6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9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India</w:t>
            </w:r>
          </w:p>
        </w:tc>
        <w:tc>
          <w:tcPr>
            <w:tcW w:w="8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32,942</w:t>
            </w:r>
          </w:p>
        </w:tc>
        <w:tc>
          <w:tcPr>
            <w:tcW w:w="300" w:type="dxa"/>
            <w:vAlign w:val="bottom"/>
          </w:tcPr>
          <w:p>
            <w:pPr>
              <w:spacing w:after="0"/>
              <w:rPr>
                <w:sz w:val="18"/>
                <w:szCs w:val="18"/>
                <w:color w:val="auto"/>
              </w:rPr>
            </w:pP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35,787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6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2,597</w:t>
            </w:r>
          </w:p>
        </w:tc>
        <w:tc>
          <w:tcPr>
            <w:tcW w:w="30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10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Philippines</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4,612</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3,946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66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30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10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92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8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41,154</w:t>
            </w:r>
          </w:p>
        </w:tc>
        <w:tc>
          <w:tcPr>
            <w:tcW w:w="300" w:type="dxa"/>
            <w:vAlign w:val="bottom"/>
          </w:tcPr>
          <w:p>
            <w:pPr>
              <w:spacing w:after="0"/>
              <w:rPr>
                <w:sz w:val="19"/>
                <w:szCs w:val="19"/>
                <w:color w:val="auto"/>
              </w:rPr>
            </w:pP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42,320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240" w:right="8660" w:hanging="232"/>
        <w:spacing w:after="0" w:line="417" w:lineRule="auto"/>
        <w:tabs>
          <w:tab w:leader="none" w:pos="275" w:val="left"/>
        </w:tabs>
        <w:numPr>
          <w:ilvl w:val="0"/>
          <w:numId w:val="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Fixed Asset Commitments</w:t>
      </w:r>
    </w:p>
    <w:p>
      <w:pPr>
        <w:spacing w:after="0" w:line="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As of September 30, 2012, the Company had committed to spend approximately $1,129 under agreements to purchase fixed assets. This amount is net of advances paid in respect of these purchases.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Certain units of the Company’s Indian subsidiaries were established as 100% Export-Oriented units under the Software Technology Parks of India (“STPI”) scheme promulgated by the Government of India which provided the Company with certain incentives on imported and indigenous capital goods on fulfillment of certain conditions. Although the corporate tax incentives under the STPI scheme are no longer available to the company, the units are required to fulfill such conditions for a limited time. In the event that these units are unable to meet the prescribed conditions over the specified period, the Company may be required to refund those incentives along with penalties and fines. The Company’s management believes, however, that these units have in the past satisfied and will continue to satisfy the required conditions.</w:t>
      </w:r>
    </w:p>
    <w:p>
      <w:pPr>
        <w:spacing w:after="0" w:line="14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ExlService Philippines, Inc. (“Exl Philippines”) is registered as an Ecozone IT Enterprise with the Philippines Economic Zone Authority. The registration provides the Company with certain incentives on the import of capital goods and requires Exl Philippines to meet certain export obligations. The Company benefited from a four-year income tax holiday for one of its operations centers in the Philippines that expired in the middle of 2012. The tax holiday, however, can be extended for an additional two years. The Company has applied for an extension of the tax holiday, which, if granted, will be effective retrospectively from the date of expiration of four years. The Company’s new operations center in the Philippines, which began operations in January 2012, also benefits from a separate four-year income tax holiday that can be extended for an additional two years.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1" w:name="page22"/>
    <w:bookmarkEnd w:id="21"/>
    <w:p>
      <w:pPr>
        <w:ind w:left="4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171"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Contingencies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U.S. and Indian transfer pricing regulations require that any international transaction involving associated enterprises be at an arm’s-length price. Transactions among the Company’s subsidiaries and the Company may be required to satisfy such requirements. Accordingly, the Company determines the pricing among its associated enterprises on the basis of detailed functional and economic analysis involving benchmarking against transactions among entities that are not under common control. The tax authorities have jurisdiction to review this arrangement and in the event that they determine that the transfer price applied was not appropriate, the Company may incur increased tax liability, including accrued interest and penalties. The Company is currently involved in disputes with the Indian tax authorities over the application of some of its transfer pricing policies. The Company has received a number of assessment orders from the Indian tax authorities with respect to their audit of certain of the Company’s subsidiaries. The Indian tax authorities are examining income tax returns for other tax years.</w:t>
      </w:r>
    </w:p>
    <w:p>
      <w:pPr>
        <w:spacing w:after="0" w:line="11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details of the assessment orders, as well as amounts deposited or bank guarantees provided by the Company as of September 30, 2012 are set forth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Bank</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Amount</w:t>
            </w:r>
          </w:p>
        </w:tc>
        <w:tc>
          <w:tcPr>
            <w:tcW w:w="7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Guarantee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Deposited</w:t>
            </w:r>
          </w:p>
        </w:tc>
        <w:tc>
          <w:tcPr>
            <w:tcW w:w="120" w:type="dxa"/>
            <w:vAlign w:val="bottom"/>
          </w:tcPr>
          <w:p>
            <w:pPr>
              <w:spacing w:after="0"/>
              <w:rPr>
                <w:sz w:val="12"/>
                <w:szCs w:val="12"/>
                <w:color w:val="auto"/>
              </w:rPr>
            </w:pPr>
          </w:p>
        </w:tc>
        <w:tc>
          <w:tcPr>
            <w:tcW w:w="6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1"/>
              </w:rPr>
              <w:t>Issued</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Demanded</w:t>
            </w:r>
          </w:p>
        </w:tc>
        <w:tc>
          <w:tcPr>
            <w:tcW w:w="30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(Including</w:t>
            </w:r>
          </w:p>
        </w:tc>
        <w:tc>
          <w:tcPr>
            <w:tcW w:w="7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(Including</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2"/>
              </w:rPr>
              <w:t>Entity</w:t>
            </w:r>
          </w:p>
        </w:tc>
        <w:tc>
          <w:tcPr>
            <w:tcW w:w="1040" w:type="dxa"/>
            <w:vAlign w:val="bottom"/>
            <w:vMerge w:val="restart"/>
          </w:tcPr>
          <w:p>
            <w:pPr>
              <w:spacing w:after="0"/>
              <w:rPr>
                <w:sz w:val="12"/>
                <w:szCs w:val="12"/>
                <w:color w:val="auto"/>
              </w:rPr>
            </w:pPr>
          </w:p>
        </w:tc>
        <w:tc>
          <w:tcPr>
            <w:tcW w:w="58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Tax</w:t>
            </w:r>
          </w:p>
        </w:tc>
        <w:tc>
          <w:tcPr>
            <w:tcW w:w="220" w:type="dxa"/>
            <w:vAlign w:val="bottom"/>
          </w:tcPr>
          <w:p>
            <w:pPr>
              <w:spacing w:after="0"/>
              <w:rPr>
                <w:sz w:val="12"/>
                <w:szCs w:val="12"/>
                <w:color w:val="auto"/>
              </w:rPr>
            </w:pPr>
          </w:p>
        </w:tc>
        <w:tc>
          <w:tcPr>
            <w:tcW w:w="6400" w:type="dxa"/>
            <w:vAlign w:val="bottom"/>
            <w:vMerge w:val="restart"/>
          </w:tcPr>
          <w:p>
            <w:pPr>
              <w:ind w:left="3060"/>
              <w:spacing w:after="0"/>
              <w:rPr>
                <w:sz w:val="20"/>
                <w:szCs w:val="20"/>
                <w:color w:val="auto"/>
              </w:rPr>
            </w:pPr>
            <w:r>
              <w:rPr>
                <w:rFonts w:ascii="Arial" w:cs="Arial" w:eastAsia="Arial" w:hAnsi="Arial"/>
                <w:sz w:val="14"/>
                <w:szCs w:val="14"/>
                <w:b w:val="1"/>
                <w:bCs w:val="1"/>
                <w:color w:val="auto"/>
              </w:rPr>
              <w:t>Issue</w:t>
            </w:r>
          </w:p>
        </w:tc>
        <w:tc>
          <w:tcPr>
            <w:tcW w:w="22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9"/>
              </w:rPr>
              <w:t>(Including</w:t>
            </w:r>
          </w:p>
        </w:tc>
        <w:tc>
          <w:tcPr>
            <w:tcW w:w="30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additional</w:t>
            </w:r>
          </w:p>
        </w:tc>
        <w:tc>
          <w:tcPr>
            <w:tcW w:w="7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additional</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580" w:type="dxa"/>
            <w:vAlign w:val="bottom"/>
          </w:tcPr>
          <w:p>
            <w:pPr>
              <w:ind w:left="160"/>
              <w:spacing w:after="0" w:line="148" w:lineRule="exact"/>
              <w:rPr>
                <w:sz w:val="20"/>
                <w:szCs w:val="20"/>
                <w:color w:val="auto"/>
              </w:rPr>
            </w:pPr>
            <w:r>
              <w:rPr>
                <w:rFonts w:ascii="Arial" w:cs="Arial" w:eastAsia="Arial" w:hAnsi="Arial"/>
                <w:sz w:val="14"/>
                <w:szCs w:val="14"/>
                <w:b w:val="1"/>
                <w:bCs w:val="1"/>
                <w:color w:val="auto"/>
              </w:rPr>
              <w:t>Year</w:t>
            </w:r>
          </w:p>
        </w:tc>
        <w:tc>
          <w:tcPr>
            <w:tcW w:w="220" w:type="dxa"/>
            <w:vAlign w:val="bottom"/>
          </w:tcPr>
          <w:p>
            <w:pPr>
              <w:spacing w:after="0"/>
              <w:rPr>
                <w:sz w:val="14"/>
                <w:szCs w:val="14"/>
                <w:color w:val="auto"/>
              </w:rPr>
            </w:pPr>
          </w:p>
        </w:tc>
        <w:tc>
          <w:tcPr>
            <w:tcW w:w="64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97"/>
              </w:rPr>
              <w:t>Interest)</w:t>
            </w:r>
          </w:p>
        </w:tc>
        <w:tc>
          <w:tcPr>
            <w:tcW w:w="300" w:type="dxa"/>
            <w:vAlign w:val="bottom"/>
          </w:tcPr>
          <w:p>
            <w:pPr>
              <w:spacing w:after="0"/>
              <w:rPr>
                <w:sz w:val="14"/>
                <w:szCs w:val="14"/>
                <w:color w:val="auto"/>
              </w:rPr>
            </w:pPr>
          </w:p>
        </w:tc>
        <w:tc>
          <w:tcPr>
            <w:tcW w:w="920" w:type="dxa"/>
            <w:vAlign w:val="bottom"/>
            <w:gridSpan w:val="3"/>
          </w:tcPr>
          <w:p>
            <w:pPr>
              <w:ind w:left="60"/>
              <w:spacing w:after="0" w:line="148" w:lineRule="exact"/>
              <w:rPr>
                <w:sz w:val="20"/>
                <w:szCs w:val="20"/>
                <w:color w:val="auto"/>
              </w:rPr>
            </w:pPr>
            <w:r>
              <w:rPr>
                <w:rFonts w:ascii="Arial" w:cs="Arial" w:eastAsia="Arial" w:hAnsi="Arial"/>
                <w:sz w:val="14"/>
                <w:szCs w:val="14"/>
                <w:b w:val="1"/>
                <w:bCs w:val="1"/>
                <w:color w:val="auto"/>
              </w:rPr>
              <w:t>Interest)</w:t>
            </w:r>
          </w:p>
        </w:tc>
        <w:tc>
          <w:tcPr>
            <w:tcW w:w="720" w:type="dxa"/>
            <w:vAlign w:val="bottom"/>
            <w:gridSpan w:val="3"/>
          </w:tcPr>
          <w:p>
            <w:pPr>
              <w:jc w:val="center"/>
              <w:ind w:right="100"/>
              <w:spacing w:after="0" w:line="148" w:lineRule="exact"/>
              <w:rPr>
                <w:sz w:val="20"/>
                <w:szCs w:val="20"/>
                <w:color w:val="auto"/>
              </w:rPr>
            </w:pPr>
            <w:r>
              <w:rPr>
                <w:rFonts w:ascii="Arial" w:cs="Arial" w:eastAsia="Arial" w:hAnsi="Arial"/>
                <w:sz w:val="14"/>
                <w:szCs w:val="14"/>
                <w:b w:val="1"/>
                <w:bCs w:val="1"/>
                <w:color w:val="auto"/>
                <w:w w:val="90"/>
              </w:rPr>
              <w:t>Interest)</w:t>
            </w:r>
          </w:p>
        </w:tc>
        <w:tc>
          <w:tcPr>
            <w:tcW w:w="0" w:type="dxa"/>
            <w:vAlign w:val="bottom"/>
          </w:tcPr>
          <w:p>
            <w:pPr>
              <w:spacing w:after="0"/>
              <w:rPr>
                <w:sz w:val="1"/>
                <w:szCs w:val="1"/>
                <w:color w:val="auto"/>
              </w:rPr>
            </w:pPr>
          </w:p>
        </w:tc>
      </w:tr>
      <w:tr>
        <w:trPr>
          <w:trHeight w:val="195"/>
        </w:trPr>
        <w:tc>
          <w:tcPr>
            <w:tcW w:w="1420" w:type="dxa"/>
            <w:vAlign w:val="bottom"/>
            <w:tcBorders>
              <w:top w:val="single" w:sz="8" w:color="CCEEFF"/>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rPr>
              <w:t>Exl India</w:t>
            </w:r>
          </w:p>
        </w:tc>
        <w:tc>
          <w:tcPr>
            <w:tcW w:w="5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84"/>
              </w:rPr>
              <w:t>2003-04</w:t>
            </w:r>
          </w:p>
        </w:tc>
        <w:tc>
          <w:tcPr>
            <w:tcW w:w="220" w:type="dxa"/>
            <w:vAlign w:val="bottom"/>
            <w:tcBorders>
              <w:top w:val="single" w:sz="8" w:color="CCEEFF"/>
            </w:tcBorders>
            <w:shd w:val="clear" w:color="auto" w:fill="CCEEFF"/>
          </w:tcPr>
          <w:p>
            <w:pPr>
              <w:spacing w:after="0"/>
              <w:rPr>
                <w:sz w:val="16"/>
                <w:szCs w:val="16"/>
                <w:color w:val="auto"/>
              </w:rPr>
            </w:pPr>
          </w:p>
        </w:tc>
        <w:tc>
          <w:tcPr>
            <w:tcW w:w="64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0"/>
              </w:rPr>
              <w:t>The assessment order alleges that the transfer price we applied to transactions between</w:t>
            </w: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2"/>
              </w:rPr>
              <w:t>EXL India and EXL Inc. in the 2003-04 tax year was not appropriate and also disallows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certain expenses claimed as tax deductible by EXL India.</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1,839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1420" w:type="dxa"/>
            <w:vAlign w:val="bottom"/>
            <w:gridSpan w:val="2"/>
          </w:tcPr>
          <w:p>
            <w:pPr>
              <w:spacing w:after="0"/>
              <w:rPr>
                <w:sz w:val="20"/>
                <w:szCs w:val="20"/>
                <w:color w:val="auto"/>
              </w:rPr>
            </w:pPr>
            <w:r>
              <w:rPr>
                <w:rFonts w:ascii="Arial" w:cs="Arial" w:eastAsia="Arial" w:hAnsi="Arial"/>
                <w:sz w:val="18"/>
                <w:szCs w:val="18"/>
                <w:color w:val="auto"/>
              </w:rPr>
              <w:t>Exl India</w:t>
            </w:r>
          </w:p>
        </w:tc>
        <w:tc>
          <w:tcPr>
            <w:tcW w:w="7200" w:type="dxa"/>
            <w:vAlign w:val="bottom"/>
            <w:gridSpan w:val="3"/>
          </w:tcPr>
          <w:p>
            <w:pPr>
              <w:spacing w:after="0"/>
              <w:rPr>
                <w:sz w:val="20"/>
                <w:szCs w:val="20"/>
                <w:color w:val="auto"/>
              </w:rPr>
            </w:pPr>
            <w:r>
              <w:rPr>
                <w:rFonts w:ascii="Arial" w:cs="Arial" w:eastAsia="Arial" w:hAnsi="Arial"/>
                <w:sz w:val="18"/>
                <w:szCs w:val="18"/>
                <w:color w:val="auto"/>
                <w:w w:val="91"/>
              </w:rPr>
              <w:t>2004-05   The assessment order alleges that the transfer price we applied to transactions between</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20" w:type="dxa"/>
            <w:vAlign w:val="bottom"/>
            <w:gridSpan w:val="2"/>
          </w:tcPr>
          <w:p>
            <w:pPr>
              <w:ind w:left="220"/>
              <w:spacing w:after="0"/>
              <w:rPr>
                <w:sz w:val="20"/>
                <w:szCs w:val="20"/>
                <w:color w:val="auto"/>
              </w:rPr>
            </w:pPr>
            <w:r>
              <w:rPr>
                <w:rFonts w:ascii="Arial" w:cs="Arial" w:eastAsia="Arial" w:hAnsi="Arial"/>
                <w:sz w:val="18"/>
                <w:szCs w:val="18"/>
                <w:color w:val="auto"/>
                <w:w w:val="91"/>
              </w:rPr>
              <w:t>EXL India and EXL Inc. for the 2004-05 tax year was not appropriate and also disallows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20" w:type="dxa"/>
            <w:vAlign w:val="bottom"/>
            <w:gridSpan w:val="2"/>
          </w:tcPr>
          <w:p>
            <w:pPr>
              <w:ind w:left="220"/>
              <w:spacing w:after="0"/>
              <w:rPr>
                <w:sz w:val="20"/>
                <w:szCs w:val="20"/>
                <w:color w:val="auto"/>
              </w:rPr>
            </w:pPr>
            <w:r>
              <w:rPr>
                <w:rFonts w:ascii="Arial" w:cs="Arial" w:eastAsia="Arial" w:hAnsi="Arial"/>
                <w:sz w:val="18"/>
                <w:szCs w:val="18"/>
                <w:color w:val="auto"/>
              </w:rPr>
              <w:t>certain expenses claimed as tax deductible by EXL India.</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1,783</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1,783</w:t>
            </w:r>
          </w:p>
        </w:tc>
        <w:tc>
          <w:tcPr>
            <w:tcW w:w="120" w:type="dxa"/>
            <w:vAlign w:val="bottom"/>
          </w:tcPr>
          <w:p>
            <w:pPr>
              <w:spacing w:after="0"/>
              <w:rPr>
                <w:sz w:val="19"/>
                <w:szCs w:val="19"/>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1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Exl India</w:t>
            </w:r>
          </w:p>
        </w:tc>
        <w:tc>
          <w:tcPr>
            <w:tcW w:w="72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1"/>
              </w:rPr>
              <w:t>2005-06   The assessment order alleges that the transfer price we applied to transactions between</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1"/>
              </w:rPr>
              <w:t>EXL India and EXL Inc. for the 2005-06 tax year was not appropriate and also disallows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certain expenses claimed as tax deductible by EXL India.</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3,439</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3,439</w:t>
            </w:r>
          </w:p>
        </w:tc>
        <w:tc>
          <w:tcPr>
            <w:tcW w:w="1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1420" w:type="dxa"/>
            <w:vAlign w:val="bottom"/>
            <w:gridSpan w:val="2"/>
          </w:tcPr>
          <w:p>
            <w:pPr>
              <w:spacing w:after="0"/>
              <w:rPr>
                <w:sz w:val="20"/>
                <w:szCs w:val="20"/>
                <w:color w:val="auto"/>
              </w:rPr>
            </w:pPr>
            <w:r>
              <w:rPr>
                <w:rFonts w:ascii="Arial" w:cs="Arial" w:eastAsia="Arial" w:hAnsi="Arial"/>
                <w:sz w:val="18"/>
                <w:szCs w:val="18"/>
                <w:color w:val="auto"/>
              </w:rPr>
              <w:t>Exl India</w:t>
            </w:r>
          </w:p>
        </w:tc>
        <w:tc>
          <w:tcPr>
            <w:tcW w:w="7200" w:type="dxa"/>
            <w:vAlign w:val="bottom"/>
            <w:gridSpan w:val="3"/>
          </w:tcPr>
          <w:p>
            <w:pPr>
              <w:spacing w:after="0"/>
              <w:rPr>
                <w:sz w:val="20"/>
                <w:szCs w:val="20"/>
                <w:color w:val="auto"/>
              </w:rPr>
            </w:pPr>
            <w:r>
              <w:rPr>
                <w:rFonts w:ascii="Arial" w:cs="Arial" w:eastAsia="Arial" w:hAnsi="Arial"/>
                <w:sz w:val="18"/>
                <w:szCs w:val="18"/>
                <w:color w:val="auto"/>
                <w:w w:val="91"/>
              </w:rPr>
              <w:t>2006-07   The assessment order alleges that the transfer price we applied to transactions between</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20" w:type="dxa"/>
            <w:vAlign w:val="bottom"/>
            <w:gridSpan w:val="2"/>
          </w:tcPr>
          <w:p>
            <w:pPr>
              <w:ind w:left="220"/>
              <w:spacing w:after="0"/>
              <w:rPr>
                <w:sz w:val="20"/>
                <w:szCs w:val="20"/>
                <w:color w:val="auto"/>
              </w:rPr>
            </w:pPr>
            <w:r>
              <w:rPr>
                <w:rFonts w:ascii="Arial" w:cs="Arial" w:eastAsia="Arial" w:hAnsi="Arial"/>
                <w:sz w:val="18"/>
                <w:szCs w:val="18"/>
                <w:color w:val="auto"/>
                <w:w w:val="91"/>
              </w:rPr>
              <w:t>EXL India and EXL Inc. for the 2006-07 tax year was not appropriate and also disallows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20" w:type="dxa"/>
            <w:vAlign w:val="bottom"/>
            <w:gridSpan w:val="2"/>
          </w:tcPr>
          <w:p>
            <w:pPr>
              <w:ind w:left="220"/>
              <w:spacing w:after="0"/>
              <w:rPr>
                <w:sz w:val="20"/>
                <w:szCs w:val="20"/>
                <w:color w:val="auto"/>
              </w:rPr>
            </w:pPr>
            <w:r>
              <w:rPr>
                <w:rFonts w:ascii="Arial" w:cs="Arial" w:eastAsia="Arial" w:hAnsi="Arial"/>
                <w:sz w:val="18"/>
                <w:szCs w:val="18"/>
                <w:color w:val="auto"/>
              </w:rPr>
              <w:t>certain expenses claimed as tax deductible by EXL India.</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3,422</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2,820</w:t>
            </w:r>
          </w:p>
        </w:tc>
        <w:tc>
          <w:tcPr>
            <w:tcW w:w="120" w:type="dxa"/>
            <w:vAlign w:val="bottom"/>
          </w:tcPr>
          <w:p>
            <w:pPr>
              <w:spacing w:after="0"/>
              <w:rPr>
                <w:sz w:val="19"/>
                <w:szCs w:val="19"/>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1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Exl India</w:t>
            </w:r>
          </w:p>
        </w:tc>
        <w:tc>
          <w:tcPr>
            <w:tcW w:w="72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1"/>
              </w:rPr>
              <w:t>2007-08   The assessment order alleges that the transfer price we applied to transactions between</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1"/>
              </w:rPr>
              <w:t>EXL India and EXL Inc. for the 2007-08 tax year was not appropriate and also disallows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certain expenses claimed as tax deductible by EXL India.</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3,964</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946</w:t>
            </w:r>
          </w:p>
        </w:tc>
        <w:tc>
          <w:tcPr>
            <w:tcW w:w="1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Exl Inc.</w:t>
            </w:r>
          </w:p>
        </w:tc>
        <w:tc>
          <w:tcPr>
            <w:tcW w:w="7200" w:type="dxa"/>
            <w:vAlign w:val="bottom"/>
            <w:gridSpan w:val="3"/>
          </w:tcPr>
          <w:p>
            <w:pPr>
              <w:spacing w:after="0"/>
              <w:rPr>
                <w:sz w:val="20"/>
                <w:szCs w:val="20"/>
                <w:color w:val="auto"/>
              </w:rPr>
            </w:pPr>
            <w:r>
              <w:rPr>
                <w:rFonts w:ascii="Arial" w:cs="Arial" w:eastAsia="Arial" w:hAnsi="Arial"/>
                <w:sz w:val="18"/>
                <w:szCs w:val="18"/>
                <w:color w:val="auto"/>
                <w:w w:val="95"/>
              </w:rPr>
              <w:t>2003-04   The assessment order alleges that EXL Inc. has a permanent establishment in India.</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2,775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1,325</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Exl Inc.</w:t>
            </w:r>
          </w:p>
        </w:tc>
        <w:tc>
          <w:tcPr>
            <w:tcW w:w="72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2004-05   The assessment order alleges that EXL Inc. has a permanent establishment in India.</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Exl Inc.</w:t>
            </w:r>
          </w:p>
        </w:tc>
        <w:tc>
          <w:tcPr>
            <w:tcW w:w="7200" w:type="dxa"/>
            <w:vAlign w:val="bottom"/>
            <w:gridSpan w:val="3"/>
          </w:tcPr>
          <w:p>
            <w:pPr>
              <w:spacing w:after="0"/>
              <w:rPr>
                <w:sz w:val="20"/>
                <w:szCs w:val="20"/>
                <w:color w:val="auto"/>
              </w:rPr>
            </w:pPr>
            <w:r>
              <w:rPr>
                <w:rFonts w:ascii="Arial" w:cs="Arial" w:eastAsia="Arial" w:hAnsi="Arial"/>
                <w:sz w:val="18"/>
                <w:szCs w:val="18"/>
                <w:color w:val="auto"/>
                <w:w w:val="95"/>
              </w:rPr>
              <w:t>2005-06   The assessment order alleges that EXL Inc. has a permanent establishment in India.</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659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w w:val="79"/>
              </w:rPr>
              <w:t>386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Exl Inc.</w:t>
            </w:r>
          </w:p>
        </w:tc>
        <w:tc>
          <w:tcPr>
            <w:tcW w:w="72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2006-07   The assessment order alleges that EXL Inc. has a permanent establishment in India.</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1420" w:type="dxa"/>
            <w:vAlign w:val="bottom"/>
            <w:gridSpan w:val="2"/>
          </w:tcPr>
          <w:p>
            <w:pPr>
              <w:spacing w:after="0"/>
              <w:rPr>
                <w:sz w:val="20"/>
                <w:szCs w:val="20"/>
                <w:color w:val="auto"/>
              </w:rPr>
            </w:pPr>
            <w:r>
              <w:rPr>
                <w:rFonts w:ascii="Arial" w:cs="Arial" w:eastAsia="Arial" w:hAnsi="Arial"/>
                <w:sz w:val="18"/>
                <w:szCs w:val="18"/>
                <w:color w:val="auto"/>
              </w:rPr>
              <w:t>BPO India</w:t>
            </w:r>
          </w:p>
        </w:tc>
        <w:tc>
          <w:tcPr>
            <w:tcW w:w="7200" w:type="dxa"/>
            <w:vAlign w:val="bottom"/>
            <w:gridSpan w:val="3"/>
          </w:tcPr>
          <w:p>
            <w:pPr>
              <w:spacing w:after="0"/>
              <w:rPr>
                <w:sz w:val="20"/>
                <w:szCs w:val="20"/>
                <w:color w:val="auto"/>
              </w:rPr>
            </w:pPr>
            <w:r>
              <w:rPr>
                <w:rFonts w:ascii="Arial" w:cs="Arial" w:eastAsia="Arial" w:hAnsi="Arial"/>
                <w:sz w:val="18"/>
                <w:szCs w:val="18"/>
                <w:color w:val="auto"/>
                <w:w w:val="91"/>
              </w:rPr>
              <w:t>2004-05   The assessment order alleges the transfer price we applied to transactions between OPI</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20" w:type="dxa"/>
            <w:vAlign w:val="bottom"/>
            <w:gridSpan w:val="2"/>
          </w:tcPr>
          <w:p>
            <w:pPr>
              <w:ind w:left="220"/>
              <w:spacing w:after="0"/>
              <w:rPr>
                <w:sz w:val="20"/>
                <w:szCs w:val="20"/>
                <w:color w:val="auto"/>
              </w:rPr>
            </w:pPr>
            <w:r>
              <w:rPr>
                <w:rFonts w:ascii="Arial" w:cs="Arial" w:eastAsia="Arial" w:hAnsi="Arial"/>
                <w:sz w:val="18"/>
                <w:szCs w:val="18"/>
                <w:color w:val="auto"/>
                <w:w w:val="93"/>
              </w:rPr>
              <w:t>India and OPI Inc., for the 2004-05 tax year was not appropriate and proposes certain</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20" w:type="dxa"/>
            <w:vAlign w:val="bottom"/>
            <w:gridSpan w:val="2"/>
          </w:tcPr>
          <w:p>
            <w:pPr>
              <w:ind w:left="220"/>
              <w:spacing w:after="0"/>
              <w:rPr>
                <w:sz w:val="20"/>
                <w:szCs w:val="20"/>
                <w:color w:val="auto"/>
              </w:rPr>
            </w:pPr>
            <w:r>
              <w:rPr>
                <w:rFonts w:ascii="Arial" w:cs="Arial" w:eastAsia="Arial" w:hAnsi="Arial"/>
                <w:sz w:val="18"/>
                <w:szCs w:val="18"/>
                <w:color w:val="auto"/>
              </w:rPr>
              <w:t>adjustments to the methodology for computing the amount of the tax exemption.</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135</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9"/>
                <w:szCs w:val="19"/>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1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BPO India</w:t>
            </w:r>
          </w:p>
        </w:tc>
        <w:tc>
          <w:tcPr>
            <w:tcW w:w="72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89"/>
              </w:rPr>
              <w:t>2008-09   The assessment order proposes certain adjustments to the methodology for computing the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amount of the tax exemption.</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1420" w:type="dxa"/>
            <w:vAlign w:val="bottom"/>
            <w:gridSpan w:val="2"/>
          </w:tcPr>
          <w:p>
            <w:pPr>
              <w:spacing w:after="0"/>
              <w:rPr>
                <w:sz w:val="20"/>
                <w:szCs w:val="20"/>
                <w:color w:val="auto"/>
              </w:rPr>
            </w:pPr>
            <w:r>
              <w:rPr>
                <w:rFonts w:ascii="Arial" w:cs="Arial" w:eastAsia="Arial" w:hAnsi="Arial"/>
                <w:sz w:val="18"/>
                <w:szCs w:val="18"/>
                <w:color w:val="auto"/>
              </w:rPr>
              <w:t>OPI India</w:t>
            </w:r>
          </w:p>
        </w:tc>
        <w:tc>
          <w:tcPr>
            <w:tcW w:w="7200" w:type="dxa"/>
            <w:vAlign w:val="bottom"/>
            <w:gridSpan w:val="3"/>
          </w:tcPr>
          <w:p>
            <w:pPr>
              <w:spacing w:after="0"/>
              <w:rPr>
                <w:sz w:val="20"/>
                <w:szCs w:val="20"/>
                <w:color w:val="auto"/>
              </w:rPr>
            </w:pPr>
            <w:r>
              <w:rPr>
                <w:rFonts w:ascii="Arial" w:cs="Arial" w:eastAsia="Arial" w:hAnsi="Arial"/>
                <w:sz w:val="18"/>
                <w:szCs w:val="18"/>
                <w:color w:val="auto"/>
                <w:w w:val="89"/>
              </w:rPr>
              <w:t>2008-09   The assessment order proposes certain adjustments to the methodology for computing the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20" w:type="dxa"/>
            <w:vAlign w:val="bottom"/>
            <w:gridSpan w:val="2"/>
          </w:tcPr>
          <w:p>
            <w:pPr>
              <w:ind w:left="220"/>
              <w:spacing w:after="0"/>
              <w:rPr>
                <w:sz w:val="20"/>
                <w:szCs w:val="20"/>
                <w:color w:val="auto"/>
              </w:rPr>
            </w:pPr>
            <w:r>
              <w:rPr>
                <w:rFonts w:ascii="Arial" w:cs="Arial" w:eastAsia="Arial" w:hAnsi="Arial"/>
                <w:sz w:val="18"/>
                <w:szCs w:val="18"/>
                <w:color w:val="auto"/>
              </w:rPr>
              <w:t>amount of the tax exemption.</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19,376</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12,805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20" w:type="dxa"/>
            <w:vAlign w:val="bottom"/>
            <w:gridSpan w:val="2"/>
            <w:vMerge w:val="restart"/>
          </w:tcPr>
          <w:p>
            <w:pPr>
              <w:jc w:val="right"/>
              <w:ind w:right="2742"/>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2" w:name="page23"/>
    <w:bookmarkEnd w:id="22"/>
    <w:p>
      <w:pPr>
        <w:ind w:left="4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EXLSERVICE HOLDINGS, INC.</w:t>
      </w:r>
    </w:p>
    <w:p>
      <w:pPr>
        <w:spacing w:after="0" w:line="171"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Based on advice from its Indian tax advisors, the facts underlying its position and its experience with these types of assessments, the Company believes that the probability of loss is remote and accordingly has not accrued any amount with respect to these matters in its unaudited consolidated financial statements. The Company does not expect any impact from these assessments on its future income tax expense. There is a likelihood that the Company might receive similar orders for subsequent years until the above disputes are resolved.</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Amounts paid as deposits in respect of the assessments described above aggregating to $12,805 and $11,662 as of September 30, 2012 and December 31, 2011, respectively, are included in “Other assets” and amounts deposited for bank guarantees aggregating to $2,506 as of September 30, 2012 and $2,494 as of December 31, 2011, respectively, are included in “Restricted cash non-current” in the Company’s unaudited consolidated balance sheet as of September 30, 2012 and the audited consolidated balance sheet as of December 31, 2011.</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On October 12, 2012, the Company acquired Landacorp, Inc. (“Landacorp”), a leading provider of healthcare solutions and technology. Landacorp has more than 50 million members under management on its platforms and has developed services and technology solutions that share vital clinical data with payers, providers, plan participants and accountable care organizations (ACOs). The aggregate consideration paid for all the outstanding capital stock of Landacorp was $37,500 in cash, subject to final working capital adjustments.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23" w:name="page24"/>
    <w:bookmarkEnd w:id="23"/>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You should read the following discussion in connection with our unaudited consolidated financial statements and the related notes included elsewhere in this Quarterly Report on Form 10-Q and our audited consolidated financial statements and the related notes included in our Annual Report on Form 10-K for the fiscal year ended December 31, 2011. Some of the statements in the following discussion are forward looking statements. See “Forward Looking Statements.” Dollar amounts within Item 2 are presented as actual dollar amounts.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90"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This Quarterly Report on Form 10-Q contains forward looking statements. You should not place undue reliance on these statements because they are subject to numerous uncertainties and factors relating to our operations and business environment, all of which are difficult to predict and many of which are beyond our control. Forward looking statements include information concerning our possible or assumed future results of operations, including descriptions of our business strategy.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Quarterly Report on Form 10-Q, you should understand that these statements are not guarantees of performance or results. They involve known and unknown risks, uncertainties and assumptions. Although we believe that these forward looking statements are based on reasonable assumptions, you should be aware that many factors could affect our actual financial results or results of operations and could cause actual results to differ materially from those in the forward looking statements. These factors include but are not limited to:</w:t>
      </w:r>
    </w:p>
    <w:p>
      <w:pPr>
        <w:spacing w:after="0" w:line="42"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a limited number of clients in a limited number of industries;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worldwide political, economic or business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negative public reaction in the United States or elsewhere to offshore outsourcing;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fluctuations in exchange rates between the currencies in which we receive our revenues and the currencies in which we incur our costs;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our earnings;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attract and retain clients;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successfully consummate or integrate acquisitions;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restrictions on immigration;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hire and retain enough sufficiently trained employees to support our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grow our business or effectively manage growth and international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increasing competition in our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telecommunications or technology disruptions;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regulatory, legislative and judicial developments, including changes to or the withdrawal of governmental fiscal incentives;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technological innovation;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political or economic instability in the locations in which we operate;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unauthorized disclosure of sensitive or confidential client and customer data;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 outcome of our disputes with the Indian tax authorities.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These and other factors are more fully discussed elsewhere in this Quarterly Report on Form 10-Q. These and other risks could cause actual results to differ materially from those implied by forward looking statements in this Quarterly Report on Form 10-Q.</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4" w:right="259" w:bottom="1440" w:gutter="0" w:footer="0" w:header="0"/>
        </w:sectPr>
      </w:pPr>
    </w:p>
    <w:bookmarkStart w:id="24" w:name="page25"/>
    <w:bookmarkEnd w:id="24"/>
    <w:p>
      <w:pPr>
        <w:ind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You should keep in mind that any forward looking statement made by us in this Quarterly Report on Form 10-Q, or elsewhere, speaks only as of the date on which we make it. New risks and uncertainties come up from time to time, and it is impossible for us to predict those events or how they may affect us. We have no obligation to update any forward looking statements in this Quarterly Report on Form 10-Q after the date of this Quarterly Report on Form 10-Q, except as required by federal securities laws.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We are a leading provider of outsourcing and transformation services and focus on providing our clients with a positive business impact and enhancing their long term financial value. We customize our services to improve the economics of business performance and transform organizations to be leaner and more flexible. Our outsourcing services provide front-, middle- and back-office processing services for our primarily U.S.-based and U.K.-based clients. Outsourcing services involve the transfer to us of select business operations of a client, such as claims processing, finance and accounting and customer service, after which we administer and manage the operations for our client on an ongoing basis. We also offer a number of transformation services that include decision analytics, finance transformation and operations and process excellence services. These transformation services help our clients improve their operating environments through cost reduction, enhanced efficiency and productivity initiatives, and improve the risk and control environments within our clients’ operations whether or not they are outsourced to us. We serve primarily the needs of Global 1000 companies in the insurance, healthcare, utilities, banking and financial services, transportation and logistics and travel sectors.</w:t>
      </w:r>
    </w:p>
    <w:p>
      <w:pPr>
        <w:spacing w:after="0" w:line="12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On October 1, 2011, we acquired Trumbull Services, LLC (“Trumbull”), a market leader in subrogation services for property and casualty insurance companies, from the Hartford Financial Services Group, Inc. (the “Trumbull Acquisition”). With the Trumbull Acquisition, we have strengthened our leadership position in the insurance industry with a highly skilled and experienced employee base and access to an advanced software platform, and have become a leading provider of complex insurance subrogation outsourcing services.</w:t>
      </w:r>
    </w:p>
    <w:p>
      <w:pPr>
        <w:spacing w:after="0" w:line="143"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market our services to our existing and prospective clients through our sales and client management teams, which are aligned by industry verticals and cross-industry domains such as finance and accounting. Our sales and client management teams operate from the U.S. and Europe and are supported by our business development team, which operates from the U.S. and India. We operate fifteen operations centers in India, including an operations center in Pune, India which began operations in June 2012 and is eligible for certain tax incentives as a result of being located in a special economic zone. We also operate five operations centers in the U.S., two operations centers in the Philippines, two operations centers in Bulgaria and one operations center in each of Romania, Malaysia and the Czech Republic.</w:t>
      </w:r>
    </w:p>
    <w:p>
      <w:pPr>
        <w:spacing w:after="0" w:line="144"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We generate revenues principally from contracts to provide outsourcing and transformation services. For the three and nine months ended September 30, 2012, we had total revenues of $112.6 million and $325.3 million, respectively, compared to total revenues of $100.0 million and $258.0 million in the three and nine months ended September 30, 2011, respectively, an increase of $12.6 million and $67.3 million, respectively, or 12.6% and 26.1%, respectively.</w:t>
      </w:r>
    </w:p>
    <w:p>
      <w:pPr>
        <w:spacing w:after="0" w:line="10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Revenues from outsourcing services increased from $83.2 million and $208.8 million for the three and nine months ended September 30, 2011, respectively, to $92.0 million and $270.6 million for the three and nine months ended September 30, 2012, respectively. The increase in revenues from outsourcing services of $8.8 million for the three months ended September 30, 2012, was driven primarily by revenues of $2.1 million from the acquisition of Trumbull and net volume increases from existing and new clients aggregating to $11.5 million. The increase in revenues from outsourcing services of $61.8 million for the nine months ended September 30, 2012, was driven primarily by revenues of $45.9 million from the acquisitions of Business Process Outsourcing, Inc. (“OPI”) and Trumbull and net volume increases from existing and new clients aggregating to $27.8 million. These increases were offset partially by a net decrease in revenues of $4.8 million and $11.9 million, primarily due to the depreciation of each of the Indian rupee, U.K. pound sterling and Czech koruna against the U.S. dollar during the three and nine months ended September 30, 2012 compared to the three and nine months ended September 30, 2011.</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25" w:name="page26"/>
    <w:bookmarkEnd w:id="25"/>
    <w:p>
      <w:pPr>
        <w:ind w:right="4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Revenues from transformation services increased from $16.8 million and $49.2 million for the three and nine months ended September 30, 2011, respectively to $20.7 million and $54.6 million for the three and nine months ended September 30, 2012, respectively. The increase was primarily due to a combination of increased revenues in recurring or annuity decision analytics services and an increase in project-based engagements both in our decision analytics and operations and process excellence practices during the three and nine months ended September 30, 2012 compared to the three and nine months ended September 30, 2011. Revenues from new clients for transformation services were $0.2 million and $5.2 million during the three and nine months ended September 30, 2012, respectively, and $0.1 million and $0.4 million during the three and nine months ended September 30, 2011, respectively.</w:t>
      </w:r>
    </w:p>
    <w:p>
      <w:pPr>
        <w:spacing w:after="0" w:line="12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anticipate that our revenues will grow as we expand our service offerings and client base, both organically and through acquisitions. We provide our clients with a range of outsourcing services principally in the insurance, healthcare, utilities, banking and financial services, transportation and logistics and travel sectors, as well as cross-industry outsourcing services, such as finance and accounting services. Our clients transfer the management and execution of their processes or business functions to us. As part of this transfer, we hire and train employees to work at our operations centers on the relevant outsourcing services, implement a process migration to these operations centers and then provide services either to the client or directly to the client’s customers. Each client contract has different terms based on the scope, deliverables and complexity of the engagement. The outsourcing services we provide to any of our clients (particularly under our general framework agreements), and the revenues and income that we derive from those services, may decline or vary as the type and quantity of services we provide under those contracts change over time, including as a result of a shift in the mix of products and services we provide.</w:t>
      </w:r>
    </w:p>
    <w:p>
      <w:pPr>
        <w:spacing w:after="0" w:line="118"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For outsourcing services, we enter into long-term agreements with our clients with typical initial terms ranging from three to eight years. These contracts also usually contain provisions permitting termination of the contract after a short notice period. Although these agreements provide us with a relatively predictable revenue base for a substantial portion of our business, the long selling cycle for our outsourcing services and the budget and approval processes of prospective clients make it difficult to predict the timing of new client acquisitions. Revenues under new client contracts also vary depending on when we complete the selling cycle and the implementation phase. Since our client contracts can be terminated after a short notice period, and because we operate in a competitive commercial environment, during the ordinary course of our business one or more of our clients may terminate their respective contracts with us, thereby leading to fluctuations in our revenues.</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transformation services can be significantly affected by variations in business cycles. In addition, our transformation services consist primarily of specific projects with contract terms generally not exceeding one to three years and may not produce ongoing or recurring business for us once the project is completed. These contracts also usually contain provisions permitting termination of the contract after a short notice period. The short-term nature and specificity of these projects could lead to further material fluctuations and uncertainties in the revenues generated from these businesses. We have experienced a significant increase in demand for our annuity-based transformation services, which are engagements that are contracted for one- to three-year terms.</w:t>
      </w:r>
    </w:p>
    <w:p>
      <w:pPr>
        <w:spacing w:after="0" w:line="1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serve clients mainly in the U.S. and the U.K., with these two regions generating approximately 71.9% and 20.5%, respectively, of our total revenues for the three months ended September 30, 2012 and approximately 71.5% and 21.0%, respectively, of our total revenues for the three months ended September 30, 2011. For the nine months ended September 30, 2012, these two regions generated approximately 72.1% and 20.3%, respectively, of our total revenues and approximately 71.7% and 22.9%, respectively, of our total revenues for the nine months ended September 30, 2011.</w:t>
      </w:r>
    </w:p>
    <w:p>
      <w:pPr>
        <w:spacing w:after="0" w:line="113"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In the three months ended September 30, 2012 and 2011, our total revenues from our three largest clients were $29.1 million and $29.2 million, respectively, accounting for 25.8% and 29.2% of our total revenues, respectively, during these periods. In the nine months ended September 30, 2012 and 2011, our total revenues from our three largest clients were $85.3 million and $86.7 million, respectively, accounting for 26.2% and 33.6% of our total revenues, respectively, during these periods. Although we are increasing and diversifying our customer base, we expect in the near future that a significant portion of our revenues will continue to be contributed by a limited number of large clients.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80" w:right="259" w:bottom="1440" w:gutter="0" w:footer="0" w:header="0"/>
        </w:sectPr>
      </w:pPr>
    </w:p>
    <w:bookmarkStart w:id="26" w:name="page27"/>
    <w:bookmarkEnd w:id="26"/>
    <w:p>
      <w:pPr>
        <w:ind w:right="6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Pursuant to a services agreement, we provide services to The Travelers Companies (“Travelers”). These services to Travelers represented $11.2 million, or 9.9%, and $33.3 million, or 10.2%, respectively of our total revenues for the three and nine months ended September 30, 2012 and $10.7 million, or 10.7%, and $31.0 million, or 12.0%, respectively of our total revenues for the three and nine months ended September 30, 2011. Travelers may terminate the services agreement, or any work assignment or work order thereunder, each of which expires in December 2013, without cause upon 60 days’ prior notice.</w:t>
      </w:r>
    </w:p>
    <w:p>
      <w:pPr>
        <w:spacing w:after="0" w:line="11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derived revenues from five new clients for our services in each of the three months ended September 30, 2012 and 2011 and twenty five and thirteen new clients for our services in the nine months ended September 30, 2012 and 2011, respectively.</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Revenues also include amounts representing reimbursable expenses that are billed to and reimbursed by our clients and typically include telecommunication and travel-related costs. The amount of reimbursable expenses that we incur, and any resulting revenues, can vary significantly from period to period depending on each client’s situation and on the type of services provided. For the three months ended September 30, 2012 and 2011, 4.6% and 4.3%, respectively, of our revenues represent reimbursement of such expenses. For the nine months ended September 30, 2012 and 2011, 4.5% and 4.3%, respectively of our revenues represent reimbursement of such expenses.</w:t>
      </w:r>
    </w:p>
    <w:p>
      <w:pPr>
        <w:spacing w:after="0" w:line="143"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To the extent our client contracts do not contain provisions to the contrary, we bear the risk of inflation and fluctuations in currency exchange rates with respect to our contracts. We hedge a substantial portion of our Indian rupee/U.S. dollar, Philippine peso/U.S. dollar and U.K. pound sterling/U.S. dollar exposure.</w:t>
      </w:r>
    </w:p>
    <w:p>
      <w:pPr>
        <w:spacing w:after="0" w:line="6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have observed a shift in industry pricing models toward transaction-based pricing and other pricing models. We believe this trend will continue and we have begun to use transaction-based and other pricing models with some of our current clients and are seeking to move certain other clients from a billing rate model to a transaction-based or other pricing model. Such models place the focus on operating efficiency in order to maintain our operating margins. In addition, we have also observed that prospective larger clients are entering into multi-vendor relationships with regard to their outsourcing needs. We believe that the trend toward multi-vendor relationships will continue. A multi-vendor relationship allows a client to seek more favorable pricing and other contract terms from each vendor, which can result in significantly reduced operating margins from the provision of services to such client for each vendor. To the extent our large clients expand their use of multi-vendor relationships and are able to extract more favorable contract terms from other vendors, our operating margins and revenues may be reduced with regard to such clients if we are required to modify the terms of our relationships with such clients.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280" w:right="279" w:bottom="1440" w:gutter="0" w:footer="0" w:header="0"/>
        </w:sectPr>
      </w:pPr>
    </w:p>
    <w:bookmarkStart w:id="27" w:name="page28"/>
    <w:bookmarkEnd w:id="27"/>
    <w:p>
      <w:pPr>
        <w:ind w:left="232"/>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Critical Accounting Policies and Estimates</w:t>
      </w:r>
    </w:p>
    <w:p>
      <w:pPr>
        <w:spacing w:after="0" w:line="90" w:lineRule="exact"/>
        <w:rPr>
          <w:sz w:val="20"/>
          <w:szCs w:val="20"/>
          <w:color w:val="auto"/>
        </w:rPr>
      </w:pPr>
    </w:p>
    <w:p>
      <w:pPr>
        <w:ind w:left="452"/>
        <w:spacing w:after="0"/>
        <w:rPr>
          <w:sz w:val="20"/>
          <w:szCs w:val="20"/>
          <w:color w:val="auto"/>
        </w:rPr>
      </w:pPr>
      <w:r>
        <w:rPr>
          <w:rFonts w:ascii="Arial" w:cs="Arial" w:eastAsia="Arial" w:hAnsi="Arial"/>
          <w:sz w:val="16"/>
          <w:szCs w:val="16"/>
          <w:color w:val="auto"/>
        </w:rPr>
        <w:t>For a description of our critical accounting policies and estimates, refer to our Annual Report on Form 10-K for the year ended December 31, 2011.</w:t>
      </w:r>
    </w:p>
    <w:p>
      <w:pPr>
        <w:spacing w:after="0" w:line="275" w:lineRule="exact"/>
        <w:rPr>
          <w:sz w:val="20"/>
          <w:szCs w:val="20"/>
          <w:color w:val="auto"/>
        </w:rPr>
      </w:pPr>
    </w:p>
    <w:p>
      <w:pPr>
        <w:ind w:left="232"/>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90" w:lineRule="exact"/>
        <w:rPr>
          <w:sz w:val="20"/>
          <w:szCs w:val="20"/>
          <w:color w:val="auto"/>
        </w:rPr>
      </w:pPr>
    </w:p>
    <w:p>
      <w:pPr>
        <w:ind w:left="452"/>
        <w:spacing w:after="0"/>
        <w:rPr>
          <w:sz w:val="20"/>
          <w:szCs w:val="20"/>
          <w:color w:val="auto"/>
        </w:rPr>
      </w:pPr>
      <w:r>
        <w:rPr>
          <w:rFonts w:ascii="Arial" w:cs="Arial" w:eastAsia="Arial" w:hAnsi="Arial"/>
          <w:sz w:val="18"/>
          <w:szCs w:val="18"/>
          <w:color w:val="auto"/>
        </w:rPr>
        <w:t>The following table summarizes our results of operations:</w:t>
      </w:r>
    </w:p>
    <w:p>
      <w:pPr>
        <w:spacing w:after="0" w:line="207"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4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87"/>
              </w:rPr>
              <w:t>Three months ended September 30,</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00" w:type="dxa"/>
            <w:vAlign w:val="bottom"/>
            <w:gridSpan w:val="6"/>
          </w:tcPr>
          <w:p>
            <w:pPr>
              <w:ind w:left="60"/>
              <w:spacing w:after="0"/>
              <w:rPr>
                <w:sz w:val="20"/>
                <w:szCs w:val="20"/>
                <w:color w:val="auto"/>
              </w:rPr>
            </w:pPr>
            <w:r>
              <w:rPr>
                <w:rFonts w:ascii="Arial" w:cs="Arial" w:eastAsia="Arial" w:hAnsi="Arial"/>
                <w:sz w:val="14"/>
                <w:szCs w:val="14"/>
                <w:b w:val="1"/>
                <w:bCs w:val="1"/>
                <w:color w:val="auto"/>
                <w:w w:val="96"/>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2012</w:t>
            </w:r>
          </w:p>
        </w:tc>
        <w:tc>
          <w:tcPr>
            <w:tcW w:w="34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4"/>
          </w:tcPr>
          <w:p>
            <w:pPr>
              <w:jc w:val="right"/>
              <w:ind w:right="140"/>
              <w:spacing w:after="0" w:line="142" w:lineRule="exact"/>
              <w:rPr>
                <w:sz w:val="20"/>
                <w:szCs w:val="20"/>
                <w:color w:val="auto"/>
              </w:rPr>
            </w:pPr>
            <w:r>
              <w:rPr>
                <w:rFonts w:ascii="Arial" w:cs="Arial" w:eastAsia="Arial" w:hAnsi="Arial"/>
                <w:sz w:val="14"/>
                <w:szCs w:val="14"/>
                <w:b w:val="1"/>
                <w:bCs w:val="1"/>
                <w:color w:val="auto"/>
              </w:rPr>
              <w:t>(in millions)</w:t>
            </w: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4"/>
          </w:tcPr>
          <w:p>
            <w:pPr>
              <w:jc w:val="right"/>
              <w:ind w:right="140"/>
              <w:spacing w:after="0" w:line="142" w:lineRule="exact"/>
              <w:rPr>
                <w:sz w:val="20"/>
                <w:szCs w:val="20"/>
                <w:color w:val="auto"/>
              </w:rPr>
            </w:pPr>
            <w:r>
              <w:rPr>
                <w:rFonts w:ascii="Arial" w:cs="Arial" w:eastAsia="Arial" w:hAnsi="Arial"/>
                <w:sz w:val="14"/>
                <w:szCs w:val="14"/>
                <w:b w:val="1"/>
                <w:bCs w:val="1"/>
                <w:color w:val="auto"/>
              </w:rPr>
              <w:t>(in millions)</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r>
              <w:rPr>
                <w:rFonts w:ascii="Arial" w:cs="Arial" w:eastAsia="Arial" w:hAnsi="Arial"/>
                <w:sz w:val="11"/>
                <w:szCs w:val="11"/>
                <w:color w:val="auto"/>
              </w:rPr>
              <w:t>(1)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3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325.3</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94"/>
              </w:rPr>
              <w:t>Cost of revenues (exclusive of depreciation and amortization)</w:t>
            </w:r>
            <w:r>
              <w:rPr>
                <w:rFonts w:ascii="Arial" w:cs="Arial" w:eastAsia="Arial" w:hAnsi="Arial"/>
                <w:sz w:val="11"/>
                <w:szCs w:val="11"/>
                <w:color w:val="auto"/>
                <w:w w:val="94"/>
              </w:rPr>
              <w:t>(2)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68.6</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61.7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201.4</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r>
              <w:rPr>
                <w:rFonts w:ascii="Arial" w:cs="Arial" w:eastAsia="Arial" w:hAnsi="Arial"/>
                <w:sz w:val="11"/>
                <w:szCs w:val="11"/>
                <w:color w:val="auto"/>
              </w:rPr>
              <w:t>(3)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Selling and marketing expenses</w:t>
            </w:r>
            <w:r>
              <w:rPr>
                <w:rFonts w:ascii="Arial" w:cs="Arial" w:eastAsia="Arial" w:hAnsi="Arial"/>
                <w:sz w:val="11"/>
                <w:szCs w:val="11"/>
                <w:color w:val="auto"/>
              </w:rPr>
              <w:t>(3)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6.9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22.5</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 expenses</w:t>
            </w:r>
            <w:r>
              <w:rPr>
                <w:rFonts w:ascii="Arial" w:cs="Arial" w:eastAsia="Arial" w:hAnsi="Arial"/>
                <w:sz w:val="11"/>
                <w:szCs w:val="11"/>
                <w:color w:val="auto"/>
              </w:rPr>
              <w:t>(4)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0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27.1</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26.6</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82.2</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Other income/(expense):</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(loss)/gain</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Interest and other income</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0.5</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Income tax provision</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11.0</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3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52" w:hanging="452"/>
        <w:spacing w:after="0" w:line="254" w:lineRule="auto"/>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Revenues include reimbursable expenses of $5.2 million and $4.3 million for the three months ended September 30, 2012 and 2011, respectively, and $14.6 million and $11.0 million for the nine months ended September 30, 2012 and 2011, respectively.</w:t>
      </w:r>
    </w:p>
    <w:p>
      <w:pPr>
        <w:ind w:left="452" w:right="260" w:hanging="452"/>
        <w:spacing w:after="0" w:line="250" w:lineRule="auto"/>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 of revenues includes $0.3 million each during the three months ended September 30, 2012 and 2011, and $1.6 million and $1.3 million for the nine months ended September 30, 2012 and 2011, respectively, of non-cash amortization of stock compensation expense relating to the issuance of equity awards to employees directly involved in providing services to our clients as described in Note 13 to our unaudited consolidated financial statements contained herein.</w:t>
      </w:r>
    </w:p>
    <w:p>
      <w:pPr>
        <w:spacing w:after="0" w:line="1" w:lineRule="exact"/>
        <w:rPr>
          <w:rFonts w:ascii="Arial" w:cs="Arial" w:eastAsia="Arial" w:hAnsi="Arial"/>
          <w:sz w:val="18"/>
          <w:szCs w:val="18"/>
          <w:color w:val="auto"/>
        </w:rPr>
      </w:pPr>
    </w:p>
    <w:p>
      <w:pPr>
        <w:ind w:left="452" w:right="160" w:hanging="452"/>
        <w:spacing w:after="0" w:line="250" w:lineRule="auto"/>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and administrative expenses and selling and marketing expenses include $1.5 million and $1.8 million for the three months ended September 30, 2012 and 2011, respectively, and $5.8 million and $6.0 million during the nine months ended September 30, 2012 and 2011, respectively, of non-cash amortization of stock compensation expense relating to the issuance of equity awards to our non-operations staff as described in Note 13 to our unaudited consolidated financial statements contained herein.</w:t>
      </w:r>
    </w:p>
    <w:p>
      <w:pPr>
        <w:spacing w:after="0" w:line="1" w:lineRule="exact"/>
        <w:rPr>
          <w:rFonts w:ascii="Arial" w:cs="Arial" w:eastAsia="Arial" w:hAnsi="Arial"/>
          <w:sz w:val="18"/>
          <w:szCs w:val="18"/>
          <w:color w:val="auto"/>
        </w:rPr>
      </w:pPr>
    </w:p>
    <w:p>
      <w:pPr>
        <w:ind w:left="452" w:hanging="452"/>
        <w:spacing w:after="0"/>
        <w:tabs>
          <w:tab w:leader="none" w:pos="452" w:val="left"/>
        </w:tabs>
        <w:numPr>
          <w:ilvl w:val="0"/>
          <w:numId w:val="8"/>
        </w:numPr>
        <w:rPr>
          <w:rFonts w:ascii="Arial" w:cs="Arial" w:eastAsia="Arial" w:hAnsi="Arial"/>
          <w:sz w:val="16"/>
          <w:szCs w:val="16"/>
          <w:color w:val="auto"/>
        </w:rPr>
      </w:pPr>
      <w:r>
        <w:rPr>
          <w:rFonts w:ascii="Arial" w:cs="Arial" w:eastAsia="Arial" w:hAnsi="Arial"/>
          <w:sz w:val="16"/>
          <w:szCs w:val="16"/>
          <w:color w:val="auto"/>
        </w:rPr>
        <w:t>Depreciation and amortization includes $1.3 million and $1.4 million for the three months ended September 30, 2012 and 2011, respectively, and</w:t>
      </w:r>
    </w:p>
    <w:p>
      <w:pPr>
        <w:spacing w:after="0" w:line="32" w:lineRule="exact"/>
        <w:rPr>
          <w:rFonts w:ascii="Arial" w:cs="Arial" w:eastAsia="Arial" w:hAnsi="Arial"/>
          <w:sz w:val="16"/>
          <w:szCs w:val="16"/>
          <w:color w:val="auto"/>
        </w:rPr>
      </w:pPr>
    </w:p>
    <w:p>
      <w:pPr>
        <w:ind w:left="452"/>
        <w:spacing w:after="0" w:line="261" w:lineRule="auto"/>
        <w:rPr>
          <w:rFonts w:ascii="Arial" w:cs="Arial" w:eastAsia="Arial" w:hAnsi="Arial"/>
          <w:sz w:val="16"/>
          <w:szCs w:val="16"/>
          <w:color w:val="auto"/>
        </w:rPr>
      </w:pPr>
      <w:r>
        <w:rPr>
          <w:rFonts w:ascii="Arial" w:cs="Arial" w:eastAsia="Arial" w:hAnsi="Arial"/>
          <w:sz w:val="18"/>
          <w:szCs w:val="18"/>
          <w:color w:val="auto"/>
        </w:rPr>
        <w:t>$4.1 million and $2.9 million for the nine months ended September 30, 2012 and 2011, respectively, of amortization of intangibles as described in Note 5 to our unaudited consolidated financial statements contained herein.</w:t>
      </w:r>
    </w:p>
    <w:p>
      <w:pPr>
        <w:spacing w:after="0" w:line="12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92"/>
          </w:cols>
          <w:pgMar w:left="248" w:top="280" w:right="259" w:bottom="1440" w:gutter="0" w:footer="0" w:header="0"/>
        </w:sectPr>
      </w:pPr>
    </w:p>
    <w:bookmarkStart w:id="28" w:name="page29"/>
    <w:bookmarkEnd w:id="28"/>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Three Months Ended September 30, 2012 Compared to Three Months Ended September 30, 2011</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Revenues. </w:t>
      </w:r>
      <w:r>
        <w:rPr>
          <w:rFonts w:ascii="Arial" w:cs="Arial" w:eastAsia="Arial" w:hAnsi="Arial"/>
          <w:sz w:val="16"/>
          <w:szCs w:val="16"/>
          <w:color w:val="auto"/>
        </w:rPr>
        <w:t>Revenues increased 12.6% from $100.0 million for the three months ended September 30, 2011 to $112.6 million for the three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30, 2012. Revenues from outsourcing services increased from $83.2 million during the three months ended September 30, 2011 to $92.0 million during the three months ended September 30, 2012. The increase in revenues from outsourcing services of $8.8 million was primarily driven by revenues of $2.1 million from the acquisition of Trumbull and net volume increases from existing and new clients aggregating to $11.5 million. These increases were partially offset by a net decrease in revenues of $4.8 million, primarily due to the depreciation of each of the Indian rupee, U.K. pound sterling and Czech koruna against the U.S. dollar during the three months ended September 30, 2012 compared to the three months ended September 30, 2011.</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Revenues from transformation services increased from $16.8 million for the three months ended September 30, 2011 to $20.7 million for the three months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ended September 30, 2012. The increase was primarily due to a combination of increased revenues in recurring or annuity decision analytics services and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 in project-based engagements both in our decision analytics and operations and process excellence practices during the three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September 30, 2012 compared to the three months ended September 30, 2011. Revenues from new clients for transformation services were $0.2 million and $0.1</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million during the three months ended September 30, 2012 and 2011, respectively.</w:t>
      </w:r>
    </w:p>
    <w:p>
      <w:pPr>
        <w:spacing w:after="0" w:line="165"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b w:val="1"/>
          <w:bCs w:val="1"/>
          <w:i w:val="1"/>
          <w:iCs w:val="1"/>
          <w:color w:val="auto"/>
        </w:rPr>
        <w:t xml:space="preserve">Cost of Revenues. </w:t>
      </w:r>
      <w:r>
        <w:rPr>
          <w:rFonts w:ascii="Arial" w:cs="Arial" w:eastAsia="Arial" w:hAnsi="Arial"/>
          <w:sz w:val="16"/>
          <w:szCs w:val="16"/>
          <w:color w:val="auto"/>
        </w:rPr>
        <w:t>Cost of revenues increased 11.2% from $61.7 million for the three months ended September 30, 2011 to $68.6 million for the three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September 30, 2012. The increase in cost of revenues was primarily due to an increase in employee-related costs of $9.6 million as a result of an increase in the number of our personnel directly involved in providing services to our clients, including $0.9 million of employee-related costs related to the acquisition of Trumbull. We also experienced an increase in reimbursable expenses of $0.8 million (resulting in an increase in revenues) and an increase in facilities, technology and other operating expenses of $4.2 million (primarily due to our acquisition of Trumbull and the opening of our new operations centers to support business growth). These increases were partially offset by a decrease of $7.8 million due to the net effect of depreciation of the Indian rupee, Bulgarian leva and Czech koruna and appreciation of the Philippine peso against the U.S. dollar during the three months ended September 30, 2012 compared to the three months ended September 30, 2011. Cost of revenues as a percentage of revenues decreased marginally from 61.7% for the three months ended September 30, 2011 to 60.9% for the three months ended September 30, 2012.</w:t>
      </w:r>
    </w:p>
    <w:p>
      <w:pPr>
        <w:spacing w:after="0" w:line="12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increased 14.9% from $38.3 million for the three months ended September 30, 2011 to $44.0 million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2012. The increase in gross profit was primarily due to an increase in revenues of $12.6 million, offset by an increase in cost of revenues of $6.9 million. Gross profit as a percentage of revenues increased marginally from 38.3% for the three months ended September 30, 2011 to 39.1% for the three months ended September 30, 2012, primarily due to the depreciation of the Indian rupee against the U.S. dollar, partially offset by the impact of the Trumbull acquisition in 2011.</w:t>
      </w:r>
    </w:p>
    <w:p>
      <w:pPr>
        <w:spacing w:after="0" w:line="143" w:lineRule="exact"/>
        <w:rPr>
          <w:sz w:val="20"/>
          <w:szCs w:val="20"/>
          <w:color w:val="auto"/>
        </w:rPr>
      </w:pPr>
    </w:p>
    <w:p>
      <w:pPr>
        <w:ind w:right="140" w:firstLine="456"/>
        <w:spacing w:after="0" w:line="312" w:lineRule="auto"/>
        <w:rPr>
          <w:sz w:val="20"/>
          <w:szCs w:val="20"/>
          <w:color w:val="auto"/>
        </w:rPr>
      </w:pPr>
      <w:r>
        <w:rPr>
          <w:rFonts w:ascii="Arial" w:cs="Arial" w:eastAsia="Arial" w:hAnsi="Arial"/>
          <w:sz w:val="15"/>
          <w:szCs w:val="15"/>
          <w:b w:val="1"/>
          <w:bCs w:val="1"/>
          <w:i w:val="1"/>
          <w:iCs w:val="1"/>
          <w:color w:val="auto"/>
        </w:rPr>
        <w:t xml:space="preserve">Selling, General and Administrative Expenses. </w:t>
      </w:r>
      <w:r>
        <w:rPr>
          <w:rFonts w:ascii="Arial" w:cs="Arial" w:eastAsia="Arial" w:hAnsi="Arial"/>
          <w:sz w:val="15"/>
          <w:szCs w:val="15"/>
          <w:color w:val="auto"/>
        </w:rPr>
        <w:t>Selling, general and administrative (“SG&amp;A”) expenses increased 3.1% from $20.2 million for the three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months ended September 30, 2011 to $20.8 million for the three months ended September 30, 2012. The increase in SG&amp;A expenses was primarily due to an increase in employee-related costs of $1.2 million, including $0.4 million of employee-related costs related to the acquisition of Trumbull, and an increase in other SG&amp;A costs of $0.8 million during the three months ended September 30, 2012 compared to the three months ended September 30, 2011. These increases were partially offset by a decrease of $1.3 million due to the net effect of depreciation of the Indian rupee and Czech koruna and appreciation of the Philippine peso against the U.S. dollar during the three months ended September 30, 2012 compared to the three months ended September 30, 2011. As a percentage of revenues, SG&amp;A expenses decreased from 20.2% for the three months ended September 30, 2011 to 18.5% for the three months ended September 30, 2012.</w:t>
      </w:r>
    </w:p>
    <w:p>
      <w:pPr>
        <w:spacing w:after="0" w:line="10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i w:val="1"/>
          <w:iCs w:val="1"/>
          <w:color w:val="auto"/>
        </w:rPr>
        <w:t xml:space="preserve">Depreciation and Amortization. </w:t>
      </w:r>
      <w:r>
        <w:rPr>
          <w:rFonts w:ascii="Arial" w:cs="Arial" w:eastAsia="Arial" w:hAnsi="Arial"/>
          <w:sz w:val="16"/>
          <w:szCs w:val="16"/>
          <w:color w:val="auto"/>
        </w:rPr>
        <w:t>Depreciation and amortization decreased 1.7% from $6.4 million for the three months ended September 30, 2011 to $6.3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three months ended September 30, 2012. For the three months ended September 30, 2012 depreciation increased by $0.7 million as compared to three months ended September 30, 2011, primarily due to the opening of our new operations centers and the acquisition of Trumbull, partially offset by a decrease in amortization of acquisition-related intangibles of $0.1 million. As we add more operations centers, we expect that our depreciation expense will increase to reflect the additional investment in equipment and other capital expenditures related to opening and maintaining operations centers necessary to meet our service requirements. This increase was offset by a decrease of $0.7 million due to the net effect of depreciation of the Indian rupee, and Czech koruna and appreciation of the Philippine peso against the U.S. dollar during the three months ended September 30, 2012 compared to the three months ended September 30, 2011. As a percentage of revenues, depreciation and amortization decreased from 6.4% for the three months ended September 30, 2011 to 5.6% for the three months ended September 30, 2012.</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80" w:right="259" w:bottom="1440" w:gutter="0" w:footer="0" w:header="0"/>
        </w:sectPr>
      </w:pPr>
    </w:p>
    <w:bookmarkStart w:id="29" w:name="page30"/>
    <w:bookmarkEnd w:id="29"/>
    <w:p>
      <w:pPr>
        <w:ind w:left="460"/>
        <w:spacing w:after="0"/>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Income from Operations. </w:t>
      </w:r>
      <w:r>
        <w:rPr>
          <w:rFonts w:ascii="Arial" w:cs="Arial" w:eastAsia="Arial" w:hAnsi="Arial"/>
          <w:sz w:val="15"/>
          <w:szCs w:val="15"/>
          <w:color w:val="auto"/>
        </w:rPr>
        <w:t>Income from operations increased 44.7% from $11.7 million for the three months ended September 30, 2011 to $16.9 million for</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the three months ended September 30, 2012. As a percentage of revenues, income from operations increased from 11.7% for the three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September 30, 2011 to 15.0% for the three months ended September 30, 2012. The increase in income from operations as a percentage of revenues was primarily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due to operating leverage resulting in lower SG&amp;A expenses as a percentage of revenues during the three months ended September 30, 2012.</w:t>
      </w:r>
    </w:p>
    <w:p>
      <w:pPr>
        <w:spacing w:after="0" w:line="16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b w:val="1"/>
          <w:bCs w:val="1"/>
          <w:i w:val="1"/>
          <w:iCs w:val="1"/>
          <w:color w:val="auto"/>
        </w:rPr>
        <w:t xml:space="preserve">Other Income/(Expense). </w:t>
      </w:r>
      <w:r>
        <w:rPr>
          <w:rFonts w:ascii="Arial" w:cs="Arial" w:eastAsia="Arial" w:hAnsi="Arial"/>
          <w:sz w:val="16"/>
          <w:szCs w:val="16"/>
          <w:color w:val="auto"/>
        </w:rPr>
        <w:t>Other income is comprised of foreign exchange gains and losses, interest income and expense and other items. Other income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decreased from $0.9 million for the three months ended September 30, 2011 to ($0.8 million) for the three months ended September 30, 2012. This decrease was primarily a result of a net foreign exchange loss of $1.3 million during the three months ended September 30, 2012 compared to a net foreign exchange gain of $0.5 million during the three months ended September 30, 2011, primarily attributable to the movement of the U.S. dollar against the Indian rupee. Net interest income and other income increased by $0.1 million during the three months ended September 30, 2012 compared to the three months ended September 30, 2011, primarily due to lower interest expense on capital leases. The average exchange rate of the Indian rupee against the U.S. dollar was 54.67 during the three months ended September 30, 2012 compared to 46.42 during the three months ended September 30, 2011.</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b w:val="1"/>
          <w:bCs w:val="1"/>
          <w:i w:val="1"/>
          <w:iCs w:val="1"/>
          <w:color w:val="auto"/>
        </w:rPr>
        <w:t xml:space="preserve">Provision for Income Taxes. </w:t>
      </w:r>
      <w:r>
        <w:rPr>
          <w:rFonts w:ascii="Arial" w:cs="Arial" w:eastAsia="Arial" w:hAnsi="Arial"/>
          <w:sz w:val="16"/>
          <w:szCs w:val="16"/>
          <w:color w:val="auto"/>
        </w:rPr>
        <w:t>Provision for income taxes increased from $4.1 million for the three months ended September 30, 2011 to $4.3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three months ended September 30, 2012. The effective rate of taxes decreased from 33.0% during the three months ended September 30, 2011 to 27.0% during the three months ended September 30, 2012. Refer to Note 12 to the unaudited consolidated financial statements for further details.</w:t>
      </w:r>
    </w:p>
    <w:p>
      <w:pPr>
        <w:spacing w:after="0" w:line="107"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Net income increased 39.5% from $8.4 million for the three months ended September 30, 2011 to $11.7 million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2012, primarily due to an increase in operating income of $5.2 million, offset by a decrease in other income of $1.7 million and an increase in provision for income taxes of $0.2 million. As a percentage of revenues, net income increased from 8.4% for the three months ended September 30, 2011 to 10.4% for the three months ended September 30, 2012.</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Nine Months Ended September 30, 2012 Compared to Nine Months Ended September 30, 2011</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Revenues. </w:t>
      </w:r>
      <w:r>
        <w:rPr>
          <w:rFonts w:ascii="Arial" w:cs="Arial" w:eastAsia="Arial" w:hAnsi="Arial"/>
          <w:sz w:val="16"/>
          <w:szCs w:val="16"/>
          <w:color w:val="auto"/>
        </w:rPr>
        <w:t>Revenues increased 26.1% from $258.0 million for the nine months ended September 30, 2011 to $325.3 million for the nine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30, 2012. Revenues from outsourcing services increased from $208.8 million during the nine months ended September 30, 2011 to $270.6 million during the nine months ended September 30, 2012. The increase in revenues from outsourcing services of $61.8 million was primarily driven by an increase in revenues of $45.9 million from the acquisitions of OPI and Trumbull and net volume increases from existing and new clients aggregating to $27.8 million. These increases were partially offset by a net decrease in revenues of $11.9 million, primarily due to the depreciation of each of the Indian rupee, U.K. pound sterling and Czech koruna against the U.S. dollar during the nine months ended September 30, 2012 compared to the nine months ended September 30, 2011.</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Revenues from transformation services increased from $49.2 million for the nine months ended September 30, 2011 to $54.6 million for the nine months ended September 30, 2012. The increase was primarily due to a combination of increased revenues in recurring or annuity decision analytics services and an increase in project-based engagements both in our decision analytics and operations and process excellence practices during the nine months ended September 30, 2012 compared to the nine months ended September 30, 2011. Revenues from new clients for transformation services were $5.2 million and $0.4 million during the nine months ended September 30, 2012 and 2011, respectively.</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i w:val="1"/>
          <w:iCs w:val="1"/>
          <w:color w:val="auto"/>
        </w:rPr>
        <w:t xml:space="preserve">Cost of Revenues. </w:t>
      </w:r>
      <w:r>
        <w:rPr>
          <w:rFonts w:ascii="Arial" w:cs="Arial" w:eastAsia="Arial" w:hAnsi="Arial"/>
          <w:sz w:val="16"/>
          <w:szCs w:val="16"/>
          <w:color w:val="auto"/>
        </w:rPr>
        <w:t>Cost of revenues increased 27.5% from $158.0 million for the nine months ended September 30, 2011 to $201.4 million for the nine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September 30, 2012. The increase in cost of revenues was primarily due to an increase in employee-related costs of $47.2 million as a result of an increase in the number of our personnel directly involved in providing services to our clients, including $24.5 million of employee-related costs related to the acquisitions of OPI and Trumbull. We also experienced an increase in reimbursable expenses of $3.6 million (resulting in an increase in revenues) and an increase in facilities, technology and other operating expenses of $11.5 million (primarily due to our acquisitions of OPI and Trumbull and the opening of new operations centers to support business growth). These increases were partially offset by a decrease of $18.9 million due to the net effect of depreciation of the Indian rupee, Bulgarian leva and Czech koruna and appreciation of the Philippine peso against the U.S. dollar during the nine months ended September 30, 2012 compared to the nine months ended September 30, 2011. Cost of revenues as a percentage of revenues increased from 61.2% for the nine months ended September 30, 2011 to 61.9% for the nine months ended September 30, 2012.</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80" w:right="259" w:bottom="1440" w:gutter="0" w:footer="0" w:header="0"/>
        </w:sectPr>
      </w:pPr>
    </w:p>
    <w:bookmarkStart w:id="30" w:name="page31"/>
    <w:bookmarkEnd w:id="30"/>
    <w:p>
      <w:pPr>
        <w:ind w:right="20" w:firstLine="456"/>
        <w:spacing w:after="0" w:line="291"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Gross Profit. </w:t>
      </w:r>
      <w:r>
        <w:rPr>
          <w:rFonts w:ascii="Arial" w:cs="Arial" w:eastAsia="Arial" w:hAnsi="Arial"/>
          <w:sz w:val="16"/>
          <w:szCs w:val="16"/>
          <w:color w:val="auto"/>
        </w:rPr>
        <w:t>Gross profit increased 23.9% from $100.0 million for the nine months ended September 30, 2011 to $123.9 million for the nine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30, 2012. The increase in gross profit was primarily due to an increase in revenues of $67.3 million, offset by an increase in cost of revenues of $43.4 million. Gross profit as a percentage of revenues decreased from 38.8% for the nine months ended September 30, 2011 to 38.1% for the nine months ended September 30, 2012, primarily due to the impact of our acquisitions of OPI and Trumbull in 2011 and a one-time client payment of $2.2 million, with no associated costs, received during the nine months ended September 30, 2011, partially offset by the depreciation of the Indian rupee against the U.S. dollar during the nine months ended September 30, 2012 compared to the nine months ended September 30, 2011.</w:t>
      </w:r>
    </w:p>
    <w:p>
      <w:pPr>
        <w:spacing w:after="0" w:line="120"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5"/>
          <w:szCs w:val="15"/>
          <w:b w:val="1"/>
          <w:bCs w:val="1"/>
          <w:i w:val="1"/>
          <w:iCs w:val="1"/>
          <w:color w:val="auto"/>
        </w:rPr>
        <w:t xml:space="preserve">SG&amp;A Expenses. </w:t>
      </w:r>
      <w:r>
        <w:rPr>
          <w:rFonts w:ascii="Arial" w:cs="Arial" w:eastAsia="Arial" w:hAnsi="Arial"/>
          <w:sz w:val="15"/>
          <w:szCs w:val="15"/>
          <w:color w:val="auto"/>
        </w:rPr>
        <w:t>SG&amp;A expenses increased 15.4% from $55.0 million for the nine months ended September 30, 2011 to $63.5 million for the nine months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ended September 30, 2012. The increase in SG&amp;A expenses was primarily due to an increase in employee-related costs of $8.2 million, including $4.5 million of employee-related costs related to the acquisitions of OPI and Trumbull, an increase in facilities costs of $0.6 million, primarily related to our acquisitions in 2011, and an increase in other SG&amp;A costs of $3.1 million during the nine months ended September 30, 2012 compared to the nine months ended September 30, 2011.</w:t>
      </w:r>
    </w:p>
    <w:p>
      <w:pPr>
        <w:spacing w:after="0" w:line="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These increases were partially offset by a decrease of $3.4 million due to the net effect of depreciation of the Indian rupee, Bulgarian leva and Czech koruna and appreciation of the Philippine peso against the U.S. dollar during the nine months ended September 30, 2012 compared to the nine months ended September 30, 2011. As a percentage of revenues, SG&amp;A expenses decreased from 21.3% for the nine months ended September 30, 2011 to 19.5% for the nine months ended September 30, 2012.</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Depreciation and Amortization. </w:t>
      </w:r>
      <w:r>
        <w:rPr>
          <w:rFonts w:ascii="Arial" w:cs="Arial" w:eastAsia="Arial" w:hAnsi="Arial"/>
          <w:sz w:val="16"/>
          <w:szCs w:val="16"/>
          <w:color w:val="auto"/>
        </w:rPr>
        <w:t>Depreciation and amortization increased 14.2% from $16.4 million for the nine months ended September 30, 2011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$18.7 million for the nine months ended September 30, 2012. The increase was primarily due to an increase in amortization of acquisition-related intangibles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 million, an increase in depreciation of $3.0 million, primarily related to our new operations centers and the acquisitions of OPI and Trumbull. As we add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more operations centers, we expect that our depreciation expense will increase to reflect the additional investment in equipment and operations centers necessary</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to meet our service requirements. These increases were partially offset by a decrease of $1.9 million due to the net effect of depreciation of the Indian rupee,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Bulgarian leva and Czech koruna and appreciation of the Philippine peso against the U.S. dollar during the nine months ended September 30, 2012 compared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nine months ended September 30, 2011. As a percentage of revenues, depreciation and amortization decreased from 6.4% for the nine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2011 to 5.8% for the nine months ended September 30, 2012.</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Income from Operations. </w:t>
      </w:r>
      <w:r>
        <w:rPr>
          <w:rFonts w:ascii="Arial" w:cs="Arial" w:eastAsia="Arial" w:hAnsi="Arial"/>
          <w:sz w:val="18"/>
          <w:szCs w:val="18"/>
          <w:color w:val="auto"/>
        </w:rPr>
        <w:t>Income from operations increased 45.9% from $28.6 million for the nine months ended September 30, 2011 to $41.7 million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nine months ended September 30, 2012. As a percentage of revenues, income from operations increased from 11.1% for the nine months ended September 30, 2011 to 12.8% for the nine months ended September 30, 2012. The increase in income from operations as a percentage of revenues was primarily due to operating leverage, resulting in lower SG&amp;A expenses as a percentage of revenues, partially offset by lower gross margins during the nine months ended September 30, 2012.</w:t>
      </w:r>
    </w:p>
    <w:p>
      <w:pPr>
        <w:spacing w:after="0" w:line="143" w:lineRule="exact"/>
        <w:rPr>
          <w:sz w:val="20"/>
          <w:szCs w:val="20"/>
          <w:color w:val="auto"/>
        </w:rPr>
      </w:pPr>
    </w:p>
    <w:p>
      <w:pPr>
        <w:ind w:right="100" w:firstLine="456"/>
        <w:spacing w:after="0" w:line="314" w:lineRule="auto"/>
        <w:rPr>
          <w:sz w:val="20"/>
          <w:szCs w:val="20"/>
          <w:color w:val="auto"/>
        </w:rPr>
      </w:pPr>
      <w:r>
        <w:rPr>
          <w:rFonts w:ascii="Arial" w:cs="Arial" w:eastAsia="Arial" w:hAnsi="Arial"/>
          <w:sz w:val="15"/>
          <w:szCs w:val="15"/>
          <w:b w:val="1"/>
          <w:bCs w:val="1"/>
          <w:i w:val="1"/>
          <w:iCs w:val="1"/>
          <w:color w:val="auto"/>
        </w:rPr>
        <w:t xml:space="preserve">Other Income/(Expense). </w:t>
      </w:r>
      <w:r>
        <w:rPr>
          <w:rFonts w:ascii="Arial" w:cs="Arial" w:eastAsia="Arial" w:hAnsi="Arial"/>
          <w:sz w:val="15"/>
          <w:szCs w:val="15"/>
          <w:color w:val="auto"/>
        </w:rPr>
        <w:t>Other income is comprised of foreign exchange gains and losses, interest income and expense and other items. Other income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decreased from $5.3 million for the nine months ended September 30, 2011 to ($1.0 million) for the nine months ended September 30, 2012. This decrease is primarily as a result of net foreign exchange loss of $2.4 million during the nine months ended September 30, 2012 compared to net foreign exchange gain of $3.9 million during the nine months ended September 30, 2011, primarily attributable to the movement of the U.S. dollar against the Indian rupee. Net interest income and other income remained flat at $1.3 million during the nine months ended September 30, 2012 and 2011. The average exchange rate of the Indian rupee against the U.S. dollar was 53.09 during the nine months ended September 30, 2012 compared to 45.45 during the nine months ended September 30, 2011.</w:t>
      </w:r>
    </w:p>
    <w:p>
      <w:pPr>
        <w:spacing w:after="0" w:line="105"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b w:val="1"/>
          <w:bCs w:val="1"/>
          <w:i w:val="1"/>
          <w:iCs w:val="1"/>
          <w:color w:val="auto"/>
        </w:rPr>
        <w:t xml:space="preserve">Provision for Income Taxes. </w:t>
      </w:r>
      <w:r>
        <w:rPr>
          <w:rFonts w:ascii="Arial" w:cs="Arial" w:eastAsia="Arial" w:hAnsi="Arial"/>
          <w:sz w:val="16"/>
          <w:szCs w:val="16"/>
          <w:color w:val="auto"/>
        </w:rPr>
        <w:t>Provision for income taxes increased from $8.6 million for the nine months ended September 30, 2011 to $11.0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nine months ended September 30, 2012. The effective rate of taxes increased from 25.5% during the nine months ended September 30, 2011 to 27.0% during the nine months ended September 30, 2012. The increase is primarily due to the release of a valuation allowance on deferred tax assets of $2.0 million during the nine months ended September 30, 2011. Refer to Note 12 to the unaudited consolidated financial statements for further details.</w:t>
      </w:r>
    </w:p>
    <w:p>
      <w:pPr>
        <w:spacing w:after="0" w:line="11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Net income increased 17.6% from $25.2 million for the nine months ended September 30, 2011 to $29.7 million for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2012, primarily due to an increase in operating income of $13.1 million, offset by a decrease in other income of $6.3 million and an increase in a provision for income taxes of $2.3 million. As a percentage of revenues, net income decreased from 9.8% for the nine months ended September 30, 2011 to 9.1% for the nine months ended September 30, 2012.</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80" w:right="239" w:bottom="1440" w:gutter="0" w:footer="0" w:header="0"/>
        </w:sectPr>
      </w:pPr>
    </w:p>
    <w:bookmarkStart w:id="31" w:name="page32"/>
    <w:bookmarkEnd w:id="31"/>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Liquidity and Capital Resources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2012, we had $125.4 million in cash and cash equivalents and short-term investments.</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Cash flows provided by operating activities increased from $40.5 million in the nine months ended September 30, 2011 to $43.4 million in the nine months ended September 30, 2012. Cash flows from net income adjusted for non-cash items increased by $15.3 million during the nine months ended September 30, 2012 compared to the nine months ended September 30, 2011, primarily due to an increase in net income of $4.4 million, depreciation and amortization expense of $2.3 million, deferred income taxes of $4.7 million and a decrease in unrealized foreign exchange gain of $3.6 million.</w:t>
      </w:r>
    </w:p>
    <w:p>
      <w:pPr>
        <w:spacing w:after="0" w:line="11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Cash flows used for working capital increased from $2.7 million in the nine months ended September 30, 2011 to $15.1 million in the nine months ended September 30, 2012, primarily due to a decrease in accrued expenses and other liabilities and an increase in other assets. Our days’ sales outstanding was 52 days as of September 30, 2012 compared to 49 days as of December 31, 2011.</w:t>
      </w:r>
    </w:p>
    <w:p>
      <w:pPr>
        <w:spacing w:after="0" w:line="14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Cash flows used for investing activities decreased from $100.7 million in the nine months ended September 30, 2011 to $16.0 million in the nine months ended September 30, 2012. The decrease was primarily due to payment of purchase consideration of $81.2 million for the OPI acquisition in the nine months ended September 2011 and net proceeds from short-term investments of $1.0 million in the nine months ended September 30, 2012 compared to net purchases of short-term investments of $7.2 million in the nine months ended September 2011. This decrease was partially offset by an increase in capital expenditure of $4.6 million during the nine months ended September 30, 2012 compared to the nine months ended September 30, 2011.</w:t>
      </w:r>
    </w:p>
    <w:p>
      <w:pPr>
        <w:spacing w:after="0" w:line="11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Cash flows provided by financing activities decreased from $24.0 million in the nine months ended September 30, 2011 to $7.3 million in the nine months ended September 30, 2012. The decrease was primarily due to proceeds from the issuance of common stock in a public offering of $22.0 million during the three months ended September 30, 2011. This decrease was partially offset by higher proceeds from the exercise of stock options of $8.9 million during the nine months ended September 30, 2012 compared to $5.4 million during the nine months ended September 30, 2011.</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expect to use cash from operating activities to maintain and expand our business. As we have focused on expanding our cash flow from operating activities, we continue to make capital investments, primarily related to new facilities and capital expenditures associated with leasehold improvements to build out our facilities and the purchase of telecommunications equipment and computer hardware and software in connection with managing client operations. We incurred approximately $17.0 million of capital expenditures in the nine months ended September 30, 2012. We expect to incur capital expenditures of approximately $3.0 million to $5.0 million throughout the remainder of 2012 primarily to meet the growth requirements of our clients, including adding to our existing facilities and expanding our operations centers in India as well as to improve our internal technology. The timing and volume of such capital expenditures in the future will be affected by new client contracts we may enter into or the expansion of business under our existing client contracts.</w:t>
      </w:r>
    </w:p>
    <w:p>
      <w:pPr>
        <w:spacing w:after="0" w:line="11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connection with the tax assessment orders issued against Exl India and Exl Inc., we may be required to deposit additional amounts with respect to the assessment orders received by us and for similar orders for subsequent years that may be received by us. Refer to Note 15 to our unaudited consolidated financial statements for further details.</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On May 26, 2011, we entered into a three-year credit agreement (the “Credit Facility”) with certain lenders and JPMorgan Chase Bank, N.A., as Administrative Agent. Borrowings under the Credit Facility may be used for working capital and general corporate purposes. Originally a $50.0 million revolving facility, including a letter of credit sub-facility, the availability under the Credit Facility was reduced to $15.0 million in June 2012. Upon our request, however, and the fulfillment of certain conditions, the Credit Facility may be increased once again to $50.0 million. As of September 30, 2012, we did not have any borrowings under the Credit Facility.</w:t>
      </w:r>
    </w:p>
    <w:p>
      <w:pPr>
        <w:spacing w:after="0" w:line="14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We anticipate that we will continue to rely upon cash from operating activities and the Credit Facility to finance our acquisitions, capital expenditures and working capital needs. If we have significant growth through acquisitions or otherwise, we may need to obtain additional financing.</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0" w:right="239" w:bottom="1440" w:gutter="0" w:footer="0" w:header="0"/>
        </w:sectPr>
      </w:pPr>
    </w:p>
    <w:bookmarkStart w:id="32" w:name="page33"/>
    <w:bookmarkEnd w:id="32"/>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Off-Balance Sheet Arrangements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2012 and December 31, 2011, we had no off-balance sheet arrangements or obligations.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contractual obligations as of September 30, 2012: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8"/>
          </w:tcPr>
          <w:p>
            <w:pPr>
              <w:jc w:val="center"/>
              <w:ind w:right="260"/>
              <w:spacing w:after="0"/>
              <w:rPr>
                <w:sz w:val="20"/>
                <w:szCs w:val="20"/>
                <w:color w:val="auto"/>
              </w:rPr>
            </w:pPr>
            <w:r>
              <w:rPr>
                <w:rFonts w:ascii="Arial" w:cs="Arial" w:eastAsia="Arial" w:hAnsi="Arial"/>
                <w:sz w:val="14"/>
                <w:szCs w:val="14"/>
                <w:b w:val="1"/>
                <w:bCs w:val="1"/>
                <w:color w:val="auto"/>
                <w:w w:val="88"/>
              </w:rPr>
              <w:t>Payment Due by Period</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120" w:type="dxa"/>
            <w:vAlign w:val="bottom"/>
          </w:tcPr>
          <w:p>
            <w:pPr>
              <w:spacing w:after="0"/>
              <w:rPr>
                <w:sz w:val="11"/>
                <w:szCs w:val="11"/>
                <w:color w:val="auto"/>
              </w:rPr>
            </w:pPr>
          </w:p>
        </w:tc>
        <w:tc>
          <w:tcPr>
            <w:tcW w:w="560" w:type="dxa"/>
            <w:vAlign w:val="bottom"/>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w w:val="93"/>
              </w:rPr>
              <w:t>Less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20" w:type="dxa"/>
            <w:vAlign w:val="bottom"/>
          </w:tcPr>
          <w:p>
            <w:pPr>
              <w:spacing w:after="0"/>
              <w:rPr>
                <w:sz w:val="12"/>
                <w:szCs w:val="12"/>
                <w:color w:val="auto"/>
              </w:rPr>
            </w:pPr>
          </w:p>
        </w:tc>
        <w:tc>
          <w:tcPr>
            <w:tcW w:w="5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than 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jc w:val="right"/>
              <w:ind w:right="18"/>
              <w:spacing w:after="0" w:line="149" w:lineRule="exact"/>
              <w:rPr>
                <w:sz w:val="20"/>
                <w:szCs w:val="20"/>
                <w:color w:val="auto"/>
              </w:rPr>
            </w:pPr>
            <w:r>
              <w:rPr>
                <w:rFonts w:ascii="Arial" w:cs="Arial" w:eastAsia="Arial" w:hAnsi="Arial"/>
                <w:sz w:val="14"/>
                <w:szCs w:val="14"/>
                <w:b w:val="1"/>
                <w:bCs w:val="1"/>
                <w:color w:val="auto"/>
                <w:w w:val="88"/>
              </w:rPr>
              <w:t>1-3</w:t>
            </w:r>
          </w:p>
        </w:tc>
        <w:tc>
          <w:tcPr>
            <w:tcW w:w="660" w:type="dxa"/>
            <w:vAlign w:val="bottom"/>
            <w:gridSpan w:val="2"/>
          </w:tcPr>
          <w:p>
            <w:pPr>
              <w:jc w:val="right"/>
              <w:ind w:right="2"/>
              <w:spacing w:after="0" w:line="149" w:lineRule="exact"/>
              <w:rPr>
                <w:sz w:val="20"/>
                <w:szCs w:val="20"/>
                <w:color w:val="auto"/>
              </w:rPr>
            </w:pPr>
            <w:r>
              <w:rPr>
                <w:rFonts w:ascii="Arial" w:cs="Arial" w:eastAsia="Arial" w:hAnsi="Arial"/>
                <w:sz w:val="14"/>
                <w:szCs w:val="14"/>
                <w:b w:val="1"/>
                <w:bCs w:val="1"/>
                <w:color w:val="auto"/>
              </w:rPr>
              <w:t>4-5</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rPr>
              <w:t>After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5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year</w:t>
            </w:r>
          </w:p>
        </w:tc>
        <w:tc>
          <w:tcPr>
            <w:tcW w:w="140" w:type="dxa"/>
            <w:vAlign w:val="bottom"/>
          </w:tcPr>
          <w:p>
            <w:pPr>
              <w:spacing w:after="0"/>
              <w:rPr>
                <w:sz w:val="14"/>
                <w:szCs w:val="14"/>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years</w:t>
            </w:r>
          </w:p>
        </w:tc>
        <w:tc>
          <w:tcPr>
            <w:tcW w:w="300" w:type="dxa"/>
            <w:vAlign w:val="bottom"/>
          </w:tcPr>
          <w:p>
            <w:pPr>
              <w:spacing w:after="0"/>
              <w:rPr>
                <w:sz w:val="14"/>
                <w:szCs w:val="14"/>
                <w:color w:val="auto"/>
              </w:rPr>
            </w:pPr>
          </w:p>
        </w:tc>
        <w:tc>
          <w:tcPr>
            <w:tcW w:w="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1"/>
              </w:rPr>
              <w:t>years</w:t>
            </w:r>
          </w:p>
        </w:tc>
        <w:tc>
          <w:tcPr>
            <w:tcW w:w="60" w:type="dxa"/>
            <w:vAlign w:val="bottom"/>
          </w:tcPr>
          <w:p>
            <w:pPr>
              <w:spacing w:after="0"/>
              <w:rPr>
                <w:sz w:val="14"/>
                <w:szCs w:val="14"/>
                <w:color w:val="auto"/>
              </w:rPr>
            </w:pPr>
          </w:p>
        </w:tc>
        <w:tc>
          <w:tcPr>
            <w:tcW w:w="5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2"/>
              </w:rPr>
              <w:t>5 years</w:t>
            </w:r>
          </w:p>
        </w:tc>
        <w:tc>
          <w:tcPr>
            <w:tcW w:w="140" w:type="dxa"/>
            <w:vAlign w:val="bottom"/>
          </w:tcPr>
          <w:p>
            <w:pPr>
              <w:spacing w:after="0"/>
              <w:rPr>
                <w:sz w:val="14"/>
                <w:szCs w:val="14"/>
                <w:color w:val="auto"/>
              </w:rPr>
            </w:pPr>
          </w:p>
        </w:tc>
        <w:tc>
          <w:tcPr>
            <w:tcW w:w="500" w:type="dxa"/>
            <w:vAlign w:val="bottom"/>
            <w:gridSpan w:val="3"/>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9"/>
              </w:rPr>
              <w:t>(in millions)</w:t>
            </w: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$ 0.6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Operating leases</w:t>
            </w:r>
          </w:p>
        </w:tc>
        <w:tc>
          <w:tcPr>
            <w:tcW w:w="10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79"/>
              </w:rPr>
              <w:t>12.5</w:t>
            </w:r>
          </w:p>
        </w:tc>
        <w:tc>
          <w:tcPr>
            <w:tcW w:w="900" w:type="dxa"/>
            <w:vAlign w:val="bottom"/>
            <w:gridSpan w:val="3"/>
          </w:tcPr>
          <w:p>
            <w:pPr>
              <w:jc w:val="right"/>
              <w:ind w:right="240"/>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79"/>
              </w:rPr>
              <w:t>26.3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Other obligations</w:t>
            </w:r>
            <w:r>
              <w:rPr>
                <w:rFonts w:ascii="Arial" w:cs="Arial" w:eastAsia="Arial" w:hAnsi="Arial"/>
                <w:sz w:val="11"/>
                <w:szCs w:val="11"/>
                <w:color w:val="auto"/>
              </w:rPr>
              <w:t>(a)</w:t>
            </w:r>
          </w:p>
        </w:tc>
        <w:tc>
          <w:tcPr>
            <w:tcW w:w="10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2.2</w:t>
            </w:r>
          </w:p>
        </w:tc>
        <w:tc>
          <w:tcPr>
            <w:tcW w:w="900" w:type="dxa"/>
            <w:vAlign w:val="bottom"/>
            <w:gridSpan w:val="3"/>
          </w:tcPr>
          <w:p>
            <w:pPr>
              <w:jc w:val="right"/>
              <w:ind w:right="240"/>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cash obligations</w:t>
            </w:r>
            <w:r>
              <w:rPr>
                <w:rFonts w:ascii="Arial" w:cs="Arial" w:eastAsia="Arial" w:hAnsi="Arial"/>
                <w:sz w:val="11"/>
                <w:szCs w:val="11"/>
                <w:color w:val="auto"/>
              </w:rPr>
              <w:t>(b)</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12.6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17.6</w:t>
            </w: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$ 6.9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40.9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estimated payments under the Company’s Gratuity Plan.</w:t>
      </w:r>
    </w:p>
    <w:p>
      <w:pPr>
        <w:spacing w:after="0" w:line="15" w:lineRule="exact"/>
        <w:rPr>
          <w:rFonts w:ascii="Arial" w:cs="Arial" w:eastAsia="Arial" w:hAnsi="Arial"/>
          <w:sz w:val="18"/>
          <w:szCs w:val="18"/>
          <w:color w:val="auto"/>
        </w:rPr>
      </w:pPr>
    </w:p>
    <w:p>
      <w:pPr>
        <w:ind w:left="460" w:right="660" w:hanging="452"/>
        <w:spacing w:after="0" w:line="261"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Excludes $3.1 million related to uncertain tax positions, since the extent of the amount and timing of payment is currently not reliably estimable or determinable.</w:t>
      </w:r>
    </w:p>
    <w:p>
      <w:pPr>
        <w:spacing w:after="0" w:line="138"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Certain units of our Indian subsidiaries were established as 100% Export-Oriented units under the Software Technology Parks of India (“STPI”) scheme promulgated by the Government of India which provides certain incentives on imported and indigenous capital goods upon the fulfillment of certain conditions. Although the corporate tax incentives under the STPI scheme are no longer available to us, the units are required to fulfill such conditions for a limited time. In the event that these units are unable to meet those conditions over the specified period, we may be required to refund those incentives along with penalties and fines. We believe, however, that these units have in the past satisfied and will continue to satisfy the required conditions.</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ExlService Philippines, Inc. (“Exl Philippines”) is registered as an Ecozone IT Enterprise with the Philippines Economic Zone Authority. The registration provides us with certain incentives on the import of capital goods and requires Exl Philippines to meet certain export obligations. We benefited from a four-year income tax holiday for one of our operations centers in the Philippines that expired in the middle of 2012. The tax benefit, however, can be extended for an additional two years. We have applied to the Philippines Economic Zone Authority for an extension of the tax holiday, which, if granted, would be effective retrospectively from the date of expiration of four years. Our new operations center in the Philippines, which began operations in January 2012, also benefits from a separate four-year income tax holiday that can be extended for an additional two years.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May 2011, the Financial Accounting Standards Board (“FASB”) issued update No. 2011-04, “</w:t>
      </w:r>
      <w:r>
        <w:rPr>
          <w:rFonts w:ascii="Arial" w:cs="Arial" w:eastAsia="Arial" w:hAnsi="Arial"/>
          <w:sz w:val="16"/>
          <w:szCs w:val="16"/>
          <w:i w:val="1"/>
          <w:iCs w:val="1"/>
          <w:color w:val="auto"/>
        </w:rPr>
        <w:t>Amendments to Achieve Common Fair Value Measurement</w:t>
      </w:r>
      <w:r>
        <w:rPr>
          <w:rFonts w:ascii="Arial" w:cs="Arial" w:eastAsia="Arial" w:hAnsi="Arial"/>
          <w:sz w:val="16"/>
          <w:szCs w:val="16"/>
          <w:color w:val="auto"/>
        </w:rPr>
        <w:t xml:space="preserve"> </w:t>
      </w:r>
      <w:r>
        <w:rPr>
          <w:rFonts w:ascii="Arial" w:cs="Arial" w:eastAsia="Arial" w:hAnsi="Arial"/>
          <w:sz w:val="16"/>
          <w:szCs w:val="16"/>
          <w:i w:val="1"/>
          <w:iCs w:val="1"/>
          <w:color w:val="auto"/>
        </w:rPr>
        <w:t>and Disclosure Requirements in U.S. GAAP and IFRS</w:t>
      </w:r>
      <w:r>
        <w:rPr>
          <w:rFonts w:ascii="Arial" w:cs="Arial" w:eastAsia="Arial" w:hAnsi="Arial"/>
          <w:sz w:val="16"/>
          <w:szCs w:val="16"/>
          <w:color w:val="auto"/>
        </w:rPr>
        <w:t>” (ASU No. 2011-04). ASU No. 2011-04 is intended to improve the comparability of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measurements presented and disclosed in financial statements prepared in accordance with U.S. generally accepted accounting principles (“GAAP”) and International Financial Reporting Standards (“IFRS”). ASU No. 2011-04 explains how to measure fair value and does not require additional measurements. Accordingly, our adoption of this accounting pronouncement from January 1, 2012 did not have an impact on our unaudited consolidated financial statements.</w:t>
      </w:r>
    </w:p>
    <w:p>
      <w:pPr>
        <w:spacing w:after="0" w:line="11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 June 2011, the FASB issued update No. 2011-05, “</w:t>
      </w:r>
      <w:r>
        <w:rPr>
          <w:rFonts w:ascii="Arial" w:cs="Arial" w:eastAsia="Arial" w:hAnsi="Arial"/>
          <w:sz w:val="16"/>
          <w:szCs w:val="16"/>
          <w:i w:val="1"/>
          <w:iCs w:val="1"/>
          <w:color w:val="auto"/>
        </w:rPr>
        <w:t>Presentation of Comprehensive Income</w:t>
      </w:r>
      <w:r>
        <w:rPr>
          <w:rFonts w:ascii="Arial" w:cs="Arial" w:eastAsia="Arial" w:hAnsi="Arial"/>
          <w:sz w:val="16"/>
          <w:szCs w:val="16"/>
          <w:color w:val="auto"/>
        </w:rPr>
        <w:t>” (ASU No. 2011-05). ASU No. 2011-05, effective retrospectively for the interim and annual periods beginning on or after December 15, 2011 (early adoption is permitted), requires presentation of total comprehensive income, the components of net income and the components of other comprehensive income either in a single continuous statement of comprehensive income or in two separate but consecutive statements. We adopted the option of presentation in two separate but consecutive statements. Refer to our unaudited consolidated statements of comprehensive income/(loss) for further details.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80" w:right="239" w:bottom="1440" w:gutter="0" w:footer="0" w:header="0"/>
        </w:sectPr>
      </w:pPr>
    </w:p>
    <w:bookmarkStart w:id="33" w:name="page34"/>
    <w:bookmarkEnd w:id="33"/>
    <w:p>
      <w:pPr>
        <w:ind w:right="2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 December 2011, the FASB issued update No. 2011-12, </w:t>
      </w:r>
      <w:r>
        <w:rPr>
          <w:rFonts w:ascii="Arial" w:cs="Arial" w:eastAsia="Arial" w:hAnsi="Arial"/>
          <w:sz w:val="18"/>
          <w:szCs w:val="18"/>
          <w:i w:val="1"/>
          <w:iCs w:val="1"/>
          <w:color w:val="auto"/>
        </w:rPr>
        <w:t>“Deferral of the Effective Date for Amendments to the Presentation of Reclassifications of Items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Out of Accumulated Other Comprehensive Income in Accounting Standards” </w:t>
      </w:r>
      <w:r>
        <w:rPr>
          <w:rFonts w:ascii="Arial" w:cs="Arial" w:eastAsia="Arial" w:hAnsi="Arial"/>
          <w:sz w:val="18"/>
          <w:szCs w:val="18"/>
          <w:color w:val="auto"/>
        </w:rPr>
        <w:t>(ASU No. 2011-12), which deferred the requirement to present on the face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the effects of reclassifications out of accumulated other comprehensive income on the components of net income and other comprehensive income for annual and interim financial statements. The adoption of this accounting pronouncement from January 1, 2012 did not have any impact on our unaudited consolidated financial statements.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September 2011, the FASB issued update No. 2011-08, “</w:t>
      </w:r>
      <w:r>
        <w:rPr>
          <w:rFonts w:ascii="Arial" w:cs="Arial" w:eastAsia="Arial" w:hAnsi="Arial"/>
          <w:sz w:val="16"/>
          <w:szCs w:val="16"/>
          <w:i w:val="1"/>
          <w:iCs w:val="1"/>
          <w:color w:val="auto"/>
        </w:rPr>
        <w:t>Testing Goodwill for Impairment</w:t>
      </w:r>
      <w:r>
        <w:rPr>
          <w:rFonts w:ascii="Arial" w:cs="Arial" w:eastAsia="Arial" w:hAnsi="Arial"/>
          <w:sz w:val="16"/>
          <w:szCs w:val="16"/>
          <w:color w:val="auto"/>
        </w:rPr>
        <w:t>” (ASU No. 2011-08), which permits an entity to first perform a qualitative assessment to determine whether it is more likely than not that the fair value of a reporting unit is less than its carrying value. If an entity concludes that the fair value of a reporting unit is less than its carrying value, it is necessary to perform a two-step goodwill impairment test. ASU No. 2011-08 is effective for annual and interim goodwill impairment tests performed for fiscal years beginning after December 15, 2011. The adoption of this accounting pronouncement did not have a material impact on our unaudited consolidated financial statements and we do not expect this to have a material impact on our annual goodwill impairment assessment in the fourth quarter of fiscal 2012.</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July 2012, the FASB issued update No. 2012-02, “</w:t>
      </w:r>
      <w:r>
        <w:rPr>
          <w:rFonts w:ascii="Arial" w:cs="Arial" w:eastAsia="Arial" w:hAnsi="Arial"/>
          <w:sz w:val="16"/>
          <w:szCs w:val="16"/>
          <w:i w:val="1"/>
          <w:iCs w:val="1"/>
          <w:color w:val="auto"/>
        </w:rPr>
        <w:t>Testing Indefinite-Lived Intangible Assets for Impairment”</w:t>
      </w:r>
      <w:r>
        <w:rPr>
          <w:rFonts w:ascii="Arial" w:cs="Arial" w:eastAsia="Arial" w:hAnsi="Arial"/>
          <w:sz w:val="16"/>
          <w:szCs w:val="16"/>
          <w:color w:val="auto"/>
        </w:rPr>
        <w:t xml:space="preserve"> (ASU No. 2012-02), which simplifies the guidance for testing the impairment of indefinite-lived intangible assets other than goodwill. Examples of intangible assets subject to the guidance include indefinite-lived trademarks, licenses, and distribution rights. The amendment provides the option to first assess qualitative factors to determine whether it is necessary to perform the quantitative impairment test. Under the option, an entity is no longer required to calculate the fair value of an indefinite-lived intangible asset unless the entity determines, based on a qualitative assessment, that it is more likely than not that its fair value is less than its carrying amount. This amendment is effective for fiscal years beginning after September 15, 2012, with early adoption permitted. We do not expect the new guidance to have an impact on our 2013 impairment test results.</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40"/>
          </w:cols>
          <w:pgMar w:left="240" w:top="280" w:right="319" w:bottom="1440" w:gutter="0" w:footer="0" w:header="0"/>
        </w:sectPr>
      </w:pPr>
    </w:p>
    <w:bookmarkStart w:id="34" w:name="page35"/>
    <w:bookmarkEnd w:id="34"/>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During the nine months ended September 30, 2012, there were no material changes in our market risk exposure. For a discussion of our market risk associated with exchange rate risk and interest rate risk, see Item 7A “Quantitative and Qualitative Disclosures about Market Risk” in our Annual Report on Form 10-K for the year ended December 31, 2011.</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the reports we file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(“CEO”) and Chief Financial Officer (“CFO”), to allow timely decisions regarding required financial disclosure. In connection with the preparation of this Quarterly Report on Form 10-Q, our management carried out an evaluation, under the supervision and with the participation of the CEO and CFO, of the effectiveness and operation of our disclosure controls and procedures as of September 30, 2012. Based upon that evaluation, the CEO and CFO have concluded that, as of September 30, 2012, our disclosure controls and procedures were effective.</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During the nine months ended September 30, 2012, there was no change in our internal control over financial reporting (as defined in Rules 13a-15(f) and 15d-15(f) under the Exchange Act) that has materially affected, or is reasonably likely to materially affect, our internal control over financial reporting.</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74" w:right="2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In the course of our normal business activities, various lawsuits, claims and proceedings may be instituted or asserted against us. We believe that the disposition of matters currently instituted or asserted will not have a material adverse effect on our consolidated financial position, results of operations or cash flows. Please see Note 15 to our unaudited consolidated financial statements contained herein for details regarding our tax proceedings.</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disclosed under the heading “Risk Factors” in our Annual Report on Form 10-K for the year ended December 31, 2011 a number of risks which may materially affect our business, financial condition or results of operations. You should carefully consider the “Risk Factors” set forth in our Annual Report on Form 10-K for the year ended December 31, 2011 and the other information set forth elsewhere in this Quarterly Report on Form 10-Q. You should be aware that these risk factors and other information may not describe every risk facing our Company. Additional risks and uncertainties not currently known to us may also materially adversely affect our business, financial condition and/or results of operations.</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Proceeds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Purchases of Equity Securities by the Issuer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74" w:right="25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28"/>
        </w:trPr>
        <w:tc>
          <w:tcPr>
            <w:tcW w:w="8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540" w:type="dxa"/>
            <w:vAlign w:val="bottom"/>
          </w:tcPr>
          <w:p>
            <w:pPr>
              <w:ind w:left="180"/>
              <w:spacing w:after="0"/>
              <w:rPr>
                <w:sz w:val="20"/>
                <w:szCs w:val="20"/>
                <w:color w:val="auto"/>
              </w:rPr>
            </w:pPr>
            <w:r>
              <w:rPr>
                <w:rFonts w:ascii="Arial" w:cs="Arial" w:eastAsia="Arial" w:hAnsi="Arial"/>
                <w:sz w:val="18"/>
                <w:szCs w:val="18"/>
                <w:b w:val="1"/>
                <w:bCs w:val="1"/>
                <w:color w:val="auto"/>
              </w:rPr>
              <w:t>EXHIBITS</w:t>
            </w:r>
          </w:p>
        </w:tc>
      </w:tr>
      <w:tr>
        <w:trPr>
          <w:trHeight w:val="297"/>
        </w:trPr>
        <w:tc>
          <w:tcPr>
            <w:tcW w:w="11400" w:type="dxa"/>
            <w:vAlign w:val="bottom"/>
            <w:gridSpan w:val="2"/>
          </w:tcPr>
          <w:p>
            <w:pPr>
              <w:ind w:left="460"/>
              <w:spacing w:after="0"/>
              <w:rPr>
                <w:sz w:val="20"/>
                <w:szCs w:val="20"/>
                <w:color w:val="auto"/>
              </w:rPr>
            </w:pPr>
            <w:r>
              <w:rPr>
                <w:rFonts w:ascii="Arial" w:cs="Arial" w:eastAsia="Arial" w:hAnsi="Arial"/>
                <w:sz w:val="18"/>
                <w:szCs w:val="18"/>
                <w:color w:val="auto"/>
              </w:rPr>
              <w:t>The following exhibits are being filed as part of this Quarterly Report on Form 10-Q:</w:t>
            </w:r>
          </w:p>
        </w:tc>
      </w:tr>
      <w:tr>
        <w:trPr>
          <w:trHeight w:val="412"/>
        </w:trPr>
        <w:tc>
          <w:tcPr>
            <w:tcW w:w="860" w:type="dxa"/>
            <w:vAlign w:val="bottom"/>
          </w:tcPr>
          <w:p>
            <w:pPr>
              <w:ind w:left="100"/>
              <w:spacing w:after="0"/>
              <w:rPr>
                <w:sz w:val="20"/>
                <w:szCs w:val="20"/>
                <w:color w:val="auto"/>
              </w:rPr>
            </w:pPr>
            <w:r>
              <w:rPr>
                <w:rFonts w:ascii="Arial" w:cs="Arial" w:eastAsia="Arial" w:hAnsi="Arial"/>
                <w:sz w:val="18"/>
                <w:szCs w:val="18"/>
                <w:color w:val="auto"/>
              </w:rPr>
              <w:t>31.1</w:t>
            </w:r>
          </w:p>
        </w:tc>
        <w:tc>
          <w:tcPr>
            <w:tcW w:w="10540" w:type="dxa"/>
            <w:vAlign w:val="bottom"/>
          </w:tcPr>
          <w:p>
            <w:pPr>
              <w:ind w:left="300"/>
              <w:spacing w:after="0"/>
              <w:rPr>
                <w:sz w:val="20"/>
                <w:szCs w:val="20"/>
                <w:color w:val="auto"/>
              </w:rPr>
            </w:pPr>
            <w:r>
              <w:rPr>
                <w:rFonts w:ascii="Arial" w:cs="Arial" w:eastAsia="Arial" w:hAnsi="Arial"/>
                <w:sz w:val="18"/>
                <w:szCs w:val="18"/>
                <w:color w:val="auto"/>
                <w:w w:val="89"/>
              </w:rPr>
              <w:t>Certification of the Vice Chairman and Chief Executive Officer of ExlService Holdings, pursuant to Rule 13a-14 of the Exchange Act, as adopted</w:t>
            </w:r>
          </w:p>
        </w:tc>
      </w:tr>
      <w:tr>
        <w:trPr>
          <w:trHeight w:val="222"/>
        </w:trPr>
        <w:tc>
          <w:tcPr>
            <w:tcW w:w="860" w:type="dxa"/>
            <w:vAlign w:val="bottom"/>
          </w:tcPr>
          <w:p>
            <w:pPr>
              <w:spacing w:after="0"/>
              <w:rPr>
                <w:sz w:val="19"/>
                <w:szCs w:val="19"/>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pursuant to Section 302 of the Sarbanes-Oxley Act of 2002.</w:t>
            </w:r>
          </w:p>
        </w:tc>
      </w:tr>
      <w:tr>
        <w:trPr>
          <w:trHeight w:val="318"/>
        </w:trPr>
        <w:tc>
          <w:tcPr>
            <w:tcW w:w="860" w:type="dxa"/>
            <w:vAlign w:val="bottom"/>
          </w:tcPr>
          <w:p>
            <w:pPr>
              <w:ind w:left="100"/>
              <w:spacing w:after="0"/>
              <w:rPr>
                <w:sz w:val="20"/>
                <w:szCs w:val="20"/>
                <w:color w:val="auto"/>
              </w:rPr>
            </w:pPr>
            <w:r>
              <w:rPr>
                <w:rFonts w:ascii="Arial" w:cs="Arial" w:eastAsia="Arial" w:hAnsi="Arial"/>
                <w:sz w:val="18"/>
                <w:szCs w:val="18"/>
                <w:color w:val="auto"/>
              </w:rPr>
              <w:t>31.2</w:t>
            </w:r>
          </w:p>
        </w:tc>
        <w:tc>
          <w:tcPr>
            <w:tcW w:w="10540" w:type="dxa"/>
            <w:vAlign w:val="bottom"/>
          </w:tcPr>
          <w:p>
            <w:pPr>
              <w:ind w:left="300"/>
              <w:spacing w:after="0"/>
              <w:rPr>
                <w:sz w:val="20"/>
                <w:szCs w:val="20"/>
                <w:color w:val="auto"/>
              </w:rPr>
            </w:pPr>
            <w:r>
              <w:rPr>
                <w:rFonts w:ascii="Arial" w:cs="Arial" w:eastAsia="Arial" w:hAnsi="Arial"/>
                <w:sz w:val="18"/>
                <w:szCs w:val="18"/>
                <w:color w:val="auto"/>
                <w:w w:val="90"/>
              </w:rPr>
              <w:t>Certification of the Executive Vice President and Chief Financial Officer of ExlService Holdings, pursuant to Rule 13a-14 of the Exchange Act,</w:t>
            </w:r>
          </w:p>
        </w:tc>
      </w:tr>
      <w:tr>
        <w:trPr>
          <w:trHeight w:val="222"/>
        </w:trPr>
        <w:tc>
          <w:tcPr>
            <w:tcW w:w="860" w:type="dxa"/>
            <w:vAlign w:val="bottom"/>
          </w:tcPr>
          <w:p>
            <w:pPr>
              <w:spacing w:after="0"/>
              <w:rPr>
                <w:sz w:val="19"/>
                <w:szCs w:val="19"/>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as adopted pursuant to Section 302 of the Sarbanes-Oxley Act of 2002.</w:t>
            </w:r>
          </w:p>
        </w:tc>
      </w:tr>
      <w:tr>
        <w:trPr>
          <w:trHeight w:val="318"/>
        </w:trPr>
        <w:tc>
          <w:tcPr>
            <w:tcW w:w="860" w:type="dxa"/>
            <w:vAlign w:val="bottom"/>
          </w:tcPr>
          <w:p>
            <w:pPr>
              <w:ind w:left="100"/>
              <w:spacing w:after="0"/>
              <w:rPr>
                <w:sz w:val="20"/>
                <w:szCs w:val="20"/>
                <w:color w:val="auto"/>
              </w:rPr>
            </w:pPr>
            <w:r>
              <w:rPr>
                <w:rFonts w:ascii="Arial" w:cs="Arial" w:eastAsia="Arial" w:hAnsi="Arial"/>
                <w:sz w:val="18"/>
                <w:szCs w:val="18"/>
                <w:color w:val="auto"/>
              </w:rPr>
              <w:t>32.1</w:t>
            </w:r>
          </w:p>
        </w:tc>
        <w:tc>
          <w:tcPr>
            <w:tcW w:w="10540" w:type="dxa"/>
            <w:vAlign w:val="bottom"/>
          </w:tcPr>
          <w:p>
            <w:pPr>
              <w:ind w:left="300"/>
              <w:spacing w:after="0"/>
              <w:rPr>
                <w:sz w:val="20"/>
                <w:szCs w:val="20"/>
                <w:color w:val="auto"/>
              </w:rPr>
            </w:pPr>
            <w:r>
              <w:rPr>
                <w:rFonts w:ascii="Arial" w:cs="Arial" w:eastAsia="Arial" w:hAnsi="Arial"/>
                <w:sz w:val="18"/>
                <w:szCs w:val="18"/>
                <w:color w:val="auto"/>
                <w:w w:val="90"/>
              </w:rPr>
              <w:t>Certification of the Vice Chairman and Chief Executive Officer of ExlService Holdings, pursuant to Rule 13a-14(b) of the Exchange Act and 18</w:t>
            </w:r>
          </w:p>
        </w:tc>
      </w:tr>
      <w:tr>
        <w:trPr>
          <w:trHeight w:val="222"/>
        </w:trPr>
        <w:tc>
          <w:tcPr>
            <w:tcW w:w="860" w:type="dxa"/>
            <w:vAlign w:val="bottom"/>
          </w:tcPr>
          <w:p>
            <w:pPr>
              <w:spacing w:after="0"/>
              <w:rPr>
                <w:sz w:val="19"/>
                <w:szCs w:val="19"/>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U.S.C. Section 1350, as adopted pursuant to Section 906 of the Sarbanes-Oxley Act of 2002.</w:t>
            </w:r>
          </w:p>
        </w:tc>
      </w:tr>
      <w:tr>
        <w:trPr>
          <w:trHeight w:val="318"/>
        </w:trPr>
        <w:tc>
          <w:tcPr>
            <w:tcW w:w="860" w:type="dxa"/>
            <w:vAlign w:val="bottom"/>
          </w:tcPr>
          <w:p>
            <w:pPr>
              <w:ind w:left="100"/>
              <w:spacing w:after="0"/>
              <w:rPr>
                <w:sz w:val="20"/>
                <w:szCs w:val="20"/>
                <w:color w:val="auto"/>
              </w:rPr>
            </w:pPr>
            <w:r>
              <w:rPr>
                <w:rFonts w:ascii="Arial" w:cs="Arial" w:eastAsia="Arial" w:hAnsi="Arial"/>
                <w:sz w:val="18"/>
                <w:szCs w:val="18"/>
                <w:color w:val="auto"/>
              </w:rPr>
              <w:t>32.2</w:t>
            </w:r>
          </w:p>
        </w:tc>
        <w:tc>
          <w:tcPr>
            <w:tcW w:w="10540" w:type="dxa"/>
            <w:vAlign w:val="bottom"/>
          </w:tcPr>
          <w:p>
            <w:pPr>
              <w:ind w:left="300"/>
              <w:spacing w:after="0"/>
              <w:rPr>
                <w:sz w:val="20"/>
                <w:szCs w:val="20"/>
                <w:color w:val="auto"/>
              </w:rPr>
            </w:pPr>
            <w:r>
              <w:rPr>
                <w:rFonts w:ascii="Arial" w:cs="Arial" w:eastAsia="Arial" w:hAnsi="Arial"/>
                <w:sz w:val="18"/>
                <w:szCs w:val="18"/>
                <w:color w:val="auto"/>
                <w:w w:val="91"/>
              </w:rPr>
              <w:t>Certification of the Executive Vice President and Chief Financial Officer of ExlService Holdings, pursuant to Rule 13a-14(b) of the Exchange</w:t>
            </w:r>
          </w:p>
        </w:tc>
      </w:tr>
      <w:tr>
        <w:trPr>
          <w:trHeight w:val="222"/>
        </w:trPr>
        <w:tc>
          <w:tcPr>
            <w:tcW w:w="860" w:type="dxa"/>
            <w:vAlign w:val="bottom"/>
          </w:tcPr>
          <w:p>
            <w:pPr>
              <w:spacing w:after="0"/>
              <w:rPr>
                <w:sz w:val="19"/>
                <w:szCs w:val="19"/>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Act and 18 U.S.C. Section 1350, as adopted pursuant to Section 906 of the Sarbanes-Oxley Act of 2002.</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10540" w:type="dxa"/>
            <w:vAlign w:val="bottom"/>
          </w:tcPr>
          <w:p>
            <w:pPr>
              <w:ind w:left="300"/>
              <w:spacing w:after="0"/>
              <w:rPr>
                <w:sz w:val="20"/>
                <w:szCs w:val="20"/>
                <w:color w:val="auto"/>
              </w:rPr>
            </w:pPr>
            <w:r>
              <w:rPr>
                <w:rFonts w:ascii="Arial" w:cs="Arial" w:eastAsia="Arial" w:hAnsi="Arial"/>
                <w:sz w:val="18"/>
                <w:szCs w:val="18"/>
                <w:color w:val="auto"/>
              </w:rPr>
              <w:t>XBRL Instance Document *</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10540" w:type="dxa"/>
            <w:vAlign w:val="bottom"/>
          </w:tcPr>
          <w:p>
            <w:pPr>
              <w:ind w:left="300"/>
              <w:spacing w:after="0"/>
              <w:rPr>
                <w:sz w:val="20"/>
                <w:szCs w:val="20"/>
                <w:color w:val="auto"/>
              </w:rPr>
            </w:pPr>
            <w:r>
              <w:rPr>
                <w:rFonts w:ascii="Arial" w:cs="Arial" w:eastAsia="Arial" w:hAnsi="Arial"/>
                <w:sz w:val="18"/>
                <w:szCs w:val="18"/>
                <w:color w:val="auto"/>
              </w:rPr>
              <w:t>XBRL Taxonomy Extension Schema *</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10540" w:type="dxa"/>
            <w:vAlign w:val="bottom"/>
          </w:tcPr>
          <w:p>
            <w:pPr>
              <w:ind w:left="300"/>
              <w:spacing w:after="0"/>
              <w:rPr>
                <w:sz w:val="20"/>
                <w:szCs w:val="20"/>
                <w:color w:val="auto"/>
              </w:rPr>
            </w:pPr>
            <w:r>
              <w:rPr>
                <w:rFonts w:ascii="Arial" w:cs="Arial" w:eastAsia="Arial" w:hAnsi="Arial"/>
                <w:sz w:val="18"/>
                <w:szCs w:val="18"/>
                <w:color w:val="auto"/>
              </w:rPr>
              <w:t>XBRL Taxonomy Extension Calculation Linkbase *</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10540" w:type="dxa"/>
            <w:vAlign w:val="bottom"/>
          </w:tcPr>
          <w:p>
            <w:pPr>
              <w:ind w:left="300"/>
              <w:spacing w:after="0"/>
              <w:rPr>
                <w:sz w:val="20"/>
                <w:szCs w:val="20"/>
                <w:color w:val="auto"/>
              </w:rPr>
            </w:pPr>
            <w:r>
              <w:rPr>
                <w:rFonts w:ascii="Arial" w:cs="Arial" w:eastAsia="Arial" w:hAnsi="Arial"/>
                <w:sz w:val="18"/>
                <w:szCs w:val="18"/>
                <w:color w:val="auto"/>
              </w:rPr>
              <w:t>XBRL Taxonomy Extension Definition Linkbase *</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10540" w:type="dxa"/>
            <w:vAlign w:val="bottom"/>
          </w:tcPr>
          <w:p>
            <w:pPr>
              <w:ind w:left="300"/>
              <w:spacing w:after="0"/>
              <w:rPr>
                <w:sz w:val="20"/>
                <w:szCs w:val="20"/>
                <w:color w:val="auto"/>
              </w:rPr>
            </w:pPr>
            <w:r>
              <w:rPr>
                <w:rFonts w:ascii="Arial" w:cs="Arial" w:eastAsia="Arial" w:hAnsi="Arial"/>
                <w:sz w:val="18"/>
                <w:szCs w:val="18"/>
                <w:color w:val="auto"/>
              </w:rPr>
              <w:t>XBRL Taxonomy Extension Label Linkbase *</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10540" w:type="dxa"/>
            <w:vAlign w:val="bottom"/>
          </w:tcPr>
          <w:p>
            <w:pPr>
              <w:ind w:left="300"/>
              <w:spacing w:after="0"/>
              <w:rPr>
                <w:sz w:val="20"/>
                <w:szCs w:val="20"/>
                <w:color w:val="auto"/>
              </w:rPr>
            </w:pPr>
            <w:r>
              <w:rPr>
                <w:rFonts w:ascii="Arial" w:cs="Arial" w:eastAsia="Arial" w:hAnsi="Arial"/>
                <w:sz w:val="18"/>
                <w:szCs w:val="18"/>
                <w:color w:val="auto"/>
              </w:rPr>
              <w:t>XBRL Taxonomy Extension Presentation Linkbase *</w:t>
            </w:r>
          </w:p>
        </w:tc>
      </w:tr>
    </w:tbl>
    <w:p>
      <w:pPr>
        <w:spacing w:after="0" w:line="1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220" w:right="60" w:hanging="212"/>
        <w:spacing w:after="0" w:line="259" w:lineRule="auto"/>
        <w:tabs>
          <w:tab w:leader="none" w:pos="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exhibit will not be deemed “filed” for purposes of Section 18 of the Securities Exchange Act of 1934 (15 U.S.C. 78r), or otherwise subject to the liability of that section. Such exhibit will not be deemed to be incorporated by reference into any filing under the Securities Act or Securities Exchange Act, except to the extent that the Company specifically incorporates it by reference.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274" w:right="259" w:bottom="1440" w:gutter="0" w:footer="0" w:header="0"/>
        </w:sectPr>
      </w:pPr>
    </w:p>
    <w:bookmarkStart w:id="37" w:name="page38"/>
    <w:bookmarkEnd w:id="37"/>
    <w:p>
      <w:pPr>
        <w:jc w:val="center"/>
        <w:ind w:right="-4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920"/>
        <w:spacing w:after="0"/>
        <w:rPr>
          <w:sz w:val="20"/>
          <w:szCs w:val="20"/>
          <w:color w:val="auto"/>
        </w:rPr>
      </w:pPr>
      <w:r>
        <w:rPr>
          <w:rFonts w:ascii="Arial" w:cs="Arial" w:eastAsia="Arial" w:hAnsi="Arial"/>
          <w:sz w:val="18"/>
          <w:szCs w:val="18"/>
          <w:b w:val="1"/>
          <w:bCs w:val="1"/>
          <w:color w:val="auto"/>
        </w:rPr>
        <w:t>EXLSERVICE HOLDINGS, INC.</w:t>
      </w:r>
    </w:p>
    <w:p>
      <w:pPr>
        <w:spacing w:after="0" w:line="231" w:lineRule="exact"/>
        <w:rPr>
          <w:sz w:val="20"/>
          <w:szCs w:val="20"/>
          <w:color w:val="auto"/>
        </w:rPr>
      </w:pPr>
    </w:p>
    <w:p>
      <w:pPr>
        <w:spacing w:after="0"/>
        <w:tabs>
          <w:tab w:leader="none" w:pos="5900" w:val="left"/>
          <w:tab w:leader="none" w:pos="7980" w:val="left"/>
          <w:tab w:leader="none" w:pos="8340" w:val="left"/>
        </w:tabs>
        <w:rPr>
          <w:sz w:val="20"/>
          <w:szCs w:val="20"/>
          <w:color w:val="auto"/>
        </w:rPr>
      </w:pPr>
      <w:r>
        <w:rPr>
          <w:rFonts w:ascii="Arial" w:cs="Arial" w:eastAsia="Arial" w:hAnsi="Arial"/>
          <w:sz w:val="18"/>
          <w:szCs w:val="18"/>
          <w:color w:val="auto"/>
        </w:rPr>
        <w:t>Date: November 5,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VISHAL CHHIBBAR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3"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Vishal Chhibbar</w:t>
      </w:r>
    </w:p>
    <w:p>
      <w:pPr>
        <w:jc w:val="center"/>
        <w:ind w:left="6280"/>
        <w:spacing w:after="0" w:line="221" w:lineRule="auto"/>
        <w:rPr>
          <w:sz w:val="20"/>
          <w:szCs w:val="20"/>
          <w:color w:val="auto"/>
        </w:rPr>
      </w:pPr>
      <w:r>
        <w:rPr>
          <w:rFonts w:ascii="Arial" w:cs="Arial" w:eastAsia="Arial" w:hAnsi="Arial"/>
          <w:sz w:val="14"/>
          <w:szCs w:val="14"/>
          <w:b w:val="1"/>
          <w:bCs w:val="1"/>
          <w:color w:val="auto"/>
        </w:rPr>
        <w:t>Executive Vice President and Chief Financial Officer</w:t>
      </w:r>
    </w:p>
    <w:p>
      <w:pPr>
        <w:jc w:val="center"/>
        <w:ind w:left="6280"/>
        <w:spacing w:after="0"/>
        <w:rPr>
          <w:sz w:val="20"/>
          <w:szCs w:val="20"/>
          <w:color w:val="auto"/>
        </w:rPr>
      </w:pPr>
      <w:r>
        <w:rPr>
          <w:rFonts w:ascii="Arial" w:cs="Arial" w:eastAsia="Arial" w:hAnsi="Arial"/>
          <w:sz w:val="12"/>
          <w:szCs w:val="12"/>
          <w:b w:val="1"/>
          <w:bCs w:val="1"/>
          <w:color w:val="auto"/>
        </w:rPr>
        <w:t>(Duly Authorized Signatory, Principal Financial and Accounting Officer)</w:t>
      </w:r>
    </w:p>
    <w:p>
      <w:pPr>
        <w:spacing w:after="0" w:line="16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60"/>
          </w:cols>
          <w:pgMar w:left="240" w:top="274" w:right="69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Rohit Kapoor, certify that:</w:t>
      </w:r>
    </w:p>
    <w:p>
      <w:pPr>
        <w:spacing w:after="0" w:line="90"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580" w:hanging="452"/>
        <w:spacing w:after="0" w:line="332"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2012</w:t>
      </w:r>
    </w:p>
    <w:p>
      <w:pPr>
        <w:spacing w:after="0" w:line="212" w:lineRule="exact"/>
        <w:rPr>
          <w:sz w:val="20"/>
          <w:szCs w:val="20"/>
          <w:color w:val="auto"/>
        </w:rPr>
      </w:pPr>
    </w:p>
    <w:p>
      <w:pPr>
        <w:jc w:val="center"/>
        <w:ind w:right="6840"/>
        <w:spacing w:after="0"/>
        <w:tabs>
          <w:tab w:leader="none" w:pos="1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 xml:space="preserve">ROHIT </w:t>
      </w:r>
      <w:r>
        <w:rPr>
          <w:rFonts w:ascii="Arial" w:cs="Arial" w:eastAsia="Arial" w:hAnsi="Arial"/>
          <w:sz w:val="16"/>
          <w:szCs w:val="16"/>
          <w:color w:val="auto"/>
        </w:rPr>
        <w:t>K</w:t>
      </w:r>
      <w:r>
        <w:rPr>
          <w:rFonts w:ascii="Arial" w:cs="Arial" w:eastAsia="Arial" w:hAnsi="Arial"/>
          <w:sz w:val="14"/>
          <w:szCs w:val="14"/>
          <w:color w:val="auto"/>
        </w:rPr>
        <w:t>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Rohit Kapoor</w:t>
      </w:r>
    </w:p>
    <w:p>
      <w:pPr>
        <w:spacing w:after="0" w:line="21"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Vice Chairman and Chief Executive Officer</w:t>
      </w:r>
    </w:p>
    <w:p>
      <w:pPr>
        <w:sectPr>
          <w:pgSz w:w="11900" w:h="16838" w:orient="portrait"/>
          <w:cols w:equalWidth="0" w:num="1">
            <w:col w:w="11420"/>
          </w:cols>
          <w:pgMar w:left="240" w:top="125"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Vishal Chhibbar, certify that:</w:t>
      </w:r>
    </w:p>
    <w:p>
      <w:pPr>
        <w:spacing w:after="0" w:line="90"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580" w:hanging="452"/>
        <w:spacing w:after="0" w:line="332"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2012</w:t>
      </w:r>
    </w:p>
    <w:p>
      <w:pPr>
        <w:spacing w:after="0" w:line="212" w:lineRule="exact"/>
        <w:rPr>
          <w:sz w:val="20"/>
          <w:szCs w:val="20"/>
          <w:color w:val="auto"/>
        </w:rPr>
      </w:pPr>
    </w:p>
    <w:p>
      <w:pPr>
        <w:jc w:val="center"/>
        <w:ind w:right="6840"/>
        <w:spacing w:after="0"/>
        <w:tabs>
          <w:tab w:leader="none" w:pos="1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VISHAL CHHIBBAR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Vishal Chhibbar</w:t>
      </w:r>
    </w:p>
    <w:p>
      <w:pPr>
        <w:spacing w:after="0" w:line="21"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Executive Vice President and Chief Financial Officer</w:t>
      </w:r>
    </w:p>
    <w:p>
      <w:pPr>
        <w:sectPr>
          <w:pgSz w:w="11900" w:h="16838" w:orient="portrait"/>
          <w:cols w:equalWidth="0" w:num="1">
            <w:col w:w="11420"/>
          </w:cols>
          <w:pgMar w:left="240" w:top="125"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1"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In connection with the Quarterly Report of ExlService Holdings, Inc. (the “Company”) on Form 10-Q for the period ending September 30, 2012 as filed with the Securities and Exchange Commission on the date hereof (the “Report”), I, Rohit Kapoor, Vice Chairman and Chief Executive Officer of the Company, certify, pursuant to 18 U.S.C. Section 1350, as adopted pursuant to Section 906 of the Sarbanes-Oxley Act of 2002, that:</w:t>
      </w:r>
    </w:p>
    <w:p>
      <w:pPr>
        <w:spacing w:after="0" w:line="26"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jc w:val="center"/>
        <w:ind w:right="6840"/>
        <w:spacing w:after="0"/>
        <w:tabs>
          <w:tab w:leader="none" w:pos="1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 xml:space="preserve">ROHIT </w:t>
      </w:r>
      <w:r>
        <w:rPr>
          <w:rFonts w:ascii="Arial" w:cs="Arial" w:eastAsia="Arial" w:hAnsi="Arial"/>
          <w:sz w:val="16"/>
          <w:szCs w:val="16"/>
          <w:color w:val="auto"/>
        </w:rPr>
        <w:t>K</w:t>
      </w:r>
      <w:r>
        <w:rPr>
          <w:rFonts w:ascii="Arial" w:cs="Arial" w:eastAsia="Arial" w:hAnsi="Arial"/>
          <w:sz w:val="14"/>
          <w:szCs w:val="14"/>
          <w:color w:val="auto"/>
        </w:rPr>
        <w:t>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Rohit Kapoor</w:t>
      </w:r>
    </w:p>
    <w:p>
      <w:pPr>
        <w:spacing w:after="0" w:line="21"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Vice Chairman and Chief Executive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2012</w:t>
      </w:r>
    </w:p>
    <w:p>
      <w:pPr>
        <w:sectPr>
          <w:pgSz w:w="11900" w:h="16838" w:orient="portrait"/>
          <w:cols w:equalWidth="0" w:num="1">
            <w:col w:w="11420"/>
          </w:cols>
          <w:pgMar w:left="240" w:top="125"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1"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In connection with the Quarterly Report of ExlService Holdings, Inc. (the “Company”) on Form 10-Q for the period ending September 30, 2012 as filed with the Securities and Exchange Commission on the date hereof (the “Report”), I, Vishal Chhibbar, Executive Vice President and Chief Financial Officer of the Company, certify, pursuant to 18 U.S.C. Section 1350, as adopted pursuant to Section 906 of the Sarbanes-Oxley Act of 2002, that:</w:t>
      </w:r>
    </w:p>
    <w:p>
      <w:pPr>
        <w:spacing w:after="0" w:line="26"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jc w:val="center"/>
        <w:ind w:right="6840"/>
        <w:spacing w:after="0"/>
        <w:tabs>
          <w:tab w:leader="none" w:pos="1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VISHAL CHHIBBAR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Vishal Chhibbar</w:t>
      </w:r>
    </w:p>
    <w:p>
      <w:pPr>
        <w:spacing w:after="0" w:line="21"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Executive Vice President and Chief Financial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2012</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15"/>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lowerLetter"/>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2019-12-09T17:38:46Z</dcterms:created>
  <dcterms:modified xsi:type="dcterms:W3CDTF">2019-12-09T17:38:46Z</dcterms:modified>
</cp:coreProperties>
</file>