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02/22/2020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1,664</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7,149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712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6,437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02/23/2020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1,361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7,798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582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7,216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1,664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02/22/2020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1,664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3,328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1,361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1,362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6,655 restricted stock units, vesting in four equal annual installments beginning on the first anniversary of the grant date. 25 percent of the restricted stock units became vested on February 22, 2019, an additional 25 percent of the restricted stock units became vested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jc w:val="both"/>
        <w:ind w:left="40" w:right="2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23, 2017, the reporting person was granted 5,445 restricted stock units, vesting in four equal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became vested on February 23, 2020, and the remaining balance of 25 percent of the restricted stock units will vest on February 23, 2021.</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2020-02-25T19:42:54Z</dcterms:created>
  <dcterms:modified xsi:type="dcterms:W3CDTF">2020-02-25T19:42:54Z</dcterms:modified>
</cp:coreProperties>
</file>