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3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SEPTEMBER 30, 2018</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22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-4445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tbl>
      <w:tblPr>
        <w:tblLayout w:type="fixed"/>
        <w:tblInd w:w="1500" w:type="dxa"/>
        <w:tblCellMar>
          <w:top w:w="0" w:type="dxa"/>
          <w:left w:w="0" w:type="dxa"/>
          <w:bottom w:w="0" w:type="dxa"/>
          <w:right w:w="0" w:type="dxa"/>
        </w:tblCellMar>
      </w:tblPr>
      <w:tr>
        <w:trPr>
          <w:trHeight w:val="210"/>
        </w:trPr>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7"/>
              </w:rPr>
              <w:t>DELAWARE</w:t>
            </w:r>
          </w:p>
        </w:tc>
        <w:tc>
          <w:tcPr>
            <w:tcW w:w="5140" w:type="dxa"/>
            <w:vAlign w:val="bottom"/>
          </w:tcPr>
          <w:p>
            <w:pPr>
              <w:jc w:val="right"/>
              <w:ind w:right="84"/>
              <w:spacing w:after="0"/>
              <w:rPr>
                <w:sz w:val="20"/>
                <w:szCs w:val="20"/>
                <w:color w:val="auto"/>
              </w:rPr>
            </w:pPr>
            <w:r>
              <w:rPr>
                <w:rFonts w:ascii="Arial" w:cs="Arial" w:eastAsia="Arial" w:hAnsi="Arial"/>
                <w:sz w:val="16"/>
                <w:szCs w:val="16"/>
                <w:b w:val="1"/>
                <w:bCs w:val="1"/>
                <w:color w:val="auto"/>
              </w:rPr>
              <w:t>82-0572194</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140" w:type="dxa"/>
            <w:vAlign w:val="bottom"/>
          </w:tcPr>
          <w:p>
            <w:pPr>
              <w:jc w:val="center"/>
              <w:ind w:left="3944"/>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40" w:type="dxa"/>
            <w:vAlign w:val="bottom"/>
          </w:tcPr>
          <w:p>
            <w:pPr>
              <w:jc w:val="center"/>
              <w:ind w:left="3944"/>
              <w:spacing w:after="0"/>
              <w:rPr>
                <w:sz w:val="20"/>
                <w:szCs w:val="20"/>
                <w:color w:val="auto"/>
              </w:rPr>
            </w:pPr>
            <w:r>
              <w:rPr>
                <w:rFonts w:ascii="Arial" w:cs="Arial" w:eastAsia="Arial" w:hAnsi="Arial"/>
                <w:sz w:val="14"/>
                <w:szCs w:val="14"/>
                <w:b w:val="1"/>
                <w:bCs w:val="1"/>
                <w:color w:val="auto"/>
                <w:w w:val="94"/>
              </w:rPr>
              <w:t>Identification No.)</w:t>
            </w:r>
          </w:p>
        </w:tc>
      </w:tr>
      <w:tr>
        <w:trPr>
          <w:trHeight w:val="349"/>
        </w:trPr>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6"/>
              </w:rPr>
              <w:t>280 PARK AVENUE, 38</w:t>
            </w:r>
            <w:r>
              <w:rPr>
                <w:rFonts w:ascii="Arial" w:cs="Arial" w:eastAsia="Arial" w:hAnsi="Arial"/>
                <w:sz w:val="21"/>
                <w:szCs w:val="21"/>
                <w:b w:val="1"/>
                <w:bCs w:val="1"/>
                <w:color w:val="auto"/>
                <w:w w:val="96"/>
                <w:vertAlign w:val="superscript"/>
              </w:rPr>
              <w:t>TH</w:t>
            </w:r>
            <w:r>
              <w:rPr>
                <w:rFonts w:ascii="Arial" w:cs="Arial" w:eastAsia="Arial" w:hAnsi="Arial"/>
                <w:sz w:val="16"/>
                <w:szCs w:val="16"/>
                <w:b w:val="1"/>
                <w:bCs w:val="1"/>
                <w:color w:val="auto"/>
                <w:w w:val="96"/>
              </w:rPr>
              <w:t xml:space="preserve"> FLOOR,</w:t>
            </w:r>
          </w:p>
        </w:tc>
        <w:tc>
          <w:tcPr>
            <w:tcW w:w="5140" w:type="dxa"/>
            <w:vAlign w:val="bottom"/>
          </w:tcPr>
          <w:p>
            <w:pPr>
              <w:spacing w:after="0"/>
              <w:rPr>
                <w:sz w:val="24"/>
                <w:szCs w:val="24"/>
                <w:color w:val="auto"/>
              </w:rPr>
            </w:pPr>
          </w:p>
        </w:tc>
      </w:tr>
      <w:tr>
        <w:trPr>
          <w:trHeight w:val="210"/>
        </w:trPr>
        <w:tc>
          <w:tcPr>
            <w:tcW w:w="2540" w:type="dxa"/>
            <w:vAlign w:val="bottom"/>
          </w:tcPr>
          <w:p>
            <w:pPr>
              <w:jc w:val="center"/>
              <w:spacing w:after="0"/>
              <w:rPr>
                <w:sz w:val="20"/>
                <w:szCs w:val="20"/>
                <w:color w:val="auto"/>
              </w:rPr>
            </w:pPr>
            <w:r>
              <w:rPr>
                <w:rFonts w:ascii="Arial" w:cs="Arial" w:eastAsia="Arial" w:hAnsi="Arial"/>
                <w:sz w:val="16"/>
                <w:szCs w:val="16"/>
                <w:b w:val="1"/>
                <w:bCs w:val="1"/>
                <w:color w:val="auto"/>
              </w:rPr>
              <w:t>NEW YORK, NEW YORK</w:t>
            </w:r>
          </w:p>
        </w:tc>
        <w:tc>
          <w:tcPr>
            <w:tcW w:w="5140" w:type="dxa"/>
            <w:vAlign w:val="bottom"/>
          </w:tcPr>
          <w:p>
            <w:pPr>
              <w:jc w:val="right"/>
              <w:ind w:right="284"/>
              <w:spacing w:after="0"/>
              <w:rPr>
                <w:sz w:val="20"/>
                <w:szCs w:val="20"/>
                <w:color w:val="auto"/>
              </w:rPr>
            </w:pPr>
            <w:r>
              <w:rPr>
                <w:rFonts w:ascii="Arial" w:cs="Arial" w:eastAsia="Arial" w:hAnsi="Arial"/>
                <w:sz w:val="16"/>
                <w:szCs w:val="16"/>
                <w:b w:val="1"/>
                <w:bCs w:val="1"/>
                <w:color w:val="auto"/>
              </w:rPr>
              <w:t>10017</w:t>
            </w:r>
          </w:p>
        </w:tc>
      </w:tr>
      <w:tr>
        <w:trPr>
          <w:trHeight w:val="224"/>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64"/>
              <w:spacing w:after="0"/>
              <w:rPr>
                <w:sz w:val="20"/>
                <w:szCs w:val="20"/>
                <w:color w:val="auto"/>
              </w:rPr>
            </w:pPr>
            <w:r>
              <w:rPr>
                <w:rFonts w:ascii="Arial" w:cs="Arial" w:eastAsia="Arial" w:hAnsi="Arial"/>
                <w:sz w:val="14"/>
                <w:szCs w:val="14"/>
                <w:b w:val="1"/>
                <w:bCs w:val="1"/>
                <w:color w:val="auto"/>
                <w:w w:val="92"/>
              </w:rPr>
              <w:t>(Zip code)</w:t>
            </w:r>
          </w:p>
        </w:tc>
      </w:tr>
      <w:tr>
        <w:trPr>
          <w:trHeight w:val="263"/>
        </w:trPr>
        <w:tc>
          <w:tcPr>
            <w:tcW w:w="2540" w:type="dxa"/>
            <w:vAlign w:val="bottom"/>
          </w:tcPr>
          <w:p>
            <w:pPr>
              <w:spacing w:after="0"/>
              <w:rPr>
                <w:sz w:val="22"/>
                <w:szCs w:val="22"/>
                <w:color w:val="auto"/>
              </w:rPr>
            </w:pPr>
          </w:p>
        </w:tc>
        <w:tc>
          <w:tcPr>
            <w:tcW w:w="5140" w:type="dxa"/>
            <w:vAlign w:val="bottom"/>
          </w:tcPr>
          <w:p>
            <w:pPr>
              <w:jc w:val="right"/>
              <w:ind w:right="2884"/>
              <w:spacing w:after="0"/>
              <w:rPr>
                <w:sz w:val="20"/>
                <w:szCs w:val="20"/>
                <w:color w:val="auto"/>
              </w:rPr>
            </w:pPr>
            <w:r>
              <w:rPr>
                <w:rFonts w:ascii="Arial" w:cs="Arial" w:eastAsia="Arial" w:hAnsi="Arial"/>
                <w:sz w:val="16"/>
                <w:szCs w:val="16"/>
                <w:b w:val="1"/>
                <w:bCs w:val="1"/>
                <w:color w:val="auto"/>
              </w:rPr>
              <w:t>(212) 277-7100</w:t>
            </w:r>
          </w:p>
        </w:tc>
      </w:tr>
      <w:tr>
        <w:trPr>
          <w:trHeight w:val="210"/>
        </w:trPr>
        <w:tc>
          <w:tcPr>
            <w:tcW w:w="2540" w:type="dxa"/>
            <w:vAlign w:val="bottom"/>
          </w:tcPr>
          <w:p>
            <w:pPr>
              <w:spacing w:after="0"/>
              <w:rPr>
                <w:sz w:val="18"/>
                <w:szCs w:val="18"/>
                <w:color w:val="auto"/>
              </w:rPr>
            </w:pPr>
          </w:p>
        </w:tc>
        <w:tc>
          <w:tcPr>
            <w:tcW w:w="5140" w:type="dxa"/>
            <w:vAlign w:val="bottom"/>
          </w:tcPr>
          <w:p>
            <w:pPr>
              <w:jc w:val="center"/>
              <w:ind w:right="1724"/>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ind w:left="320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52" w:lineRule="exact"/>
        <w:rPr>
          <w:sz w:val="24"/>
          <w:szCs w:val="24"/>
          <w:color w:val="auto"/>
        </w:rPr>
      </w:pPr>
    </w:p>
    <w:p>
      <w:pPr>
        <w:jc w:val="both"/>
        <w:ind w:right="5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0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firstLine="324"/>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73" w:lineRule="exact"/>
        <w:rPr>
          <w:sz w:val="24"/>
          <w:szCs w:val="24"/>
          <w:color w:val="auto"/>
        </w:rPr>
      </w:pPr>
    </w:p>
    <w:p>
      <w:pPr>
        <w:jc w:val="both"/>
        <w:ind w:right="44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40" w:right="252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30, 2018, there were 34,256,695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ITEM</w:t>
            </w:r>
          </w:p>
        </w:tc>
        <w:tc>
          <w:tcPr>
            <w:tcW w:w="2060" w:type="dxa"/>
            <w:vAlign w:val="bottom"/>
            <w:gridSpan w:val="9"/>
            <w:vMerge w:val="restart"/>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 Financial Information</w:t>
              </w:r>
            </w:hyperlink>
          </w:p>
        </w:tc>
        <w:tc>
          <w:tcPr>
            <w:tcW w:w="7140" w:type="dxa"/>
            <w:vAlign w:val="bottom"/>
            <w:gridSpan w:val="13"/>
            <w:vMerge w:val="restart"/>
          </w:tcPr>
          <w:p>
            <w:pPr>
              <w:spacing w:after="0"/>
              <w:rPr>
                <w:sz w:val="19"/>
                <w:szCs w:val="19"/>
                <w:color w:val="auto"/>
              </w:rPr>
            </w:pPr>
          </w:p>
        </w:tc>
        <w:tc>
          <w:tcPr>
            <w:tcW w:w="660" w:type="dxa"/>
            <w:vAlign w:val="bottom"/>
            <w:vMerge w:val="restart"/>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60" w:type="dxa"/>
            <w:vAlign w:val="bottom"/>
            <w:tcBorders>
              <w:bottom w:val="single" w:sz="8" w:color="0000EE"/>
            </w:tcBorders>
            <w:gridSpan w:val="9"/>
            <w:vMerge w:val="continue"/>
          </w:tcPr>
          <w:p>
            <w:pPr>
              <w:spacing w:after="0"/>
              <w:rPr>
                <w:sz w:val="21"/>
                <w:szCs w:val="21"/>
                <w:color w:val="auto"/>
              </w:rPr>
            </w:pPr>
          </w:p>
        </w:tc>
        <w:tc>
          <w:tcPr>
            <w:tcW w:w="7140" w:type="dxa"/>
            <w:vAlign w:val="bottom"/>
            <w:gridSpan w:val="13"/>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2018 (Unaudited) and December 31, 2017</w:t>
              </w:r>
            </w:hyperlink>
          </w:p>
        </w:tc>
        <w:tc>
          <w:tcPr>
            <w:tcW w:w="660" w:type="dxa"/>
            <w:vAlign w:val="bottom"/>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1"/>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Income (Unaudited) for the Three months and Nine months ended September 30, 2018 and</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gridSpan w:val="2"/>
          </w:tcPr>
          <w:p>
            <w:pPr>
              <w:ind w:left="240"/>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ind w:lef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Comprehensive (Loss)/Income (Unaudited) for the Three months and Nine months ended</w:t>
              </w:r>
            </w:hyperlink>
          </w:p>
        </w:tc>
        <w:tc>
          <w:tcPr>
            <w:tcW w:w="48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2018 and 2017</w:t>
              </w:r>
            </w:hyperlink>
          </w:p>
        </w:tc>
        <w:tc>
          <w:tcPr>
            <w:tcW w:w="6800" w:type="dxa"/>
            <w:vAlign w:val="bottom"/>
            <w:gridSpan w:val="10"/>
          </w:tcPr>
          <w:p>
            <w:pPr>
              <w:spacing w:after="0"/>
              <w:rPr>
                <w:sz w:val="17"/>
                <w:szCs w:val="17"/>
                <w:color w:val="auto"/>
              </w:rPr>
            </w:pPr>
          </w:p>
        </w:tc>
        <w:tc>
          <w:tcPr>
            <w:tcW w:w="660" w:type="dxa"/>
            <w:vAlign w:val="bottom"/>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Equity (Unaudited) for the Nine months ended September 30, 2018 and 2017</w:t>
              </w:r>
            </w:hyperlink>
          </w:p>
        </w:tc>
        <w:tc>
          <w:tcPr>
            <w:tcW w:w="660" w:type="dxa"/>
            <w:vAlign w:val="bottom"/>
          </w:tcPr>
          <w:p>
            <w:pPr>
              <w:ind w:lef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Nine months ended September 30, 2018 and 2017</w:t>
              </w:r>
            </w:hyperlink>
          </w:p>
        </w:tc>
        <w:tc>
          <w:tcPr>
            <w:tcW w:w="660" w:type="dxa"/>
            <w:vAlign w:val="bottom"/>
          </w:tcPr>
          <w:p>
            <w:pPr>
              <w:ind w:lef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940" w:type="dxa"/>
            <w:vAlign w:val="bottom"/>
            <w:tcBorders>
              <w:top w:val="single" w:sz="8" w:color="0000EE"/>
            </w:tcBorders>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020" w:type="dxa"/>
            <w:vAlign w:val="bottom"/>
            <w:gridSpan w:val="3"/>
          </w:tcPr>
          <w:p>
            <w:pPr>
              <w:spacing w:after="0"/>
              <w:rPr>
                <w:sz w:val="21"/>
                <w:szCs w:val="21"/>
                <w:color w:val="auto"/>
              </w:rPr>
            </w:pPr>
          </w:p>
        </w:tc>
        <w:tc>
          <w:tcPr>
            <w:tcW w:w="660" w:type="dxa"/>
            <w:vAlign w:val="bottom"/>
          </w:tcPr>
          <w:p>
            <w:pPr>
              <w:ind w:lef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gridSpan w:val="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Quantitative and Qualitative Disclosures About Market Risk</w:t>
              </w:r>
            </w:hyperlink>
          </w:p>
        </w:tc>
        <w:tc>
          <w:tcPr>
            <w:tcW w:w="4840" w:type="dxa"/>
            <w:vAlign w:val="bottom"/>
            <w:gridSpan w:val="7"/>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Controls and Procedures</w:t>
              </w:r>
            </w:hyperlink>
          </w:p>
        </w:tc>
        <w:tc>
          <w:tcPr>
            <w:tcW w:w="7420" w:type="dxa"/>
            <w:vAlign w:val="bottom"/>
            <w:gridSpan w:val="15"/>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Part II. Other Information</w:t>
              </w:r>
            </w:hyperlink>
          </w:p>
        </w:tc>
        <w:tc>
          <w:tcPr>
            <w:tcW w:w="7340" w:type="dxa"/>
            <w:vAlign w:val="bottom"/>
            <w:gridSpan w:val="14"/>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660" w:type="dxa"/>
            <w:vAlign w:val="bottom"/>
          </w:tcPr>
          <w:p>
            <w:pPr>
              <w:ind w:lef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sz w:val="20"/>
                <w:szCs w:val="20"/>
                <w:color w:val="auto"/>
              </w:rPr>
            </w:pPr>
            <w:r>
              <w:rPr>
                <w:rFonts w:ascii="Arial" w:cs="Arial" w:eastAsia="Arial" w:hAnsi="Arial"/>
                <w:sz w:val="18"/>
                <w:szCs w:val="18"/>
                <w:color w:val="auto"/>
              </w:rPr>
              <w:t>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7880" w:type="dxa"/>
            <w:vAlign w:val="bottom"/>
            <w:gridSpan w:val="17"/>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660" w:type="dxa"/>
            <w:vAlign w:val="bottom"/>
          </w:tcPr>
          <w:p>
            <w:pPr>
              <w:ind w:lef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4860" w:type="dxa"/>
            <w:vAlign w:val="bottom"/>
            <w:gridSpan w:val="8"/>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9200" w:type="dxa"/>
            <w:vAlign w:val="bottom"/>
            <w:gridSpan w:val="2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660" w:type="dxa"/>
            <w:vAlign w:val="bottom"/>
          </w:tcPr>
          <w:p>
            <w:pPr>
              <w:ind w:lef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24"/>
                <w:szCs w:val="24"/>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7440" w:type="dxa"/>
            <w:vAlign w:val="bottom"/>
            <w:gridSpan w:val="16"/>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7900" w:type="dxa"/>
            <w:vAlign w:val="bottom"/>
            <w:gridSpan w:val="18"/>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ind w:lef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13"/>
          </w:tcPr>
          <w:p>
            <w:pPr>
              <w:ind w:left="4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7"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5"/>
                <w:szCs w:val="15"/>
                <w:b w:val="1"/>
                <w:bCs w:val="1"/>
                <w:color w:val="auto"/>
                <w:w w:val="79"/>
              </w:rPr>
              <w:t>As of</w:t>
            </w: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w w:val="91"/>
              </w:rPr>
              <w:t>September 30, 2018</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w w:val="91"/>
              </w:rPr>
              <w:t>December 31, 2017</w:t>
            </w: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306"/>
              <w:spacing w:after="0"/>
              <w:rPr>
                <w:sz w:val="20"/>
                <w:szCs w:val="20"/>
                <w:color w:val="auto"/>
              </w:rPr>
            </w:pPr>
            <w:r>
              <w:rPr>
                <w:rFonts w:ascii="Arial" w:cs="Arial" w:eastAsia="Arial" w:hAnsi="Arial"/>
                <w:sz w:val="15"/>
                <w:szCs w:val="15"/>
                <w:b w:val="1"/>
                <w:bCs w:val="1"/>
                <w:color w:val="auto"/>
              </w:rPr>
              <w:t>(Unaudited)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18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w w:val="95"/>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97,636</w:t>
            </w:r>
          </w:p>
        </w:tc>
        <w:tc>
          <w:tcPr>
            <w:tcW w:w="4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5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86,795</w:t>
            </w: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400" w:type="dxa"/>
            <w:vAlign w:val="bottom"/>
            <w:gridSpan w:val="3"/>
            <w:vMerge w:val="continue"/>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18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144,878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vMerge w:val="restart"/>
          </w:tcPr>
          <w:p>
            <w:pPr>
              <w:jc w:val="right"/>
              <w:ind w:right="26"/>
              <w:spacing w:after="0"/>
              <w:rPr>
                <w:sz w:val="20"/>
                <w:szCs w:val="20"/>
                <w:color w:val="auto"/>
              </w:rPr>
            </w:pPr>
            <w:r>
              <w:rPr>
                <w:rFonts w:ascii="Arial" w:cs="Arial" w:eastAsia="Arial" w:hAnsi="Arial"/>
                <w:sz w:val="15"/>
                <w:szCs w:val="15"/>
                <w:color w:val="auto"/>
              </w:rPr>
              <w:t>178,479</w:t>
            </w:r>
          </w:p>
        </w:tc>
        <w:tc>
          <w:tcPr>
            <w:tcW w:w="0" w:type="dxa"/>
            <w:vAlign w:val="bottom"/>
          </w:tcPr>
          <w:p>
            <w:pPr>
              <w:spacing w:after="0"/>
              <w:rPr>
                <w:sz w:val="1"/>
                <w:szCs w:val="1"/>
                <w:color w:val="auto"/>
              </w:rPr>
            </w:pPr>
          </w:p>
        </w:tc>
      </w:tr>
      <w:tr>
        <w:trPr>
          <w:trHeight w:val="59"/>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w:t>
            </w:r>
          </w:p>
        </w:tc>
        <w:tc>
          <w:tcPr>
            <w:tcW w:w="1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3,674</w:t>
            </w: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18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164,307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vMerge w:val="restart"/>
          </w:tcPr>
          <w:p>
            <w:pPr>
              <w:jc w:val="right"/>
              <w:ind w:right="26"/>
              <w:spacing w:after="0"/>
              <w:rPr>
                <w:sz w:val="20"/>
                <w:szCs w:val="20"/>
                <w:color w:val="auto"/>
              </w:rPr>
            </w:pPr>
            <w:r>
              <w:rPr>
                <w:rFonts w:ascii="Arial" w:cs="Arial" w:eastAsia="Arial" w:hAnsi="Arial"/>
                <w:sz w:val="15"/>
                <w:szCs w:val="15"/>
                <w:color w:val="auto"/>
              </w:rPr>
              <w:t>135,705</w:t>
            </w:r>
          </w:p>
        </w:tc>
        <w:tc>
          <w:tcPr>
            <w:tcW w:w="0" w:type="dxa"/>
            <w:vAlign w:val="bottom"/>
          </w:tcPr>
          <w:p>
            <w:pPr>
              <w:spacing w:after="0"/>
              <w:rPr>
                <w:sz w:val="1"/>
                <w:szCs w:val="1"/>
                <w:color w:val="auto"/>
              </w:rPr>
            </w:pPr>
          </w:p>
        </w:tc>
      </w:tr>
      <w:tr>
        <w:trPr>
          <w:trHeight w:val="59"/>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w:t>
            </w:r>
          </w:p>
        </w:tc>
        <w:tc>
          <w:tcPr>
            <w:tcW w:w="1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9,781</w:t>
            </w: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380"/>
              <w:spacing w:after="0"/>
              <w:rPr>
                <w:sz w:val="20"/>
                <w:szCs w:val="20"/>
                <w:color w:val="auto"/>
              </w:rPr>
            </w:pPr>
            <w:r>
              <w:rPr>
                <w:rFonts w:ascii="Arial" w:cs="Arial" w:eastAsia="Arial" w:hAnsi="Arial"/>
                <w:sz w:val="15"/>
                <w:szCs w:val="15"/>
                <w:color w:val="auto"/>
              </w:rPr>
              <w:t>Advance income tax, net</w:t>
            </w:r>
          </w:p>
        </w:tc>
        <w:tc>
          <w:tcPr>
            <w:tcW w:w="18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7,700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vMerge w:val="restart"/>
          </w:tcPr>
          <w:p>
            <w:pPr>
              <w:jc w:val="right"/>
              <w:ind w:right="26"/>
              <w:spacing w:after="0"/>
              <w:rPr>
                <w:sz w:val="20"/>
                <w:szCs w:val="20"/>
                <w:color w:val="auto"/>
              </w:rPr>
            </w:pPr>
            <w:r>
              <w:rPr>
                <w:rFonts w:ascii="Arial" w:cs="Arial" w:eastAsia="Arial" w:hAnsi="Arial"/>
                <w:sz w:val="15"/>
                <w:szCs w:val="15"/>
                <w:color w:val="auto"/>
              </w:rPr>
              <w:t>8,801</w:t>
            </w:r>
          </w:p>
        </w:tc>
        <w:tc>
          <w:tcPr>
            <w:tcW w:w="0" w:type="dxa"/>
            <w:vAlign w:val="bottom"/>
          </w:tcPr>
          <w:p>
            <w:pPr>
              <w:spacing w:after="0"/>
              <w:rPr>
                <w:sz w:val="1"/>
                <w:szCs w:val="1"/>
                <w:color w:val="auto"/>
              </w:rPr>
            </w:pPr>
          </w:p>
        </w:tc>
      </w:tr>
      <w:tr>
        <w:trPr>
          <w:trHeight w:val="59"/>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current assets</w:t>
            </w:r>
          </w:p>
        </w:tc>
        <w:tc>
          <w:tcPr>
            <w:tcW w:w="1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24,302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29,582</w:t>
            </w: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18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453,827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452,817</w:t>
            </w:r>
          </w:p>
        </w:tc>
        <w:tc>
          <w:tcPr>
            <w:tcW w:w="0" w:type="dxa"/>
            <w:vAlign w:val="bottom"/>
          </w:tcPr>
          <w:p>
            <w:pPr>
              <w:spacing w:after="0"/>
              <w:rPr>
                <w:sz w:val="1"/>
                <w:szCs w:val="1"/>
                <w:color w:val="auto"/>
              </w:rPr>
            </w:pPr>
          </w:p>
        </w:tc>
      </w:tr>
      <w:tr>
        <w:trPr>
          <w:trHeight w:val="59"/>
        </w:trPr>
        <w:tc>
          <w:tcPr>
            <w:tcW w:w="78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18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67,675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66,757</w:t>
            </w: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18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3,499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vMerge w:val="restart"/>
          </w:tcPr>
          <w:p>
            <w:pPr>
              <w:jc w:val="right"/>
              <w:ind w:right="26"/>
              <w:spacing w:after="0"/>
              <w:rPr>
                <w:sz w:val="20"/>
                <w:szCs w:val="20"/>
                <w:color w:val="auto"/>
              </w:rPr>
            </w:pPr>
            <w:r>
              <w:rPr>
                <w:rFonts w:ascii="Arial" w:cs="Arial" w:eastAsia="Arial" w:hAnsi="Arial"/>
                <w:sz w:val="15"/>
                <w:szCs w:val="15"/>
                <w:color w:val="auto"/>
              </w:rPr>
              <w:t>3,808</w:t>
            </w:r>
          </w:p>
        </w:tc>
        <w:tc>
          <w:tcPr>
            <w:tcW w:w="0" w:type="dxa"/>
            <w:vAlign w:val="bottom"/>
          </w:tcPr>
          <w:p>
            <w:pPr>
              <w:spacing w:after="0"/>
              <w:rPr>
                <w:sz w:val="1"/>
                <w:szCs w:val="1"/>
                <w:color w:val="auto"/>
              </w:rPr>
            </w:pPr>
          </w:p>
        </w:tc>
      </w:tr>
      <w:tr>
        <w:trPr>
          <w:trHeight w:val="59"/>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assets</w:t>
            </w:r>
          </w:p>
        </w:tc>
        <w:tc>
          <w:tcPr>
            <w:tcW w:w="1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8,585</w:t>
            </w: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18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114,799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vMerge w:val="restart"/>
          </w:tcPr>
          <w:p>
            <w:pPr>
              <w:jc w:val="right"/>
              <w:ind w:right="26"/>
              <w:spacing w:after="0"/>
              <w:rPr>
                <w:sz w:val="20"/>
                <w:szCs w:val="20"/>
                <w:color w:val="auto"/>
              </w:rPr>
            </w:pPr>
            <w:r>
              <w:rPr>
                <w:rFonts w:ascii="Arial" w:cs="Arial" w:eastAsia="Arial" w:hAnsi="Arial"/>
                <w:sz w:val="15"/>
                <w:szCs w:val="15"/>
                <w:color w:val="auto"/>
              </w:rPr>
              <w:t>48,958</w:t>
            </w:r>
          </w:p>
        </w:tc>
        <w:tc>
          <w:tcPr>
            <w:tcW w:w="0" w:type="dxa"/>
            <w:vAlign w:val="bottom"/>
          </w:tcPr>
          <w:p>
            <w:pPr>
              <w:spacing w:after="0"/>
              <w:rPr>
                <w:sz w:val="1"/>
                <w:szCs w:val="1"/>
                <w:color w:val="auto"/>
              </w:rPr>
            </w:pPr>
          </w:p>
        </w:tc>
      </w:tr>
      <w:tr>
        <w:trPr>
          <w:trHeight w:val="59"/>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1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357,533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204,481</w:t>
            </w: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32,779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vMerge w:val="restart"/>
          </w:tcPr>
          <w:p>
            <w:pPr>
              <w:jc w:val="right"/>
              <w:ind w:right="26"/>
              <w:spacing w:after="0"/>
              <w:rPr>
                <w:sz w:val="20"/>
                <w:szCs w:val="20"/>
                <w:color w:val="auto"/>
              </w:rPr>
            </w:pPr>
            <w:r>
              <w:rPr>
                <w:rFonts w:ascii="Arial" w:cs="Arial" w:eastAsia="Arial" w:hAnsi="Arial"/>
                <w:sz w:val="15"/>
                <w:szCs w:val="15"/>
                <w:color w:val="auto"/>
              </w:rPr>
              <w:t>36,369</w:t>
            </w:r>
          </w:p>
        </w:tc>
        <w:tc>
          <w:tcPr>
            <w:tcW w:w="0" w:type="dxa"/>
            <w:vAlign w:val="bottom"/>
          </w:tcPr>
          <w:p>
            <w:pPr>
              <w:spacing w:after="0"/>
              <w:rPr>
                <w:sz w:val="1"/>
                <w:szCs w:val="1"/>
                <w:color w:val="auto"/>
              </w:rPr>
            </w:pPr>
          </w:p>
        </w:tc>
      </w:tr>
      <w:tr>
        <w:trPr>
          <w:trHeight w:val="59"/>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in equity affiliate</w:t>
            </w:r>
          </w:p>
        </w:tc>
        <w:tc>
          <w:tcPr>
            <w:tcW w:w="1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786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180" w:type="dxa"/>
            <w:vAlign w:val="bottom"/>
          </w:tcPr>
          <w:p>
            <w:pPr>
              <w:jc w:val="right"/>
              <w:ind w:right="6"/>
              <w:spacing w:after="0"/>
              <w:rPr>
                <w:sz w:val="20"/>
                <w:szCs w:val="20"/>
                <w:color w:val="auto"/>
              </w:rPr>
            </w:pPr>
            <w:r>
              <w:rPr>
                <w:rFonts w:ascii="Arial" w:cs="Arial" w:eastAsia="Arial" w:hAnsi="Arial"/>
                <w:sz w:val="15"/>
                <w:szCs w:val="15"/>
                <w:b w:val="1"/>
                <w:bCs w:val="1"/>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1,045,137</w:t>
            </w:r>
          </w:p>
        </w:tc>
        <w:tc>
          <w:tcPr>
            <w:tcW w:w="40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w:t>
            </w:r>
          </w:p>
        </w:tc>
        <w:tc>
          <w:tcPr>
            <w:tcW w:w="1500" w:type="dxa"/>
            <w:vAlign w:val="bottom"/>
          </w:tcPr>
          <w:p>
            <w:pPr>
              <w:jc w:val="right"/>
              <w:ind w:right="26"/>
              <w:spacing w:after="0"/>
              <w:rPr>
                <w:sz w:val="20"/>
                <w:szCs w:val="20"/>
                <w:color w:val="auto"/>
              </w:rPr>
            </w:pPr>
            <w:r>
              <w:rPr>
                <w:rFonts w:ascii="Arial" w:cs="Arial" w:eastAsia="Arial" w:hAnsi="Arial"/>
                <w:sz w:val="15"/>
                <w:szCs w:val="15"/>
                <w:b w:val="1"/>
                <w:bCs w:val="1"/>
                <w:color w:val="auto"/>
              </w:rPr>
              <w:t>824,775</w:t>
            </w:r>
          </w:p>
        </w:tc>
        <w:tc>
          <w:tcPr>
            <w:tcW w:w="0" w:type="dxa"/>
            <w:vAlign w:val="bottom"/>
          </w:tcPr>
          <w:p>
            <w:pPr>
              <w:spacing w:after="0"/>
              <w:rPr>
                <w:sz w:val="1"/>
                <w:szCs w:val="1"/>
                <w:color w:val="auto"/>
              </w:rPr>
            </w:pPr>
          </w:p>
        </w:tc>
      </w:tr>
      <w:tr>
        <w:trPr>
          <w:trHeight w:val="165"/>
        </w:trPr>
        <w:tc>
          <w:tcPr>
            <w:tcW w:w="7860" w:type="dxa"/>
            <w:vAlign w:val="bottom"/>
            <w:tcBorders>
              <w:top w:val="single" w:sz="8" w:color="CCEEFF"/>
            </w:tcBorders>
            <w:shd w:val="clear" w:color="auto" w:fill="CCEEFF"/>
          </w:tcPr>
          <w:p>
            <w:pPr>
              <w:ind w:left="20"/>
              <w:spacing w:after="0" w:line="165" w:lineRule="exact"/>
              <w:rPr>
                <w:sz w:val="20"/>
                <w:szCs w:val="20"/>
                <w:color w:val="auto"/>
              </w:rPr>
            </w:pPr>
            <w:r>
              <w:rPr>
                <w:rFonts w:ascii="Arial" w:cs="Arial" w:eastAsia="Arial" w:hAnsi="Arial"/>
                <w:sz w:val="15"/>
                <w:szCs w:val="15"/>
                <w:b w:val="1"/>
                <w:bCs w:val="1"/>
                <w:color w:val="auto"/>
              </w:rPr>
              <w:t>Liabilities and equity</w:t>
            </w:r>
          </w:p>
        </w:tc>
        <w:tc>
          <w:tcPr>
            <w:tcW w:w="18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40640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337" w:right="259" w:bottom="17" w:gutter="0" w:footer="0" w:header="0"/>
        </w:sectPr>
      </w:pPr>
    </w:p>
    <w:p>
      <w:pPr>
        <w:spacing w:after="0" w:line="8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Accounts payable</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Current portion of long-term borrowings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Deferred revenue</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Accrued employee costs</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Accrued expenses and other current liabilities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Current portion of capital lease obligations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Total current liabilities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5"/>
          <w:szCs w:val="15"/>
          <w:color w:val="auto"/>
        </w:rPr>
        <w:t>Long term borrowings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Capital lease obligations, less current portion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Income taxes payable</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Deferred tax liabilities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non-current liabilities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Total liabilities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 (Refer to Note 25)</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jc w:val="right"/>
              <w:ind w:right="446"/>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4,310</w:t>
            </w:r>
          </w:p>
        </w:tc>
        <w:tc>
          <w:tcPr>
            <w:tcW w:w="100" w:type="dxa"/>
            <w:vAlign w:val="bottom"/>
          </w:tcPr>
          <w:p>
            <w:pPr>
              <w:spacing w:after="0"/>
              <w:rPr>
                <w:sz w:val="16"/>
                <w:szCs w:val="16"/>
                <w:color w:val="auto"/>
              </w:rPr>
            </w:pPr>
          </w:p>
        </w:tc>
        <w:tc>
          <w:tcPr>
            <w:tcW w:w="600" w:type="dxa"/>
            <w:vAlign w:val="bottom"/>
          </w:tcPr>
          <w:p>
            <w:pPr>
              <w:jc w:val="right"/>
              <w:ind w:right="42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5,918</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12,318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10,318</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7,600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10,716</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46,638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55,664</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67,084</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61,366</w:t>
            </w:r>
          </w:p>
        </w:tc>
        <w:tc>
          <w:tcPr>
            <w:tcW w:w="0" w:type="dxa"/>
            <w:vAlign w:val="bottom"/>
          </w:tcPr>
          <w:p>
            <w:pPr>
              <w:spacing w:after="0"/>
              <w:rPr>
                <w:sz w:val="1"/>
                <w:szCs w:val="1"/>
                <w:color w:val="auto"/>
              </w:rPr>
            </w:pPr>
          </w:p>
        </w:tc>
      </w:tr>
      <w:tr>
        <w:trPr>
          <w:trHeight w:val="275"/>
        </w:trPr>
        <w:tc>
          <w:tcPr>
            <w:tcW w:w="6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221</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250"/>
        </w:trPr>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138,171</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144,249</w:t>
            </w:r>
          </w:p>
        </w:tc>
        <w:tc>
          <w:tcPr>
            <w:tcW w:w="0" w:type="dxa"/>
            <w:vAlign w:val="bottom"/>
          </w:tcPr>
          <w:p>
            <w:pPr>
              <w:spacing w:after="0"/>
              <w:rPr>
                <w:sz w:val="1"/>
                <w:szCs w:val="1"/>
                <w:color w:val="auto"/>
              </w:rPr>
            </w:pPr>
          </w:p>
        </w:tc>
      </w:tr>
      <w:tr>
        <w:trPr>
          <w:trHeight w:val="245"/>
        </w:trPr>
        <w:tc>
          <w:tcPr>
            <w:tcW w:w="620" w:type="dxa"/>
            <w:vAlign w:val="bottom"/>
          </w:tcPr>
          <w:p>
            <w:pPr>
              <w:spacing w:after="0"/>
              <w:rPr>
                <w:sz w:val="21"/>
                <w:szCs w:val="21"/>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288,309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50,391</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261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8,721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vMerge w:val="restart"/>
          </w:tcPr>
          <w:p>
            <w:pPr>
              <w:jc w:val="right"/>
              <w:ind w:right="26"/>
              <w:spacing w:after="0"/>
              <w:rPr>
                <w:sz w:val="20"/>
                <w:szCs w:val="20"/>
                <w:color w:val="auto"/>
              </w:rPr>
            </w:pPr>
            <w:r>
              <w:rPr>
                <w:rFonts w:ascii="Arial" w:cs="Arial" w:eastAsia="Arial" w:hAnsi="Arial"/>
                <w:sz w:val="15"/>
                <w:szCs w:val="15"/>
                <w:color w:val="auto"/>
              </w:rPr>
              <w:t>13,557</w:t>
            </w: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13,352</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6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21,875</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16,202</w:t>
            </w:r>
          </w:p>
        </w:tc>
        <w:tc>
          <w:tcPr>
            <w:tcW w:w="0" w:type="dxa"/>
            <w:vAlign w:val="bottom"/>
          </w:tcPr>
          <w:p>
            <w:pPr>
              <w:spacing w:after="0"/>
              <w:rPr>
                <w:sz w:val="1"/>
                <w:szCs w:val="1"/>
                <w:color w:val="auto"/>
              </w:rPr>
            </w:pPr>
          </w:p>
        </w:tc>
      </w:tr>
      <w:tr>
        <w:trPr>
          <w:trHeight w:val="250"/>
        </w:trPr>
        <w:tc>
          <w:tcPr>
            <w:tcW w:w="6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470,689</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224,730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-1894840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-1551305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-1208405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-865505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-522605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-4989195</wp:posOffset>
            </wp:positionH>
            <wp:positionV relativeFrom="paragraph">
              <wp:posOffset>-179705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56" w:lineRule="exact"/>
        <w:rPr>
          <w:sz w:val="20"/>
          <w:szCs w:val="20"/>
          <w:color w:val="auto"/>
        </w:rPr>
      </w:pPr>
    </w:p>
    <w:p>
      <w:pPr>
        <w:sectPr>
          <w:pgSz w:w="11900" w:h="16838" w:orient="portrait"/>
          <w:cols w:equalWidth="0" w:num="2">
            <w:col w:w="7160" w:space="720"/>
            <w:col w:w="3520"/>
          </w:cols>
          <w:pgMar w:left="240" w:top="337" w:right="259" w:bottom="17" w:gutter="0" w:footer="0" w:header="0"/>
          <w:type w:val="continuous"/>
        </w:sectPr>
      </w:pPr>
    </w:p>
    <w:tbl>
      <w:tblPr>
        <w:tblLayout w:type="fixed"/>
        <w:tblInd w:w="20" w:type="dxa"/>
        <w:tblCellMar>
          <w:top w:w="0" w:type="dxa"/>
          <w:left w:w="0" w:type="dxa"/>
          <w:bottom w:w="0" w:type="dxa"/>
          <w:right w:w="0" w:type="dxa"/>
        </w:tblCellMar>
      </w:tblPr>
      <w:tr>
        <w:trPr>
          <w:trHeight w:val="208"/>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5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3"/>
        </w:trPr>
        <w:tc>
          <w:tcPr>
            <w:tcW w:w="78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20"/>
              <w:spacing w:after="0"/>
              <w:rPr>
                <w:sz w:val="20"/>
                <w:szCs w:val="20"/>
                <w:color w:val="auto"/>
              </w:rPr>
            </w:pPr>
            <w:r>
              <w:rPr>
                <w:rFonts w:ascii="Arial" w:cs="Arial" w:eastAsia="Arial" w:hAnsi="Arial"/>
                <w:sz w:val="15"/>
                <w:szCs w:val="15"/>
                <w:color w:val="auto"/>
              </w:rPr>
              <w:t>ExlService Holdings, Inc. Stockholders’ equity:</w:t>
            </w: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7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96"/>
              </w:rPr>
              <w:t>Common stock, $0.001 par value; 100,000,000 shares authorized, 37,703,974 shares issued and 34,253,291 shares</w:t>
            </w:r>
          </w:p>
        </w:tc>
        <w:tc>
          <w:tcPr>
            <w:tcW w:w="5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860" w:type="dxa"/>
            <w:vAlign w:val="bottom"/>
            <w:shd w:val="clear" w:color="auto" w:fill="CCEEFF"/>
          </w:tcPr>
          <w:p>
            <w:pPr>
              <w:ind w:left="380"/>
              <w:spacing w:after="0" w:line="162" w:lineRule="exact"/>
              <w:rPr>
                <w:sz w:val="20"/>
                <w:szCs w:val="20"/>
                <w:color w:val="auto"/>
              </w:rPr>
            </w:pPr>
            <w:r>
              <w:rPr>
                <w:rFonts w:ascii="Arial" w:cs="Arial" w:eastAsia="Arial" w:hAnsi="Arial"/>
                <w:sz w:val="15"/>
                <w:szCs w:val="15"/>
                <w:color w:val="auto"/>
                <w:w w:val="89"/>
              </w:rPr>
              <w:t>outstanding as of September 30, 2018 and 36,790,751 shares issued and 33,888,733 shares outstanding as of December 31,</w:t>
            </w:r>
          </w:p>
        </w:tc>
        <w:tc>
          <w:tcPr>
            <w:tcW w:w="5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2017</w:t>
            </w: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6"/>
        </w:trPr>
        <w:tc>
          <w:tcPr>
            <w:tcW w:w="7860" w:type="dxa"/>
            <w:vAlign w:val="bottom"/>
          </w:tcPr>
          <w:p>
            <w:pPr>
              <w:ind w:left="380"/>
              <w:spacing w:after="0"/>
              <w:rPr>
                <w:sz w:val="20"/>
                <w:szCs w:val="20"/>
                <w:color w:val="auto"/>
              </w:rPr>
            </w:pPr>
            <w:r>
              <w:rPr>
                <w:rFonts w:ascii="Arial" w:cs="Arial" w:eastAsia="Arial" w:hAnsi="Arial"/>
                <w:sz w:val="15"/>
                <w:szCs w:val="15"/>
                <w:color w:val="auto"/>
              </w:rPr>
              <w:t>Additional paid-in capital</w:t>
            </w:r>
          </w:p>
        </w:tc>
        <w:tc>
          <w:tcPr>
            <w:tcW w:w="560" w:type="dxa"/>
            <w:vAlign w:val="bottom"/>
          </w:tcPr>
          <w:p>
            <w:pPr>
              <w:spacing w:after="0"/>
              <w:rPr>
                <w:sz w:val="17"/>
                <w:szCs w:val="17"/>
                <w:color w:val="auto"/>
              </w:rPr>
            </w:pPr>
          </w:p>
        </w:tc>
        <w:tc>
          <w:tcPr>
            <w:tcW w:w="1180" w:type="dxa"/>
            <w:vAlign w:val="bottom"/>
            <w:vMerge w:val="restart"/>
          </w:tcPr>
          <w:p>
            <w:pPr>
              <w:jc w:val="right"/>
              <w:ind w:right="66"/>
              <w:spacing w:after="0"/>
              <w:rPr>
                <w:sz w:val="20"/>
                <w:szCs w:val="20"/>
                <w:color w:val="auto"/>
              </w:rPr>
            </w:pPr>
            <w:r>
              <w:rPr>
                <w:rFonts w:ascii="Arial" w:cs="Arial" w:eastAsia="Arial" w:hAnsi="Arial"/>
                <w:sz w:val="15"/>
                <w:szCs w:val="15"/>
                <w:color w:val="auto"/>
              </w:rPr>
              <w:t>344,720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vMerge w:val="restart"/>
          </w:tcPr>
          <w:p>
            <w:pPr>
              <w:jc w:val="right"/>
              <w:ind w:right="26"/>
              <w:spacing w:after="0"/>
              <w:rPr>
                <w:sz w:val="20"/>
                <w:szCs w:val="20"/>
                <w:color w:val="auto"/>
              </w:rPr>
            </w:pPr>
            <w:r>
              <w:rPr>
                <w:rFonts w:ascii="Arial" w:cs="Arial" w:eastAsia="Arial" w:hAnsi="Arial"/>
                <w:sz w:val="15"/>
                <w:szCs w:val="15"/>
                <w:color w:val="auto"/>
              </w:rPr>
              <w:t>322,246</w:t>
            </w:r>
          </w:p>
        </w:tc>
        <w:tc>
          <w:tcPr>
            <w:tcW w:w="0" w:type="dxa"/>
            <w:vAlign w:val="bottom"/>
          </w:tcPr>
          <w:p>
            <w:pPr>
              <w:spacing w:after="0"/>
              <w:rPr>
                <w:sz w:val="1"/>
                <w:szCs w:val="1"/>
                <w:color w:val="auto"/>
              </w:rPr>
            </w:pPr>
          </w:p>
        </w:tc>
      </w:tr>
      <w:tr>
        <w:trPr>
          <w:trHeight w:val="59"/>
        </w:trPr>
        <w:tc>
          <w:tcPr>
            <w:tcW w:w="7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w:t>
            </w:r>
          </w:p>
        </w:tc>
        <w:tc>
          <w:tcPr>
            <w:tcW w:w="5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66"/>
              <w:spacing w:after="0"/>
              <w:rPr>
                <w:sz w:val="20"/>
                <w:szCs w:val="20"/>
                <w:color w:val="auto"/>
              </w:rPr>
            </w:pPr>
            <w:r>
              <w:rPr>
                <w:rFonts w:ascii="Arial" w:cs="Arial" w:eastAsia="Arial" w:hAnsi="Arial"/>
                <w:sz w:val="15"/>
                <w:szCs w:val="15"/>
                <w:color w:val="auto"/>
              </w:rPr>
              <w:t>480,387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rPr>
              <w:t>427,064</w:t>
            </w: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380"/>
              <w:spacing w:after="0"/>
              <w:rPr>
                <w:sz w:val="20"/>
                <w:szCs w:val="20"/>
                <w:color w:val="auto"/>
              </w:rPr>
            </w:pPr>
            <w:r>
              <w:rPr>
                <w:rFonts w:ascii="Arial" w:cs="Arial" w:eastAsia="Arial" w:hAnsi="Arial"/>
                <w:sz w:val="15"/>
                <w:szCs w:val="15"/>
                <w:color w:val="auto"/>
              </w:rPr>
              <w:t>Accumulated other comprehensive loss</w:t>
            </w:r>
          </w:p>
        </w:tc>
        <w:tc>
          <w:tcPr>
            <w:tcW w:w="560" w:type="dxa"/>
            <w:vAlign w:val="bottom"/>
          </w:tcPr>
          <w:p>
            <w:pPr>
              <w:spacing w:after="0"/>
              <w:rPr>
                <w:sz w:val="17"/>
                <w:szCs w:val="17"/>
                <w:color w:val="auto"/>
              </w:rPr>
            </w:pPr>
          </w:p>
        </w:tc>
        <w:tc>
          <w:tcPr>
            <w:tcW w:w="1180" w:type="dxa"/>
            <w:vAlign w:val="bottom"/>
            <w:vMerge w:val="restart"/>
          </w:tcPr>
          <w:p>
            <w:pPr>
              <w:jc w:val="right"/>
              <w:ind w:right="6"/>
              <w:spacing w:after="0"/>
              <w:rPr>
                <w:sz w:val="20"/>
                <w:szCs w:val="20"/>
                <w:color w:val="auto"/>
              </w:rPr>
            </w:pPr>
            <w:r>
              <w:rPr>
                <w:rFonts w:ascii="Arial" w:cs="Arial" w:eastAsia="Arial" w:hAnsi="Arial"/>
                <w:sz w:val="15"/>
                <w:szCs w:val="15"/>
                <w:color w:val="auto"/>
              </w:rPr>
              <w:t>(114,330)</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(45,710)</w:t>
            </w:r>
          </w:p>
        </w:tc>
        <w:tc>
          <w:tcPr>
            <w:tcW w:w="0" w:type="dxa"/>
            <w:vAlign w:val="bottom"/>
          </w:tcPr>
          <w:p>
            <w:pPr>
              <w:spacing w:after="0"/>
              <w:rPr>
                <w:sz w:val="1"/>
                <w:szCs w:val="1"/>
                <w:color w:val="auto"/>
              </w:rPr>
            </w:pPr>
          </w:p>
        </w:tc>
      </w:tr>
      <w:tr>
        <w:trPr>
          <w:trHeight w:val="59"/>
        </w:trPr>
        <w:tc>
          <w:tcPr>
            <w:tcW w:w="786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including shares held in treasury</w:t>
            </w:r>
          </w:p>
        </w:tc>
        <w:tc>
          <w:tcPr>
            <w:tcW w:w="5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710,815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703,637</w:t>
            </w: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color w:val="auto"/>
                <w:w w:val="95"/>
              </w:rPr>
              <w:t>Less: 3,450,683 shares as of September 30, 2018 and 2,902,018 shares as of December 31, 2017, held in treasury, at cost</w:t>
            </w:r>
          </w:p>
        </w:tc>
        <w:tc>
          <w:tcPr>
            <w:tcW w:w="560" w:type="dxa"/>
            <w:vAlign w:val="bottom"/>
          </w:tcPr>
          <w:p>
            <w:pPr>
              <w:spacing w:after="0"/>
              <w:rPr>
                <w:sz w:val="16"/>
                <w:szCs w:val="16"/>
                <w:color w:val="auto"/>
              </w:rPr>
            </w:pPr>
          </w:p>
        </w:tc>
        <w:tc>
          <w:tcPr>
            <w:tcW w:w="1180" w:type="dxa"/>
            <w:vAlign w:val="bottom"/>
            <w:vMerge w:val="restart"/>
          </w:tcPr>
          <w:p>
            <w:pPr>
              <w:jc w:val="right"/>
              <w:ind w:right="6"/>
              <w:spacing w:after="0"/>
              <w:rPr>
                <w:sz w:val="20"/>
                <w:szCs w:val="20"/>
                <w:color w:val="auto"/>
              </w:rPr>
            </w:pPr>
            <w:r>
              <w:rPr>
                <w:rFonts w:ascii="Arial" w:cs="Arial" w:eastAsia="Arial" w:hAnsi="Arial"/>
                <w:sz w:val="15"/>
                <w:szCs w:val="15"/>
                <w:color w:val="auto"/>
              </w:rPr>
              <w:t>(136,609)</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(103,816)</w:t>
            </w:r>
          </w:p>
        </w:tc>
        <w:tc>
          <w:tcPr>
            <w:tcW w:w="0" w:type="dxa"/>
            <w:vAlign w:val="bottom"/>
          </w:tcPr>
          <w:p>
            <w:pPr>
              <w:spacing w:after="0"/>
              <w:rPr>
                <w:sz w:val="1"/>
                <w:szCs w:val="1"/>
                <w:color w:val="auto"/>
              </w:rPr>
            </w:pPr>
          </w:p>
        </w:tc>
      </w:tr>
      <w:tr>
        <w:trPr>
          <w:trHeight w:val="59"/>
        </w:trPr>
        <w:tc>
          <w:tcPr>
            <w:tcW w:w="786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5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574,206</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599,821</w:t>
            </w:r>
          </w:p>
        </w:tc>
        <w:tc>
          <w:tcPr>
            <w:tcW w:w="0" w:type="dxa"/>
            <w:vAlign w:val="bottom"/>
          </w:tcPr>
          <w:p>
            <w:pPr>
              <w:spacing w:after="0"/>
              <w:rPr>
                <w:sz w:val="1"/>
                <w:szCs w:val="1"/>
                <w:color w:val="auto"/>
              </w:rPr>
            </w:pPr>
          </w:p>
        </w:tc>
      </w:tr>
      <w:tr>
        <w:trPr>
          <w:trHeight w:val="64"/>
        </w:trPr>
        <w:tc>
          <w:tcPr>
            <w:tcW w:w="78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Non-controlling interest</w:t>
            </w:r>
          </w:p>
        </w:tc>
        <w:tc>
          <w:tcPr>
            <w:tcW w:w="5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242</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224</w:t>
            </w: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equity</w:t>
            </w:r>
          </w:p>
        </w:tc>
        <w:tc>
          <w:tcPr>
            <w:tcW w:w="5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b w:val="1"/>
                <w:bCs w:val="1"/>
                <w:color w:val="auto"/>
              </w:rPr>
              <w:t>574,448</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600,045</w:t>
            </w:r>
          </w:p>
        </w:tc>
        <w:tc>
          <w:tcPr>
            <w:tcW w:w="0" w:type="dxa"/>
            <w:vAlign w:val="bottom"/>
          </w:tcPr>
          <w:p>
            <w:pPr>
              <w:spacing w:after="0"/>
              <w:rPr>
                <w:sz w:val="1"/>
                <w:szCs w:val="1"/>
                <w:color w:val="auto"/>
              </w:rPr>
            </w:pPr>
          </w:p>
        </w:tc>
      </w:tr>
      <w:tr>
        <w:trPr>
          <w:trHeight w:val="242"/>
        </w:trPr>
        <w:tc>
          <w:tcPr>
            <w:tcW w:w="786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equity</w:t>
            </w:r>
          </w:p>
        </w:tc>
        <w:tc>
          <w:tcPr>
            <w:tcW w:w="560" w:type="dxa"/>
            <w:vAlign w:val="bottom"/>
            <w:tcBorders>
              <w:bottom w:val="single" w:sz="8" w:color="auto"/>
            </w:tcBorders>
          </w:tcPr>
          <w:p>
            <w:pPr>
              <w:jc w:val="right"/>
              <w:ind w:right="386"/>
              <w:spacing w:after="0"/>
              <w:rPr>
                <w:sz w:val="20"/>
                <w:szCs w:val="20"/>
                <w:color w:val="auto"/>
              </w:rPr>
            </w:pPr>
            <w:r>
              <w:rPr>
                <w:rFonts w:ascii="Arial" w:cs="Arial" w:eastAsia="Arial" w:hAnsi="Arial"/>
                <w:sz w:val="15"/>
                <w:szCs w:val="15"/>
                <w:b w:val="1"/>
                <w:bCs w:val="1"/>
                <w:color w:val="auto"/>
                <w:w w:val="95"/>
              </w:rPr>
              <w:t>$</w:t>
            </w: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1,045,137</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824,775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400"/>
          </w:cols>
          <w:pgMar w:left="240" w:top="337" w:right="259" w:bottom="17" w:gutter="0" w:footer="0" w:header="0"/>
          <w:type w:val="continuous"/>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337" w:right="259" w:bottom="17"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32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231,124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564,435</w:t>
            </w:r>
          </w:p>
        </w:tc>
      </w:tr>
      <w:tr>
        <w:trPr>
          <w:trHeight w:val="270"/>
        </w:trPr>
        <w:tc>
          <w:tcPr>
            <w:tcW w:w="51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152,157</w:t>
            </w:r>
          </w:p>
        </w:tc>
        <w:tc>
          <w:tcPr>
            <w:tcW w:w="2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123,077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429,907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365,883</w:t>
            </w:r>
          </w:p>
        </w:tc>
      </w:tr>
      <w:tr>
        <w:trPr>
          <w:trHeight w:val="264"/>
        </w:trPr>
        <w:tc>
          <w:tcPr>
            <w:tcW w:w="51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78,967</w:t>
            </w:r>
          </w:p>
        </w:tc>
        <w:tc>
          <w:tcPr>
            <w:tcW w:w="2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69,268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218,302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198,552</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
        </w:trPr>
        <w:tc>
          <w:tcPr>
            <w:tcW w:w="5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5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75,007</w:t>
            </w:r>
          </w:p>
        </w:tc>
      </w:tr>
      <w:tr>
        <w:trPr>
          <w:trHeight w:val="243"/>
        </w:trPr>
        <w:tc>
          <w:tcPr>
            <w:tcW w:w="5100" w:type="dxa"/>
            <w:vAlign w:val="bottom"/>
          </w:tcPr>
          <w:p>
            <w:pPr>
              <w:ind w:left="700"/>
              <w:spacing w:after="0"/>
              <w:rPr>
                <w:sz w:val="20"/>
                <w:szCs w:val="20"/>
                <w:color w:val="auto"/>
              </w:rPr>
            </w:pPr>
            <w:r>
              <w:rPr>
                <w:rFonts w:ascii="Arial" w:cs="Arial" w:eastAsia="Arial" w:hAnsi="Arial"/>
                <w:sz w:val="18"/>
                <w:szCs w:val="18"/>
                <w:color w:val="auto"/>
              </w:rPr>
              <w:t>Selling and marketing expenses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16,490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45,593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38,631</w:t>
            </w: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14,099</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28,489</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59,293</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48,323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166,388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142,127</w:t>
            </w:r>
          </w:p>
        </w:tc>
      </w:tr>
      <w:tr>
        <w:trPr>
          <w:trHeight w:val="27"/>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19,674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51,914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56,425</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1,905</w:t>
            </w: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8,495</w:t>
            </w:r>
          </w:p>
        </w:tc>
      </w:tr>
      <w:tr>
        <w:trPr>
          <w:trHeight w:val="27"/>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21,050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23,896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59,841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65,445</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7,202</w:t>
            </w: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w w:val="90"/>
              </w:rPr>
              <w:t>Net income attributable to ExlService Holdings, Inc. stockholders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15,249</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21,077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52,869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58,243</w:t>
            </w:r>
          </w:p>
        </w:tc>
      </w:tr>
      <w:tr>
        <w:trPr>
          <w:trHeight w:val="67"/>
        </w:trPr>
        <w:tc>
          <w:tcPr>
            <w:tcW w:w="5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182"/>
        </w:trPr>
        <w:tc>
          <w:tcPr>
            <w:tcW w:w="51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Earnings per share attributable to ExlService Holdings, Inc.</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w w:val="92"/>
              </w:rPr>
              <w:t>Weighted-average number of shares used in computing earnings per</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share attributable to ExlService Holdings, Inc. stockholders: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34,458,520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33,838,374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34,472,232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33,834,392</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35,207,991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35,043,987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35,217,814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35,048,672</w:t>
            </w:r>
          </w:p>
        </w:tc>
      </w:tr>
    </w:tbl>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(1) Exclusive of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5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240" w:top="337" w:right="7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CONSOLIDATED STATEMENTS OF COMPREHENSIVE (LOSS)/INCOME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440" w:type="dxa"/>
            <w:vAlign w:val="bottom"/>
            <w:gridSpan w:val="6"/>
          </w:tcPr>
          <w:p>
            <w:pPr>
              <w:ind w:left="80"/>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Pr>
          <w:p>
            <w:pPr>
              <w:spacing w:after="0"/>
              <w:rPr>
                <w:sz w:val="16"/>
                <w:szCs w:val="16"/>
                <w:color w:val="auto"/>
              </w:rPr>
            </w:pPr>
          </w:p>
        </w:tc>
        <w:tc>
          <w:tcPr>
            <w:tcW w:w="22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63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58,243</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(loss)/income: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Unrealized (loss)/gain on effective cash flow hedges, net of taxes ($3,596), $314,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($7,969) and $3,895,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8,216</w:t>
            </w:r>
          </w:p>
        </w:tc>
      </w:tr>
      <w:tr>
        <w:trPr>
          <w:trHeight w:val="243"/>
        </w:trPr>
        <w:tc>
          <w:tcPr>
            <w:tcW w:w="6360" w:type="dxa"/>
            <w:vAlign w:val="bottom"/>
          </w:tcPr>
          <w:p>
            <w:pPr>
              <w:ind w:left="380"/>
              <w:spacing w:after="0"/>
              <w:rPr>
                <w:sz w:val="20"/>
                <w:szCs w:val="20"/>
                <w:color w:val="auto"/>
              </w:rPr>
            </w:pPr>
            <w:r>
              <w:rPr>
                <w:rFonts w:ascii="Arial" w:cs="Arial" w:eastAsia="Arial" w:hAnsi="Arial"/>
                <w:sz w:val="18"/>
                <w:szCs w:val="18"/>
                <w:color w:val="auto"/>
              </w:rPr>
              <w:t>Foreign currency translation (loss)/gain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10,813</w:t>
            </w:r>
          </w:p>
        </w:tc>
      </w:tr>
      <w:tr>
        <w:trPr>
          <w:trHeight w:val="27"/>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Reclassification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6360" w:type="dxa"/>
            <w:vAlign w:val="bottom"/>
          </w:tcPr>
          <w:p>
            <w:pPr>
              <w:ind w:left="380"/>
              <w:spacing w:after="0"/>
              <w:rPr>
                <w:sz w:val="20"/>
                <w:szCs w:val="20"/>
                <w:color w:val="auto"/>
              </w:rPr>
            </w:pPr>
            <w:r>
              <w:rPr>
                <w:rFonts w:ascii="Arial" w:cs="Arial" w:eastAsia="Arial" w:hAnsi="Arial"/>
                <w:sz w:val="18"/>
                <w:szCs w:val="18"/>
                <w:color w:val="auto"/>
                <w:w w:val="92"/>
              </w:rPr>
              <w:t>Loss/(gain) on cash flow hedges, net of taxes $19, ($604), ($1,183) and ($1,497),</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7"/>
        </w:trPr>
        <w:tc>
          <w:tcPr>
            <w:tcW w:w="6360" w:type="dxa"/>
            <w:vAlign w:val="bottom"/>
          </w:tcPr>
          <w:p>
            <w:pPr>
              <w:ind w:left="380"/>
              <w:spacing w:after="0" w:line="257" w:lineRule="exact"/>
              <w:rPr>
                <w:sz w:val="20"/>
                <w:szCs w:val="20"/>
                <w:color w:val="auto"/>
              </w:rPr>
            </w:pPr>
            <w:r>
              <w:rPr>
                <w:rFonts w:ascii="Arial" w:cs="Arial" w:eastAsia="Arial" w:hAnsi="Arial"/>
                <w:sz w:val="18"/>
                <w:szCs w:val="18"/>
                <w:color w:val="auto"/>
              </w:rPr>
              <w:t>respectively</w:t>
            </w:r>
            <w:r>
              <w:rPr>
                <w:rFonts w:ascii="Arial" w:cs="Arial" w:eastAsia="Arial" w:hAnsi="Arial"/>
                <w:sz w:val="25"/>
                <w:szCs w:val="25"/>
                <w:color w:val="auto"/>
                <w:vertAlign w:val="superscript"/>
              </w:rPr>
              <w:t>(1)</w:t>
            </w: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(3,397)</w:t>
            </w:r>
          </w:p>
        </w:tc>
      </w:tr>
      <w:tr>
        <w:trPr>
          <w:trHeight w:val="270"/>
        </w:trPr>
        <w:tc>
          <w:tcPr>
            <w:tcW w:w="63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Retirement benefits, net of taxes ($4), $30, ($6) and $77, respectively</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Total other comprehensive (loss)/income</w:t>
            </w:r>
          </w:p>
        </w:tc>
        <w:tc>
          <w:tcPr>
            <w:tcW w:w="260" w:type="dxa"/>
            <w:vAlign w:val="bottom"/>
          </w:tcPr>
          <w:p>
            <w:pPr>
              <w:jc w:val="right"/>
              <w:ind w:right="74"/>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(26,709)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(3,839)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(68,620)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15,767</w:t>
            </w:r>
          </w:p>
        </w:tc>
      </w:tr>
      <w:tr>
        <w:trPr>
          <w:trHeight w:val="27"/>
        </w:trPr>
        <w:tc>
          <w:tcPr>
            <w:tcW w:w="6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(loss)/income</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17,238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74,010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40" w:hanging="532"/>
        <w:spacing w:after="0" w:line="255"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either in cost of revenues or operating expenses, as applicable in the unaudited consolidated statements of income. Refer to Note 17 to the unaudited consolidated financial statements.</w:t>
      </w:r>
    </w:p>
    <w:p>
      <w:pPr>
        <w:spacing w:after="0" w:line="1" w:lineRule="exact"/>
        <w:rPr>
          <w:rFonts w:ascii="Arial" w:cs="Arial" w:eastAsia="Arial" w:hAnsi="Arial"/>
          <w:sz w:val="16"/>
          <w:szCs w:val="16"/>
          <w:i w:val="1"/>
          <w:iCs w:val="1"/>
          <w:color w:val="auto"/>
        </w:rPr>
      </w:pPr>
    </w:p>
    <w:p>
      <w:pPr>
        <w:ind w:left="540" w:hanging="532"/>
        <w:spacing w:after="0" w:line="257" w:lineRule="auto"/>
        <w:tabs>
          <w:tab w:leader="none" w:pos="54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other income, net in the unaudited consolidated statements of income. Refer to Note 20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right"/>
        <w:ind w:right="3200"/>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00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77"/>
        </w:trPr>
        <w:tc>
          <w:tcPr>
            <w:tcW w:w="2160" w:type="dxa"/>
            <w:vAlign w:val="bottom"/>
          </w:tcPr>
          <w:p>
            <w:pPr>
              <w:spacing w:after="0"/>
              <w:rPr>
                <w:sz w:val="6"/>
                <w:szCs w:val="6"/>
                <w:color w:val="auto"/>
              </w:rPr>
            </w:pPr>
          </w:p>
        </w:tc>
        <w:tc>
          <w:tcPr>
            <w:tcW w:w="200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6"/>
                <w:szCs w:val="6"/>
                <w:color w:val="auto"/>
              </w:rPr>
            </w:pPr>
          </w:p>
        </w:tc>
        <w:tc>
          <w:tcPr>
            <w:tcW w:w="1100" w:type="dxa"/>
            <w:vAlign w:val="bottom"/>
            <w:vMerge w:val="restart"/>
          </w:tcPr>
          <w:p>
            <w:pPr>
              <w:jc w:val="center"/>
              <w:ind w:right="4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72"/>
        </w:trPr>
        <w:tc>
          <w:tcPr>
            <w:tcW w:w="2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spacing w:after="0" w:line="12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5"/>
                <w:szCs w:val="5"/>
                <w:color w:val="auto"/>
              </w:rPr>
            </w:pPr>
          </w:p>
        </w:tc>
        <w:tc>
          <w:tcPr>
            <w:tcW w:w="1100" w:type="dxa"/>
            <w:vAlign w:val="bottom"/>
            <w:vMerge w:val="restart"/>
          </w:tcPr>
          <w:p>
            <w:pPr>
              <w:jc w:val="center"/>
              <w:ind w:right="68"/>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63"/>
        </w:trPr>
        <w:tc>
          <w:tcPr>
            <w:tcW w:w="216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160" w:type="dxa"/>
            <w:vAlign w:val="bottom"/>
          </w:tcPr>
          <w:p>
            <w:pPr>
              <w:spacing w:after="0"/>
              <w:rPr>
                <w:sz w:val="8"/>
                <w:szCs w:val="8"/>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8"/>
                <w:szCs w:val="8"/>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08"/>
        </w:trPr>
        <w:tc>
          <w:tcPr>
            <w:tcW w:w="2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1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160" w:type="dxa"/>
            <w:vAlign w:val="bottom"/>
          </w:tcPr>
          <w:p>
            <w:pPr>
              <w:spacing w:after="0"/>
              <w:rPr>
                <w:sz w:val="20"/>
                <w:szCs w:val="20"/>
                <w:color w:val="auto"/>
              </w:rPr>
            </w:pPr>
            <w:r>
              <w:rPr>
                <w:rFonts w:ascii="Arial" w:cs="Arial" w:eastAsia="Arial" w:hAnsi="Arial"/>
                <w:sz w:val="14"/>
                <w:szCs w:val="14"/>
                <w:b w:val="1"/>
                <w:bCs w:val="1"/>
                <w:color w:val="auto"/>
                <w:w w:val="97"/>
              </w:rPr>
              <w:t>Balance as of December 31, 2017</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36,790,751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322,246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427,064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(45,710)</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Impact of adoption of Topic 606</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160" w:type="dxa"/>
            <w:vAlign w:val="bottom"/>
          </w:tcPr>
          <w:p>
            <w:pPr>
              <w:spacing w:after="0"/>
              <w:rPr>
                <w:sz w:val="20"/>
                <w:szCs w:val="20"/>
                <w:color w:val="auto"/>
              </w:rPr>
            </w:pPr>
            <w:r>
              <w:rPr>
                <w:rFonts w:ascii="Arial" w:cs="Arial" w:eastAsia="Arial" w:hAnsi="Arial"/>
                <w:sz w:val="14"/>
                <w:szCs w:val="14"/>
                <w:b w:val="1"/>
                <w:bCs w:val="1"/>
                <w:color w:val="auto"/>
              </w:rPr>
              <w:t>Balance as of January 1, 2018</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36,790,751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322,246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427,518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(45,710)</w:t>
            </w:r>
          </w:p>
        </w:tc>
        <w:tc>
          <w:tcPr>
            <w:tcW w:w="0" w:type="dxa"/>
            <w:vAlign w:val="bottom"/>
          </w:tcPr>
          <w:p>
            <w:pPr>
              <w:spacing w:after="0"/>
              <w:rPr>
                <w:sz w:val="1"/>
                <w:szCs w:val="1"/>
                <w:color w:val="auto"/>
              </w:rPr>
            </w:pPr>
          </w:p>
        </w:tc>
      </w:tr>
      <w:tr>
        <w:trPr>
          <w:trHeight w:val="169"/>
        </w:trPr>
        <w:tc>
          <w:tcPr>
            <w:tcW w:w="2160" w:type="dxa"/>
            <w:vAlign w:val="bottom"/>
          </w:tcPr>
          <w:p>
            <w:pPr>
              <w:spacing w:after="0"/>
              <w:rPr>
                <w:sz w:val="20"/>
                <w:szCs w:val="20"/>
                <w:color w:val="auto"/>
              </w:rPr>
            </w:pPr>
            <w:r>
              <w:rPr>
                <w:rFonts w:ascii="Arial" w:cs="Arial" w:eastAsia="Arial" w:hAnsi="Arial"/>
                <w:sz w:val="14"/>
                <w:szCs w:val="14"/>
                <w:color w:val="auto"/>
                <w:w w:val="97"/>
              </w:rPr>
              <w:t>Stock issued on exercise/vesting of</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20"/>
                <w:szCs w:val="20"/>
                <w:color w:val="auto"/>
              </w:rPr>
            </w:pPr>
            <w:r>
              <w:rPr>
                <w:rFonts w:ascii="Arial" w:cs="Arial" w:eastAsia="Arial" w:hAnsi="Arial"/>
                <w:sz w:val="14"/>
                <w:szCs w:val="14"/>
                <w:color w:val="auto"/>
                <w:w w:val="99"/>
              </w:rPr>
              <w:t>equity awards/business acquisition</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913,223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5,163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17,311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Acquisition of treasury stock</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(68,620)</w:t>
            </w:r>
          </w:p>
        </w:tc>
        <w:tc>
          <w:tcPr>
            <w:tcW w:w="0" w:type="dxa"/>
            <w:vAlign w:val="bottom"/>
          </w:tcPr>
          <w:p>
            <w:pPr>
              <w:spacing w:after="0"/>
              <w:rPr>
                <w:sz w:val="1"/>
                <w:szCs w:val="1"/>
                <w:color w:val="auto"/>
              </w:rPr>
            </w:pPr>
          </w:p>
        </w:tc>
      </w:tr>
      <w:tr>
        <w:trPr>
          <w:trHeight w:val="68"/>
        </w:trPr>
        <w:tc>
          <w:tcPr>
            <w:tcW w:w="2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Net income</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52,869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0"/>
                <w:szCs w:val="20"/>
                <w:color w:val="auto"/>
              </w:rPr>
            </w:pPr>
            <w:r>
              <w:rPr>
                <w:rFonts w:ascii="Arial" w:cs="Arial" w:eastAsia="Arial" w:hAnsi="Arial"/>
                <w:sz w:val="14"/>
                <w:szCs w:val="14"/>
                <w:b w:val="1"/>
                <w:bCs w:val="1"/>
                <w:color w:val="auto"/>
                <w:w w:val="95"/>
              </w:rPr>
              <w:t>Balance as of September 30, 2018</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37,703,974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344,720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480,387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(114,330)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-1783080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-1440180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-1045845</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-702310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-359410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4"/>
          </w:tcPr>
          <w:p>
            <w:pPr>
              <w:ind w:left="46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 -</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39"/>
        </w:trPr>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6"/>
              </w:rPr>
              <w:t>Controlling</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2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(2,902,018)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7"/>
              </w:rPr>
              <w:t>$ (103,816)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600,045</w:t>
            </w:r>
          </w:p>
        </w:tc>
        <w:tc>
          <w:tcPr>
            <w:tcW w:w="0" w:type="dxa"/>
            <w:vAlign w:val="bottom"/>
          </w:tcPr>
          <w:p>
            <w:pPr>
              <w:spacing w:after="0"/>
              <w:rPr>
                <w:sz w:val="1"/>
                <w:szCs w:val="1"/>
                <w:color w:val="auto"/>
              </w:rPr>
            </w:pPr>
          </w:p>
        </w:tc>
      </w:tr>
      <w:tr>
        <w:trPr>
          <w:trHeight w:val="276"/>
        </w:trPr>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44"/>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(2,902,018)</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(103,816)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224</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600,499</w:t>
            </w:r>
          </w:p>
        </w:tc>
        <w:tc>
          <w:tcPr>
            <w:tcW w:w="0" w:type="dxa"/>
            <w:vAlign w:val="bottom"/>
          </w:tcPr>
          <w:p>
            <w:pPr>
              <w:spacing w:after="0"/>
              <w:rPr>
                <w:sz w:val="1"/>
                <w:szCs w:val="1"/>
                <w:color w:val="auto"/>
              </w:rPr>
            </w:pPr>
          </w:p>
        </w:tc>
      </w:tr>
      <w:tr>
        <w:trPr>
          <w:trHeight w:val="351"/>
        </w:trPr>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5,164</w:t>
            </w:r>
          </w:p>
        </w:tc>
        <w:tc>
          <w:tcPr>
            <w:tcW w:w="0" w:type="dxa"/>
            <w:vAlign w:val="bottom"/>
          </w:tcPr>
          <w:p>
            <w:pPr>
              <w:spacing w:after="0"/>
              <w:rPr>
                <w:sz w:val="1"/>
                <w:szCs w:val="1"/>
                <w:color w:val="auto"/>
              </w:rPr>
            </w:pPr>
          </w:p>
        </w:tc>
      </w:tr>
      <w:tr>
        <w:trPr>
          <w:trHeight w:val="270"/>
        </w:trPr>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17,311</w:t>
            </w:r>
          </w:p>
        </w:tc>
        <w:tc>
          <w:tcPr>
            <w:tcW w:w="0" w:type="dxa"/>
            <w:vAlign w:val="bottom"/>
          </w:tcPr>
          <w:p>
            <w:pPr>
              <w:spacing w:after="0"/>
              <w:rPr>
                <w:sz w:val="1"/>
                <w:szCs w:val="1"/>
                <w:color w:val="auto"/>
              </w:rPr>
            </w:pPr>
          </w:p>
        </w:tc>
      </w:tr>
      <w:tr>
        <w:trPr>
          <w:trHeight w:val="270"/>
        </w:trPr>
        <w:tc>
          <w:tcPr>
            <w:tcW w:w="920" w:type="dxa"/>
            <w:vAlign w:val="bottom"/>
          </w:tcPr>
          <w:p>
            <w:pPr>
              <w:jc w:val="right"/>
              <w:spacing w:after="0"/>
              <w:rPr>
                <w:sz w:val="20"/>
                <w:szCs w:val="20"/>
                <w:color w:val="auto"/>
              </w:rPr>
            </w:pPr>
            <w:r>
              <w:rPr>
                <w:rFonts w:ascii="Arial" w:cs="Arial" w:eastAsia="Arial" w:hAnsi="Arial"/>
                <w:sz w:val="14"/>
                <w:szCs w:val="14"/>
                <w:color w:val="auto"/>
              </w:rPr>
              <w:t>(548,665)</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(32,793)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(32,793)</w:t>
            </w:r>
          </w:p>
        </w:tc>
        <w:tc>
          <w:tcPr>
            <w:tcW w:w="0" w:type="dxa"/>
            <w:vAlign w:val="bottom"/>
          </w:tcPr>
          <w:p>
            <w:pPr>
              <w:spacing w:after="0"/>
              <w:rPr>
                <w:sz w:val="1"/>
                <w:szCs w:val="1"/>
                <w:color w:val="auto"/>
              </w:rPr>
            </w:pPr>
          </w:p>
        </w:tc>
      </w:tr>
      <w:tr>
        <w:trPr>
          <w:trHeight w:val="270"/>
        </w:trPr>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(68,620)</w:t>
            </w:r>
          </w:p>
        </w:tc>
        <w:tc>
          <w:tcPr>
            <w:tcW w:w="0" w:type="dxa"/>
            <w:vAlign w:val="bottom"/>
          </w:tcPr>
          <w:p>
            <w:pPr>
              <w:spacing w:after="0"/>
              <w:rPr>
                <w:sz w:val="1"/>
                <w:szCs w:val="1"/>
                <w:color w:val="auto"/>
              </w:rPr>
            </w:pPr>
          </w:p>
        </w:tc>
      </w:tr>
      <w:tr>
        <w:trPr>
          <w:trHeight w:val="276"/>
        </w:trPr>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52,869</w:t>
            </w:r>
          </w:p>
        </w:tc>
        <w:tc>
          <w:tcPr>
            <w:tcW w:w="0" w:type="dxa"/>
            <w:vAlign w:val="bottom"/>
          </w:tcPr>
          <w:p>
            <w:pPr>
              <w:spacing w:after="0"/>
              <w:rPr>
                <w:sz w:val="1"/>
                <w:szCs w:val="1"/>
                <w:color w:val="auto"/>
              </w:rPr>
            </w:pPr>
          </w:p>
        </w:tc>
      </w:tr>
      <w:tr>
        <w:trPr>
          <w:trHeight w:val="237"/>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(3,450,683)</w:t>
            </w:r>
          </w:p>
        </w:tc>
        <w:tc>
          <w:tcPr>
            <w:tcW w:w="1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 (136,609)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574,448</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80" w:space="100"/>
            <w:col w:w="394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1880" w:type="dxa"/>
            <w:vAlign w:val="bottom"/>
            <w:gridSpan w:val="2"/>
          </w:tcPr>
          <w:p>
            <w:pPr>
              <w:ind w:left="480"/>
              <w:spacing w:after="0"/>
              <w:rPr>
                <w:sz w:val="20"/>
                <w:szCs w:val="20"/>
                <w:color w:val="auto"/>
              </w:rPr>
            </w:pPr>
            <w:r>
              <w:rPr>
                <w:rFonts w:ascii="Arial" w:cs="Arial" w:eastAsia="Arial" w:hAnsi="Arial"/>
                <w:sz w:val="14"/>
                <w:szCs w:val="14"/>
                <w:b w:val="1"/>
                <w:bCs w:val="1"/>
                <w:color w:val="auto"/>
              </w:rPr>
              <w:t>Common Stock</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Retained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Accumulated Other</w:t>
            </w:r>
          </w:p>
        </w:tc>
        <w:tc>
          <w:tcPr>
            <w:tcW w:w="1800" w:type="dxa"/>
            <w:vAlign w:val="bottom"/>
            <w:gridSpan w:val="2"/>
          </w:tcPr>
          <w:p>
            <w:pPr>
              <w:ind w:left="440"/>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Non -</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Paid-in</w:t>
            </w:r>
          </w:p>
        </w:tc>
        <w:tc>
          <w:tcPr>
            <w:tcW w:w="900" w:type="dxa"/>
            <w:vAlign w:val="bottom"/>
            <w:vMerge w:val="continue"/>
          </w:tcPr>
          <w:p>
            <w:pPr>
              <w:spacing w:after="0"/>
              <w:rPr>
                <w:sz w:val="6"/>
                <w:szCs w:val="6"/>
                <w:color w:val="auto"/>
              </w:rPr>
            </w:pPr>
          </w:p>
        </w:tc>
        <w:tc>
          <w:tcPr>
            <w:tcW w:w="15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20" w:type="dxa"/>
            <w:vAlign w:val="bottom"/>
            <w:vMerge w:val="restart"/>
          </w:tcPr>
          <w:p>
            <w:pPr>
              <w:jc w:val="center"/>
              <w:ind w:left="28"/>
              <w:spacing w:after="0" w:line="139" w:lineRule="exact"/>
              <w:rPr>
                <w:sz w:val="20"/>
                <w:szCs w:val="20"/>
                <w:color w:val="auto"/>
              </w:rPr>
            </w:pPr>
            <w:r>
              <w:rPr>
                <w:rFonts w:ascii="Arial" w:cs="Arial" w:eastAsia="Arial" w:hAnsi="Arial"/>
                <w:sz w:val="14"/>
                <w:szCs w:val="14"/>
                <w:b w:val="1"/>
                <w:bCs w:val="1"/>
                <w:color w:val="auto"/>
                <w:w w:val="93"/>
              </w:rPr>
              <w:t>Controlling</w:t>
            </w:r>
          </w:p>
        </w:tc>
        <w:tc>
          <w:tcPr>
            <w:tcW w:w="940" w:type="dxa"/>
            <w:vAlign w:val="bottom"/>
            <w:vMerge w:val="restart"/>
          </w:tcPr>
          <w:p>
            <w:pPr>
              <w:ind w:left="180"/>
              <w:spacing w:after="0" w:line="139" w:lineRule="exact"/>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68"/>
        </w:trPr>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restart"/>
          </w:tcPr>
          <w:p>
            <w:pPr>
              <w:ind w:left="200"/>
              <w:spacing w:after="0" w:line="125" w:lineRule="exact"/>
              <w:rPr>
                <w:sz w:val="20"/>
                <w:szCs w:val="20"/>
                <w:color w:val="auto"/>
              </w:rPr>
            </w:pPr>
            <w:r>
              <w:rPr>
                <w:rFonts w:ascii="Arial" w:cs="Arial" w:eastAsia="Arial" w:hAnsi="Arial"/>
                <w:sz w:val="14"/>
                <w:szCs w:val="14"/>
                <w:b w:val="1"/>
                <w:bCs w:val="1"/>
                <w:color w:val="auto"/>
              </w:rPr>
              <w:t>Earnings</w:t>
            </w:r>
          </w:p>
        </w:tc>
        <w:tc>
          <w:tcPr>
            <w:tcW w:w="15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9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900" w:type="dxa"/>
            <w:vAlign w:val="bottom"/>
            <w:vMerge w:val="continue"/>
          </w:tcPr>
          <w:p>
            <w:pPr>
              <w:spacing w:after="0"/>
              <w:rPr>
                <w:sz w:val="5"/>
                <w:szCs w:val="5"/>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(Loss)</w:t>
            </w:r>
          </w:p>
        </w:tc>
        <w:tc>
          <w:tcPr>
            <w:tcW w:w="9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4"/>
              </w:rPr>
              <w:t>Interest</w:t>
            </w: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9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9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11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11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9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40" w:type="dxa"/>
            <w:vAlign w:val="bottom"/>
          </w:tcPr>
          <w:p>
            <w:pPr>
              <w:spacing w:after="0"/>
              <w:rPr>
                <w:sz w:val="20"/>
                <w:szCs w:val="20"/>
                <w:color w:val="auto"/>
              </w:rPr>
            </w:pPr>
            <w:r>
              <w:rPr>
                <w:rFonts w:ascii="Arial" w:cs="Arial" w:eastAsia="Arial" w:hAnsi="Arial"/>
                <w:sz w:val="14"/>
                <w:szCs w:val="14"/>
                <w:b w:val="1"/>
                <w:bCs w:val="1"/>
                <w:color w:val="auto"/>
                <w:w w:val="91"/>
              </w:rPr>
              <w:t>Balance as of December 31, 2016</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35,699,819</w:t>
            </w:r>
          </w:p>
        </w:tc>
        <w:tc>
          <w:tcPr>
            <w:tcW w:w="0" w:type="dxa"/>
            <w:vAlign w:val="bottom"/>
          </w:tcPr>
          <w:p>
            <w:pPr>
              <w:spacing w:after="0"/>
              <w:rPr>
                <w:sz w:val="1"/>
                <w:szCs w:val="1"/>
                <w:color w:val="auto"/>
              </w:rPr>
            </w:pPr>
          </w:p>
        </w:tc>
      </w:tr>
      <w:tr>
        <w:trPr>
          <w:trHeight w:val="169"/>
        </w:trPr>
        <w:tc>
          <w:tcPr>
            <w:tcW w:w="2040" w:type="dxa"/>
            <w:vAlign w:val="bottom"/>
          </w:tcPr>
          <w:p>
            <w:pPr>
              <w:spacing w:after="0"/>
              <w:rPr>
                <w:sz w:val="20"/>
                <w:szCs w:val="20"/>
                <w:color w:val="auto"/>
              </w:rPr>
            </w:pPr>
            <w:r>
              <w:rPr>
                <w:rFonts w:ascii="Arial" w:cs="Arial" w:eastAsia="Arial" w:hAnsi="Arial"/>
                <w:sz w:val="14"/>
                <w:szCs w:val="14"/>
                <w:color w:val="auto"/>
                <w:w w:val="99"/>
              </w:rPr>
              <w:t>Impact of adoption of ASU 2016-</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20"/>
                <w:szCs w:val="20"/>
                <w:color w:val="auto"/>
              </w:rPr>
            </w:pPr>
            <w:r>
              <w:rPr>
                <w:rFonts w:ascii="Arial" w:cs="Arial" w:eastAsia="Arial" w:hAnsi="Arial"/>
                <w:sz w:val="14"/>
                <w:szCs w:val="14"/>
                <w:color w:val="auto"/>
              </w:rPr>
              <w:t>09</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0"/>
                <w:szCs w:val="20"/>
                <w:color w:val="auto"/>
              </w:rPr>
            </w:pPr>
            <w:r>
              <w:rPr>
                <w:rFonts w:ascii="Arial" w:cs="Arial" w:eastAsia="Arial" w:hAnsi="Arial"/>
                <w:sz w:val="14"/>
                <w:szCs w:val="14"/>
                <w:b w:val="1"/>
                <w:bCs w:val="1"/>
                <w:color w:val="auto"/>
              </w:rPr>
              <w:t>Balance as of January 1, 2017</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35,699,819</w:t>
            </w:r>
          </w:p>
        </w:tc>
        <w:tc>
          <w:tcPr>
            <w:tcW w:w="0" w:type="dxa"/>
            <w:vAlign w:val="bottom"/>
          </w:tcPr>
          <w:p>
            <w:pPr>
              <w:spacing w:after="0"/>
              <w:rPr>
                <w:sz w:val="1"/>
                <w:szCs w:val="1"/>
                <w:color w:val="auto"/>
              </w:rPr>
            </w:pPr>
          </w:p>
        </w:tc>
      </w:tr>
      <w:tr>
        <w:trPr>
          <w:trHeight w:val="169"/>
        </w:trPr>
        <w:tc>
          <w:tcPr>
            <w:tcW w:w="2040" w:type="dxa"/>
            <w:vAlign w:val="bottom"/>
          </w:tcPr>
          <w:p>
            <w:pPr>
              <w:spacing w:after="0"/>
              <w:rPr>
                <w:sz w:val="20"/>
                <w:szCs w:val="20"/>
                <w:color w:val="auto"/>
              </w:rPr>
            </w:pPr>
            <w:r>
              <w:rPr>
                <w:rFonts w:ascii="Arial" w:cs="Arial" w:eastAsia="Arial" w:hAnsi="Arial"/>
                <w:sz w:val="14"/>
                <w:szCs w:val="14"/>
                <w:color w:val="auto"/>
                <w:w w:val="99"/>
              </w:rPr>
              <w:t>Stock issued on exercise/vesting</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40" w:type="dxa"/>
            <w:vAlign w:val="bottom"/>
          </w:tcPr>
          <w:p>
            <w:pPr>
              <w:spacing w:after="0"/>
              <w:rPr>
                <w:sz w:val="20"/>
                <w:szCs w:val="20"/>
                <w:color w:val="auto"/>
              </w:rPr>
            </w:pPr>
            <w:r>
              <w:rPr>
                <w:rFonts w:ascii="Arial" w:cs="Arial" w:eastAsia="Arial" w:hAnsi="Arial"/>
                <w:sz w:val="14"/>
                <w:szCs w:val="14"/>
                <w:color w:val="auto"/>
              </w:rPr>
              <w:t>of equity awards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825,873</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4"/>
                <w:szCs w:val="14"/>
                <w:color w:val="auto"/>
              </w:rPr>
              <w:t>Acquisition of treasury stock</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8"/>
        </w:trPr>
        <w:tc>
          <w:tcPr>
            <w:tcW w:w="2040" w:type="dxa"/>
            <w:vAlign w:val="bottom"/>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040" w:type="dxa"/>
            <w:vAlign w:val="bottom"/>
          </w:tcPr>
          <w:p>
            <w:pPr>
              <w:spacing w:after="0" w:line="139" w:lineRule="exact"/>
              <w:rPr>
                <w:sz w:val="20"/>
                <w:szCs w:val="20"/>
                <w:color w:val="auto"/>
              </w:rPr>
            </w:pPr>
            <w:r>
              <w:rPr>
                <w:rFonts w:ascii="Arial" w:cs="Arial" w:eastAsia="Arial" w:hAnsi="Arial"/>
                <w:sz w:val="14"/>
                <w:szCs w:val="14"/>
                <w:b w:val="1"/>
                <w:bCs w:val="1"/>
                <w:color w:val="auto"/>
              </w:rPr>
              <w:t>Balance as of September 30,</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36,525,692</w:t>
            </w:r>
          </w:p>
        </w:tc>
        <w:tc>
          <w:tcPr>
            <w:tcW w:w="0" w:type="dxa"/>
            <w:vAlign w:val="bottom"/>
          </w:tcPr>
          <w:p>
            <w:pPr>
              <w:spacing w:after="0"/>
              <w:rPr>
                <w:sz w:val="1"/>
                <w:szCs w:val="1"/>
                <w:color w:val="auto"/>
              </w:rPr>
            </w:pPr>
          </w:p>
        </w:tc>
      </w:tr>
      <w:tr>
        <w:trPr>
          <w:trHeight w:val="190"/>
        </w:trPr>
        <w:tc>
          <w:tcPr>
            <w:tcW w:w="204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284,646</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b w:val="1"/>
                <w:bCs w:val="1"/>
                <w:color w:val="auto"/>
                <w:w w:val="98"/>
              </w:rPr>
              <w:t>382,722</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(75,057)</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(2,071,710)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(60,362)</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193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532,178</w:t>
            </w:r>
          </w:p>
        </w:tc>
      </w:tr>
      <w:tr>
        <w:trPr>
          <w:trHeight w:val="357"/>
        </w:trPr>
        <w:tc>
          <w:tcPr>
            <w:tcW w:w="34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5,999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(4,546)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1,453</w:t>
            </w:r>
          </w:p>
        </w:tc>
      </w:tr>
      <w:tr>
        <w:trPr>
          <w:trHeight w:val="244"/>
        </w:trPr>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290,645</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378,176</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(75,057)</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(2,071,710)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(60,362)</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533,631</w:t>
            </w:r>
          </w:p>
        </w:tc>
      </w:tr>
      <w:tr>
        <w:trPr>
          <w:trHeight w:val="351"/>
        </w:trPr>
        <w:tc>
          <w:tcPr>
            <w:tcW w:w="34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4,275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4,276</w:t>
            </w:r>
          </w:p>
        </w:tc>
      </w:tr>
      <w:tr>
        <w:trPr>
          <w:trHeight w:val="270"/>
        </w:trPr>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16,771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16,771</w:t>
            </w:r>
          </w:p>
        </w:tc>
      </w:tr>
      <w:tr>
        <w:trPr>
          <w:trHeight w:val="270"/>
        </w:trPr>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(649,020)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(32,336)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(32,336)</w:t>
            </w:r>
          </w:p>
        </w:tc>
      </w:tr>
      <w:tr>
        <w:trPr>
          <w:trHeight w:val="270"/>
        </w:trPr>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0"/>
        </w:trPr>
        <w:tc>
          <w:tcPr>
            <w:tcW w:w="340" w:type="dxa"/>
            <w:vAlign w:val="bottom"/>
          </w:tcPr>
          <w:p>
            <w:pPr>
              <w:spacing w:after="0"/>
              <w:rPr>
                <w:sz w:val="23"/>
                <w:szCs w:val="2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15,767</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15,767</w:t>
            </w:r>
          </w:p>
        </w:tc>
      </w:tr>
      <w:tr>
        <w:trPr>
          <w:trHeight w:val="276"/>
        </w:trPr>
        <w:tc>
          <w:tcPr>
            <w:tcW w:w="34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58,243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58,243</w:t>
            </w:r>
          </w:p>
        </w:tc>
      </w:tr>
      <w:tr>
        <w:trPr>
          <w:trHeight w:val="318"/>
        </w:trPr>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311,691</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436,419</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(59,290)</w:t>
            </w: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(2,720,730)</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(92,698)</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207</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596,366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-1491615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-1097280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-753745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-410845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20"/>
            <w:col w:w="830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8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52,869</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58,243</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35,345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28,771</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16,771</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Unrealized gain on short term investments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(4,437)</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foreign exchange (gain)/loss,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Deferred income tax benefit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(5,417)</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Allowances for doubtful 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2,706</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Loss from equity-method investment</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Others,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(22,064)</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5,194</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(8,155)</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employee costs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267</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Advance income tax,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1,241</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70,427</w:t>
            </w:r>
          </w:p>
        </w:tc>
      </w:tr>
      <w:tr>
        <w:trPr>
          <w:trHeight w:val="264"/>
        </w:trPr>
        <w:tc>
          <w:tcPr>
            <w:tcW w:w="78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(26,759)</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Business acquisition (net of cash acquired)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Purchase of investments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(57,957)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(197,897)</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redemption of investments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54,238</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(240,409)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(171,142)</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payments on capital lease obligations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245,000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borrowings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Acquisition of treasury stock</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(32,793)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(32,336)</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4,276</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Net cash provided by/(used for) financing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208,103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(28,193)</w:t>
            </w:r>
          </w:p>
        </w:tc>
      </w:tr>
      <w:tr>
        <w:trPr>
          <w:trHeight w:val="27"/>
        </w:trPr>
        <w:tc>
          <w:tcPr>
            <w:tcW w:w="7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1,802</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Net increase/(decrease) in cash, cash equivalents, and restricted cash</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11,537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(127,106)</w:t>
            </w: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220,394</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105,814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93,288</w:t>
            </w:r>
          </w:p>
        </w:tc>
      </w:tr>
      <w:tr>
        <w:trPr>
          <w:trHeight w:val="67"/>
        </w:trPr>
        <w:tc>
          <w:tcPr>
            <w:tcW w:w="78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1"/>
        </w:trPr>
        <w:tc>
          <w:tcPr>
            <w:tcW w:w="78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transaction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tcPr>
          <w:p>
            <w:pPr>
              <w:ind w:left="380"/>
              <w:spacing w:after="0"/>
              <w:rPr>
                <w:sz w:val="20"/>
                <w:szCs w:val="20"/>
                <w:color w:val="auto"/>
              </w:rPr>
            </w:pPr>
            <w:r>
              <w:rPr>
                <w:rFonts w:ascii="Arial" w:cs="Arial" w:eastAsia="Arial" w:hAnsi="Arial"/>
                <w:sz w:val="18"/>
                <w:szCs w:val="18"/>
                <w:color w:val="auto"/>
              </w:rPr>
              <w:t>Restricted common stock issued for business acquisition</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consolidated financial statements.</w:t>
      </w:r>
    </w:p>
    <w:p>
      <w:pPr>
        <w:sectPr>
          <w:pgSz w:w="11900" w:h="16838" w:orient="portrait"/>
          <w:cols w:equalWidth="0" w:num="1">
            <w:col w:w="11420"/>
          </w:cols>
          <w:pgMar w:left="240" w:top="337" w:right="239" w:bottom="46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37" w:right="239" w:bottom="462"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 businesses enhance revenue growth and improve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United States of America (“U.S.”) and the United Kingdom (“U.K”).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2017.</w:t>
      </w:r>
    </w:p>
    <w:p>
      <w:pPr>
        <w:spacing w:after="0" w:line="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7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income and expenses arising from intra-group transactions, are eliminated while preparing those financial statements. The un-realized gains resulting from intra-group transactions are also eliminated. Similarly, the un-realized losses are eliminated, unless the transaction provides evidence as to impairment of the asset transferred.</w:t>
      </w:r>
    </w:p>
    <w:p>
      <w:pPr>
        <w:spacing w:after="0" w:line="4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investments in equity affiliates are initially recorded at cost and any excess cost over proportionate share of the fair value of the net assets of the investee at the acquisition date is recognized as goodwill. The proportionate share of net income or loss of the investee is recognized in the unaudited consolidated statements of income.</w:t>
      </w:r>
    </w:p>
    <w:p>
      <w:pPr>
        <w:spacing w:after="0" w:line="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Non-controlling interest is the equity in a subsidiary not attributable, directly or indirectly, to the parent and it represents the minority partner’s interest in the operations of ExlService Colombia S.A.S. Non-controlling interest consists of the amount of such interest at the date of obtaining control over the subsidiary, and the non-controlling interest's share of changes in equity since that date. The non-controlling interest in the operations for all periods presented were insignificant and is included under general and administrative expenses in the unaudited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depreciation and amortization periods, purchase price allocation, recoverability of long-term assets including goodwill and intangibles, and estimated costs to complete fixed price contracts.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Employee Benefits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Contributions to defined contribution plans are charged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recognizes its liabilities for compensated absences depending on whether the obligation is attributable to employee services already rendered, relates to rights that vest or accumulate and payment is probable and estimable.</w:t>
      </w:r>
    </w:p>
    <w:p>
      <w:pPr>
        <w:spacing w:after="0" w:line="6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Effective January 1, 2018, the Company adopted Accounting Standards Update ("ASU") No. 2017-07, Compensation -Retirement Benefits (Topic 715), Improving the Presentation of Net Periodic Pension Cost and Net Periodic Post Retirement Benefit Cost. Pursuant to this, the Company retrospectively adopted the presentation of service cost separate from other components of net periodic costs for each period presented. The interest cost, expected return on plan assets and amortization of actuarial gains/loss, have been reclassified from “Cost of revenues”, “General and administrative expenses” and “Selling and marketing expenses” to “Other income, net”. Refer to Note 20 to the unaudited consolidated financial statements for details.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 and Restricted Cash</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accounts and time deposits to reduce its exposure to market risk with regard to these funds.</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Restricted cash represents amounts on deposit with banks against bank guarantees issued through banks in favor of relevant statutory authorities for equipment imports, deposits for obtaining indirect tax registrations and for demands against pending income tax assessments (refer to Note 25 to the unaudited consolidated financial statements for details). These deposits with banks have maturity dates after September 30, 2019. Restricted cash presented under current assets represents funds held on behalf of clients in dedicated bank accounts.</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Effective January 1, 2018, the Company adopted ASU 2016-18, Statement of Cash Flows (Topic 230), Restricted Cash. Pursuant to this adoption, for the purpose of unaudited statements of cash flows, the Company includes in its cash and cash-equivalent balances those amounts that have been classified as restricted cash and restricted cash equivalents for each period presented.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is recognized when services are provided to our customers, in an amount that reflects the consideration we expect to be entitled to in exchange for our services.</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is measured based on consideration specified in a contract with a customer and excludes discounts and amounts collected on behalf of third parties. The Company recognizes revenue when it satisfies a performance obligation by providing services to a customer.</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Adoption of ASU 2014-09 Topic 606, </w:t>
      </w:r>
      <w:r>
        <w:rPr>
          <w:rFonts w:ascii="Arial" w:cs="Arial" w:eastAsia="Arial" w:hAnsi="Arial"/>
          <w:sz w:val="18"/>
          <w:szCs w:val="18"/>
          <w:color w:val="auto"/>
        </w:rPr>
        <w:t>“</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r>
        <w:rPr>
          <w:rFonts w:ascii="Arial" w:cs="Arial" w:eastAsia="Arial" w:hAnsi="Arial"/>
          <w:sz w:val="18"/>
          <w:szCs w:val="18"/>
          <w:i w:val="1"/>
          <w:iCs w:val="1"/>
          <w:color w:val="auto"/>
        </w:rPr>
        <w:t xml:space="preserve"> (Topic 606)</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January 1, 2018, the date of initial application, the Company adopted Topic 606 using the modified retrospective method by recognizing the cumulative effect of initially applying Topic 606 as an adjustment to the opening balance of equity, resulting in an increase of $454, primarily due to new contract acquisition costs. The initial application scopes in those contracts which were not completed as of January 1, 2018. Results for reporting periods beginning January 1, 2018 are presented under Topic 606, while prior period amounts are not adjusted and continue to be reported in accordance with Company’s historical accounting under Topic 605. The key area impacted upon adoption of Topic 606 relates to the accounting for sales commissions costs. Specifically, under Topic 606 a portion of sales commission costs have been recorded as an asset and recognized as an operating expense on a straight-line basis over the life of the contract. Prior to adoption, the Company was expensing sales commission costs as incurred.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services</w:t>
      </w:r>
    </w:p>
    <w:p>
      <w:pPr>
        <w:spacing w:after="0" w:line="11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derives its revenues from operations management and analytics services. The Company operates in the business process management (“BPM”) industry providing operations management and analytics services helping businesses enhance revenue growth and improve profitability. The Company provides BPM or “operations management” services, which typically involve transfer to the Company of business operations of a client, after which it administers and manages those operations for its client on an ongoing basis. The Company also provides industry-specific digital transformational services related to operations management services, and analytics services that focus on driving improved business outcomes for clients by generating data-driven insights across all parts of their business. The Company also provides care optimization and reimbursement optimization services, for its clients through its healthcare analytics solutions and services. The Company offers integrated solutions to help its clients with cost containment by leveraging technology platforms, customizable and configurable analytics and expertise in healthcare reimbursements to help clients enhance their claims payment accuracy.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Company’s contracts with customers do not generally bundle different services together except for software and related services contracts, which are not significant, involving implementation services and post contract maintenance services. In such software and related services contracts, revenue is allocated to each performance obligation based on the relative standalone selling price.</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separate contract is generally drafted for each type of service sold, even if to the same customer. The typical length of a contract is 3 to 5 years for our operations management contracts.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 of Contracts</w:t>
      </w:r>
    </w:p>
    <w:p>
      <w:pPr>
        <w:spacing w:after="0" w:line="23"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108" w:lineRule="exact"/>
        <w:rPr>
          <w:rFonts w:ascii="Arial" w:cs="Arial" w:eastAsia="Arial" w:hAnsi="Arial"/>
          <w:sz w:val="18"/>
          <w:szCs w:val="18"/>
          <w:color w:val="auto"/>
        </w:rPr>
      </w:pPr>
    </w:p>
    <w:p>
      <w:pPr>
        <w:ind w:left="660" w:hanging="4"/>
        <w:spacing w:after="0" w:line="277" w:lineRule="auto"/>
        <w:tabs>
          <w:tab w:leader="none" w:pos="872"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respect of arrangements involving subcontracting, in part or whole of the assigned work, the Company evaluates revenues to be recognized based on guidance on “Principal versus agent considerations” in Topic 606.</w:t>
      </w:r>
    </w:p>
    <w:p>
      <w:pPr>
        <w:spacing w:after="0" w:line="8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Company’s fixed-price contracts are recognized using the time-elapsed output method because the Company transfers control evenly during execution of its projects. Determining a measure of progress requires management to make judgments that affect the timing of revenue recognized. The Company regularly monitors its estimates for progress on completion of a project and records changes in the period in which a change in an estimate is determined. If a change in an estimate results in a projected loss on a project, such loss is recognized in the period in which it is identified.</w:t>
      </w:r>
    </w:p>
    <w:p>
      <w:pPr>
        <w:spacing w:after="0" w:line="107" w:lineRule="exact"/>
        <w:rPr>
          <w:rFonts w:ascii="Arial" w:cs="Arial" w:eastAsia="Arial" w:hAnsi="Arial"/>
          <w:sz w:val="18"/>
          <w:szCs w:val="18"/>
          <w:color w:val="auto"/>
        </w:rPr>
      </w:pPr>
    </w:p>
    <w:p>
      <w:pPr>
        <w:jc w:val="both"/>
        <w:ind w:left="660" w:right="2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the Company's software and related services contracts, which are not significant, are primarily related to maintenance renewals or incremental license fees for additional users. Maintenance revenues are generally recognized on a straight-line basis over the annual contract term. Fees for incremental license fees without any associated services are recognized upon delivery of the related incremental license.</w:t>
      </w:r>
    </w:p>
    <w:p>
      <w:pPr>
        <w:spacing w:after="0" w:line="65"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from reimbursement optimization services having contingent fee arrangements are recognized by the Company at the point in time when a performance obligation is satisfied, which is when it identifies an overpayment claim and the same is acknowledged by its customers. In such contracts, the Company’s consideration is contingent upon the actual collections made by its customers and subsequent potential retraction claims. Based on guidance on “variable consideration” in Topic 606, the Company uses its historical experience and projections to determine the expected recoveries from its customers and recognizes revenue based upon such expected recoveries. Any adjustment required due to change in estimates are recorded in the period in which such change is identified.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8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Unbilled receivables represents revenues recognized for services rendered between the last billing date and the balance sheet date. Unbilled receivables also include revenues recognized from reimbursement optimization services when the Company identifies an overpayment claim and the same is acknowledged by its customers, however not invoiced at the balance sheet date. Accordingly, amounts for services that the Company has performed and for which an invoice has not yet been issued to the customers are presented as a part of contract assets as accounts receivable.</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has deferred revenue attributable to certain process transition activities, with respect to its customers where such activities do not represent separate performance obligations. Revenues related to such transition activities are contract liabilities classified under “Deferred Revenue” in the Company's consolidated balance sheets and subsequently recognized ratably over the period in which the related services are performed. Deferred revenue also includes the amount for which services have been rendered but other conditions of revenue recognition are not met, for example where the Company does not have persuasive evidence of an arrangement with customer. Costs related to such transition activities are contract fulfillment costs, and thereby classified under “Other Current Assets” and “Other Assets” in the consolidated balance sheets, and are recognized ratably over the estimated expected period of benefit, under Cost of Revenues in the consolidated statements of income.</w:t>
      </w:r>
    </w:p>
    <w:p>
      <w:pPr>
        <w:spacing w:after="0" w:line="17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Other incremental and direct costs incurred for acquiring contracts, such as sales commissions are contract acquisition costs and thereby classified under “Other Current Assets” and “Other Assets” in the consolidated balance sheets. Such costs are amortized over the expected period of benefit and recorded under Selling and marketing expenses in the consolidated statements of income.</w:t>
      </w:r>
    </w:p>
    <w:p>
      <w:pPr>
        <w:spacing w:after="0" w:line="18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Any upfront payments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Reimbursements of out-of-pocket expenses received from clients are included as part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terms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All Contracts entered into by the Company specify the payment terms and are defined for each contract separately. Usual payment terms range between 30-60 days. The Company does not have any extended payment terms clauses in existing contracts. At times, the Company enters into fixed price contracts and software licenses involving significant implementation wherein the milestones are defined such that the Company can recover the costs with a reasonable margin.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Variability in the transaction price arises primarily due to service level agreements, cost of living adjustments, and pre-payment and volume discounts.</w:t>
      </w:r>
    </w:p>
    <w:p>
      <w:pPr>
        <w:spacing w:after="0" w:line="1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considers its experience with similar transactions and expectations regarding the contract in estimating the amount of variable consideration that should be recognized during a period.</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believes that the expected value method is most appropriate for determining the variable consideration since the company has large number of contracts with similar nature of transactions/services.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 to performance obligations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Recent Accounting Pronouncements</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February 2016, the Financial Accounting Standards Board ("FASB") issued ASU No. 2016-02, Leases (Topic 842), which requires the identification of arrangements that should be accounted for as leases. In general, lease arrangements exceeding a twelve months term should be recognized as assets with corresponding liabilities on the balance sheet of the lessee. This ASU requires recording a right-of-use asset and lease obligation for all leases, whether operating or finance, while the income statement will reflect lease expense for operating leases and amortization and interest expense for finance leases. The balance sheet amount recorded for existing leases at the date of adoption of this ASU must be calculated using the applicable incremental borrowing rate.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5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June 2016, FASB issued ASU No. 2016-13, Financial Instruments - Credit Losses, which requires a financial asset (or a group of financial assets) measured at amortized cost basis to be presented at the net amount expected to be collected. The allowance for credit losses is a valuation account that is to be deducted from the amortized cost of the financial asset(s) so as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Company is currently evaluating the impact that the adoption of this guidance will have on its consolidated financial statements.</w:t>
      </w:r>
    </w:p>
    <w:p>
      <w:pPr>
        <w:spacing w:after="0" w:line="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June 2018, FASB issued ASU No. 2018-07, Compensation-Stock Compensation (Topic 718): Improvements to Non-employee Share-Based Payment Accounting. This ASU involves several aspects of the accounting for non-employee share-based payment transactions resulting from expanding the scope of Topic 718, Compensation-Stock Compensation, to include share-based payment transactions for acquiring goods and services from non-employees. The amendments in this ASU affect all entities that enter into share-based payment transactions for acquiring goods and services from non-employees. This ASU is effective for public business entities for fiscal years beginning after December 15, 2018, including interim periods within that fiscal year. Early adoption is permitted, but no earlier than an entity’s adoption date of Topic 606. The adoption of this ASU is not expected to have any material effect on the Company’s consolidated financial statements.</w:t>
      </w:r>
    </w:p>
    <w:p>
      <w:pPr>
        <w:spacing w:after="0" w:line="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July 2018, FASB issued ASU No. 2018-11, Leases (Topic 842), which provide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840, Leases).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8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August 2018, FASB issued ASU No. 2018-13, Fair Value Measurement (Topic 820): Changes to the Disclosure Requirements for Fair Value Measurement. The amendments in this ASU modify the disclosure requirements on fair value measurements in Topic 820, based on the concepts in the Concepts Statement, including the consideration of costs and benefits. The amendments in ASU are effective for fiscal years beginning after December 15, 2019, including interim periods within those fiscal years. An entity is permitted to early adopt either the entire standard or only the provisions that eliminate or modify requirements. The adoption of this ASU is not expected to have any material effect on the Company’s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August 2018, FASB issued ASU No. 2018-14, Compensation-Retirement Benefits-Defined Benefit Plans-General (Subtopic 715-20): Changes to the Disclosure Requirements for Defined Benefit Plans. The amendments in this Update remove disclosures that no longer are considered cost beneficial, clarify the specific requirements of disclosures, and add disclosure requirements identified as relevant. The amendments in ASU are effective for fiscal years beginning after December 15, 2020. An entity is permitted to early adopt this Update. The adoption of this ASU is not expected to have any material effect on the Company’s consolidated financial statements.</w:t>
      </w:r>
    </w:p>
    <w:p>
      <w:pPr>
        <w:spacing w:after="0" w:line="8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August 2018, the FASB issued ASU No. 2018-15, Intangibles - Goodwill and Other - Internal-Use Software (Subtopic 350-40): 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ASU requires an entity (customer) in a hosting arrangement that is a service contract to follow the guidance in FASB Accounting Standard Codification Subtopic 350-40 on internal-use software to determine which implementation costs to capitalize as an asset related to the service contract and which costs to expense. The ASU 2018-15 also provides guidance on amortization and impairment of any costs capitalized, along with new presentation and disclosure requirements. The new guidance is effective for fiscal years beginning after December 15, 2019. Early adoption is permitted and both prospective and retrospective transition methods are allowed. The Company is currently evaluating the impact that the adoption of this guidance will have on its consolidated financial statements.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Recently Adopted Accounting Pronouncements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May 2014, FASB issued ASU No. 2014-09 (Topic 606) "Revenue from Contracts with Customers." Topic 606 supersedes the revenue recognition requirements in Topic 605 “Revenue Recognition” (Topic 605), and requires entities to recognize revenue when control of the promised goods or services is transferred to customers at an amount that reflects the consideration to which the entity expects to be entitled to in exchange for those goods or services. The Company adopted Topic 606 as of January 1, 2018 using the modified retrospective transition method. Refer to Note 4 to the unaudited consolidated financial statements for details.</w:t>
      </w:r>
    </w:p>
    <w:p>
      <w:pPr>
        <w:spacing w:after="0" w:line="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2016, FASB issued ASU No. 2016-15, Classification of Certain Cash Receipts and Cash Payments. The amendments apply to all entities that are required to present a statement of cash flows under Topic 230. The amendments are an improvement to US GAAP because they provide guidance for each of the eight issues, thereby reducing the current and potential future diversity in practice. The amendments are effective for fiscal years beginning after December 15, 2017 and interim periods within those annual periods and should be applied using a retrospective transition method to each period presented. The Company has adopted the guidance retrospectively to each period presented. The adoption does not have any material effect on the presentation of its unaudited consolidated statements of cash flows.</w:t>
      </w:r>
    </w:p>
    <w:p>
      <w:pPr>
        <w:spacing w:after="0" w:line="8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November 2016, FASB issued ASU No. 2016-18, Statement of cash flows (Topic 230) - Restricted cash. The amendments apply to all entities that have restricted cash or restricted cash equivalents and are required to present a statement of cash flows under Topic 230. The amendments in this update require that a statement of cash flows should explain the change during the period in the total of cash, cash equivalents, and amounts generally described as restricted cash or restricted cash equivalents. The amendments are effective for fiscal years beginning after December 15, 2017 and interim periods within those annual periods and should be applied using a retrospective transition method to each period presented. Early adoption is permitted with an adjustment reflected as of the beginning of the fiscal year in which the amendment is adopted. The Company has adopted the guidance retrospectively to each period presented. The adoption does not have any material effect on the presentation of its unaudited consolidated statements of cash flows. Refer to Note 6 to the unaudited consolidated financial statements for details.</w:t>
      </w:r>
    </w:p>
    <w:p>
      <w:pPr>
        <w:spacing w:after="0" w:line="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January 2017, FASB issued ASU No. 2017-04, Intangibles-Goodwill and Other (Topic 350) - Simplifying the Test for Goodwill Impairment, which eliminates Step 2 from the goodwill impairment test. A goodwill impairment will now be the amount by which a reporting unit's carrying value exceeds its fair value, however, the loss recognized should not exceed the total amount of goodwill allocated to that reporting unit. The ASU is effective for annual and interim periods in fiscal years beginning after December 15, 2019. Early adoption is permitted for interim or annual goodwill impairment tests performed after January 1, 2017 and should be applied prospectively. The Company has adopted the guidance effective January 1, 2018. The adoption does not have any material effect on its unaudited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March, 2017, FASB issued ASU No. 2017-07, Improving the Presentation of Net Periodic Pension Cost and Net Periodic Post-retirement Benefit Cost. The ASU amends ASC 715, Compensation — Retirement Benefits, to require employers that present a measure of operating income in their statement of income to include only the service cost component of net periodic pension cost and net periodic post-retirement benefit cost in operating expenses (together with other employee compensation costs). The other components of net benefit cost, including amortization of prior service cost/credit, and settlement and curtailment effects, are to be included in non-operating expenses. The update also stipulates that only the service cost component of net benefit cost is eligible for capitalization. The amendments are effective for fiscal years beginning after December 15, 2017 and interim periods within those annual periods and should be applied using a retrospective transition method to each period presented. The Company has adopted the guidance retrospectively to each period presented. Refer to Note 2(c) and Note 20 to the unaudited consolidated financial statements for details.</w:t>
      </w:r>
    </w:p>
    <w:p>
      <w:pPr>
        <w:spacing w:after="0" w:line="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May 2017, FASB issued ASU No. 2017-09, Compensation - Stock Compensation (Topic 718): Scope of Modification Accounting. This ASU provides guidance on the types of changes to the terms or conditions of share-based payment awards to which an entity would be required to apply modification accounting. Modification accounting is required only if the fair value, the vesting conditions, or the classification of the award changes as a result of the change in terms or conditions. The amendments in this ASU are effective for all entities for annual periods, and interim periods within those annual periods, beginning after December 15, 2017. Early adoption is permitted, including adoption in any interim period, for public business entities for reporting periods for which financial statements have not yet been issued. The amendments in this ASU should be applied prospectively to an award modified on or after the adoption date. The Company has adopted the guidance effective January 1, 2018. The adoption does not have any material effect on its unaudited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and Geographical Information</w:t>
      </w:r>
    </w:p>
    <w:p>
      <w:pPr>
        <w:spacing w:after="0" w:line="2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five of which are industry-focused operating segments (Insurance, Healthcare, Travel, Transportation and Logistics, Banking and Financial Services, and Utilities) and one of which is a “capability” operating segment (Finance and Accounting) that provides services to clients in our industry-focused segments as well as clients across other industries. In each of these six operating segments, the Company provides operations management services, which typically involve transfer to the Company of the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Analytics, which provides services that focus on driving improved business outcomes for clients by generating data-driven insights across all parts of their business.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presents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Travel, Transportation and Logistics (“TT&amp;L”)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Finance and Accounting (“F&amp;A”)</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9" w:lineRule="exact"/>
        <w:rPr>
          <w:rFonts w:ascii="Arial" w:cs="Arial" w:eastAsia="Arial" w:hAnsi="Arial"/>
          <w:sz w:val="18"/>
          <w:szCs w:val="18"/>
          <w:color w:val="auto"/>
        </w:rPr>
      </w:pPr>
    </w:p>
    <w:p>
      <w:pPr>
        <w:ind w:left="740" w:hanging="327"/>
        <w:spacing w:after="0" w:line="261"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Other (consisting of the Company's remaining operating segments, which are the Banking and Financial Services, Utilities and Consulting operating segments).</w:t>
      </w:r>
    </w:p>
    <w:p>
      <w:pPr>
        <w:spacing w:after="0" w:line="18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July 2018 acquisition of SCIOinspire Holdings Inc. (“SCIO”) is included in the Analytics reportable segment.</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Revenues and cost of revenues for the three months ended September 30, 2018 and 2017,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134620</wp:posOffset>
            </wp:positionV>
            <wp:extent cx="54629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Three months ended September 30, 2018</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391"/>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2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TT&amp;L</w:t>
            </w:r>
          </w:p>
        </w:tc>
        <w:tc>
          <w:tcPr>
            <w:tcW w:w="26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231,124</w:t>
            </w:r>
          </w:p>
        </w:tc>
      </w:tr>
      <w:tr>
        <w:trPr>
          <w:trHeight w:val="270"/>
        </w:trPr>
        <w:tc>
          <w:tcPr>
            <w:tcW w:w="2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43,524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15,797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9,958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14,917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14,323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53,638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152,157</w:t>
            </w:r>
          </w:p>
        </w:tc>
      </w:tr>
      <w:tr>
        <w:trPr>
          <w:trHeight w:val="264"/>
        </w:trPr>
        <w:tc>
          <w:tcPr>
            <w:tcW w:w="27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78,967</w:t>
            </w: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59,293</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gain, interest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5,739</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50"/>
        </w:trPr>
        <w:tc>
          <w:tcPr>
            <w:tcW w:w="2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8890</wp:posOffset>
            </wp:positionV>
            <wp:extent cx="6515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660" w:hanging="193"/>
        <w:spacing w:after="0"/>
        <w:tabs>
          <w:tab w:leader="none" w:pos="660"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Exclusive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-153670</wp:posOffset>
            </wp:positionV>
            <wp:extent cx="6515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314325</wp:posOffset>
            </wp:positionV>
            <wp:extent cx="5257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Three months ended September 30,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20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TT&amp;L</w:t>
            </w:r>
          </w:p>
        </w:tc>
        <w:tc>
          <w:tcPr>
            <w:tcW w:w="22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4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192,345</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39,174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9,996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12,634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13,571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35,630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123,077</w:t>
            </w:r>
          </w:p>
        </w:tc>
        <w:tc>
          <w:tcPr>
            <w:tcW w:w="0" w:type="dxa"/>
            <w:vAlign w:val="bottom"/>
          </w:tcPr>
          <w:p>
            <w:pPr>
              <w:spacing w:after="0"/>
              <w:rPr>
                <w:sz w:val="1"/>
                <w:szCs w:val="1"/>
                <w:color w:val="auto"/>
              </w:rPr>
            </w:pPr>
          </w:p>
        </w:tc>
      </w:tr>
      <w:tr>
        <w:trPr>
          <w:trHeight w:val="264"/>
        </w:trPr>
        <w:tc>
          <w:tcPr>
            <w:tcW w:w="308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20,434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69,268</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48,323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Foreign exchange gain, interest expense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other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21,077</w:t>
            </w:r>
          </w:p>
        </w:tc>
        <w:tc>
          <w:tcPr>
            <w:tcW w:w="0" w:type="dxa"/>
            <w:vAlign w:val="bottom"/>
          </w:tcPr>
          <w:p>
            <w:pPr>
              <w:spacing w:after="0"/>
              <w:rPr>
                <w:sz w:val="1"/>
                <w:szCs w:val="1"/>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hanging="193"/>
        <w:spacing w:after="0" w:line="232" w:lineRule="auto"/>
        <w:tabs>
          <w:tab w:leader="none" w:pos="66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Exclusive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-153035</wp:posOffset>
            </wp:positionV>
            <wp:extent cx="6515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6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Revenues and cost of revenues for the nine months ended September 30, 2018 and 2017,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66040</wp:posOffset>
            </wp:positionV>
            <wp:extent cx="52139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391"/>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TT&amp;L</w:t>
            </w:r>
          </w:p>
        </w:tc>
        <w:tc>
          <w:tcPr>
            <w:tcW w:w="20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F&amp;A</w:t>
            </w: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Analytics</w:t>
            </w:r>
          </w:p>
        </w:tc>
        <w:tc>
          <w:tcPr>
            <w:tcW w:w="200" w:type="dxa"/>
            <w:vAlign w:val="bottom"/>
          </w:tcPr>
          <w:p>
            <w:pPr>
              <w:spacing w:after="0"/>
              <w:rPr>
                <w:sz w:val="24"/>
                <w:szCs w:val="24"/>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199,427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648,209</w:t>
            </w:r>
          </w:p>
        </w:tc>
      </w:tr>
      <w:tr>
        <w:trPr>
          <w:trHeight w:val="270"/>
        </w:trPr>
        <w:tc>
          <w:tcPr>
            <w:tcW w:w="30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129,984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49,752</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31,026</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44,189</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44,587</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130,369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429,907</w:t>
            </w:r>
          </w:p>
        </w:tc>
      </w:tr>
      <w:tr>
        <w:trPr>
          <w:trHeight w:val="264"/>
        </w:trPr>
        <w:tc>
          <w:tcPr>
            <w:tcW w:w="306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63,034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22,300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69,058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218,302</w:t>
            </w: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166,388</w:t>
            </w: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Foreign exchange gain, 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7,927</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6,796</w:t>
            </w: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52,869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8890</wp:posOffset>
            </wp:positionV>
            <wp:extent cx="643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193"/>
        <w:spacing w:after="0"/>
        <w:tabs>
          <w:tab w:leader="none" w:pos="66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Exclusive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-153670</wp:posOffset>
            </wp:positionV>
            <wp:extent cx="643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2020570</wp:posOffset>
            </wp:positionH>
            <wp:positionV relativeFrom="paragraph">
              <wp:posOffset>205740</wp:posOffset>
            </wp:positionV>
            <wp:extent cx="52139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391"/>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TT&amp;L</w:t>
            </w:r>
          </w:p>
        </w:tc>
        <w:tc>
          <w:tcPr>
            <w:tcW w:w="20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F&amp;A</w:t>
            </w: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Analytics</w:t>
            </w:r>
          </w:p>
        </w:tc>
        <w:tc>
          <w:tcPr>
            <w:tcW w:w="200" w:type="dxa"/>
            <w:vAlign w:val="bottom"/>
          </w:tcPr>
          <w:p>
            <w:pPr>
              <w:spacing w:after="0"/>
              <w:rPr>
                <w:sz w:val="24"/>
                <w:szCs w:val="24"/>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173,784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564,435</w:t>
            </w:r>
          </w:p>
        </w:tc>
      </w:tr>
      <w:tr>
        <w:trPr>
          <w:trHeight w:val="270"/>
        </w:trPr>
        <w:tc>
          <w:tcPr>
            <w:tcW w:w="30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117,675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36,687</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30,457</w:t>
            </w: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37,398</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42,629</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101,037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365,883</w:t>
            </w:r>
          </w:p>
        </w:tc>
      </w:tr>
      <w:tr>
        <w:trPr>
          <w:trHeight w:val="264"/>
        </w:trPr>
        <w:tc>
          <w:tcPr>
            <w:tcW w:w="306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56,109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53,273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198,552</w:t>
            </w:r>
          </w:p>
        </w:tc>
      </w:tr>
      <w:tr>
        <w:trPr>
          <w:trHeight w:val="20"/>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142,127</w:t>
            </w: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Foreign exchange gain, 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7,202</w:t>
            </w:r>
          </w:p>
        </w:tc>
      </w:tr>
      <w:tr>
        <w:trPr>
          <w:trHeight w:val="27"/>
        </w:trPr>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58,243</w:t>
            </w: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60" w:hanging="193"/>
        <w:spacing w:after="0"/>
        <w:tabs>
          <w:tab w:leader="none" w:pos="66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Exclusive of depreciation and amortization.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early adopted ASU 2017-12, Derivative and Hedging (Topic 815), Targeted Improvements to Accounting for Hedging Activities. Pursuant to this adoption, effective January 1, 2017, the resultant foreign exchange gain/(loss) upon settlement of cash flow hedges are recorded along with the underlying hedged item in the same income statement line as either part of “Cost of revenues”, “General and administrative expenses”, “Selling and marketing expenses”, "Depreciation and amortization”, as applicable. Refer to Note 17 to the unaudited consolidated financial statements for details.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Revenues, net of the Company by service type, were as follows: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6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3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70"/>
        </w:trPr>
        <w:tc>
          <w:tcPr>
            <w:tcW w:w="5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BPM and related services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148,417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138,601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448,782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410,125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Analytics services</w:t>
            </w:r>
          </w:p>
        </w:tc>
        <w:tc>
          <w:tcPr>
            <w:tcW w:w="26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82,707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53,744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199,427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154,310</w:t>
            </w:r>
          </w:p>
        </w:tc>
      </w:tr>
      <w:tr>
        <w:trPr>
          <w:trHeight w:val="27"/>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231,124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192,345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648,209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564,435</w:t>
            </w: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13"/>
        <w:spacing w:after="0" w:line="234" w:lineRule="auto"/>
        <w:tabs>
          <w:tab w:leader="none" w:pos="615"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BPM and related services include revenues of the Company's five industry-focused operating segments, one capability operating segment and the consulting operating segment, which provides services related to operations management services. Refer to segment disclosure above.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4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62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191,671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158,501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536,956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462,676</w:t>
            </w: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Non-United States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720"/>
              <w:spacing w:after="0"/>
              <w:rPr>
                <w:sz w:val="20"/>
                <w:szCs w:val="20"/>
                <w:color w:val="auto"/>
              </w:rPr>
            </w:pPr>
            <w:r>
              <w:rPr>
                <w:rFonts w:ascii="Arial" w:cs="Arial" w:eastAsia="Arial" w:hAnsi="Arial"/>
                <w:sz w:val="18"/>
                <w:szCs w:val="18"/>
                <w:color w:val="auto"/>
              </w:rPr>
              <w:t>United Kingdom</w:t>
            </w:r>
          </w:p>
        </w:tc>
        <w:tc>
          <w:tcPr>
            <w:tcW w:w="1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29,901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85,397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81,857</w:t>
            </w: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25,856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19,902</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Total Non-United States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39,453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33,844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111,253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101,759</w:t>
            </w:r>
          </w:p>
        </w:tc>
      </w:tr>
      <w:tr>
        <w:trPr>
          <w:trHeight w:val="27"/>
        </w:trPr>
        <w:tc>
          <w:tcPr>
            <w:tcW w:w="6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231,124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192,345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648,209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564,435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6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India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33,995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39,143</w:t>
            </w:r>
          </w:p>
        </w:tc>
      </w:tr>
      <w:tr>
        <w:trPr>
          <w:trHeight w:val="27"/>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16,371</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Philippines</w:t>
            </w:r>
          </w:p>
        </w:tc>
        <w:tc>
          <w:tcPr>
            <w:tcW w:w="2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8,217</w:t>
            </w:r>
          </w:p>
        </w:tc>
      </w:tr>
      <w:tr>
        <w:trPr>
          <w:trHeight w:val="27"/>
        </w:trPr>
        <w:tc>
          <w:tcPr>
            <w:tcW w:w="7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3,026</w:t>
            </w:r>
          </w:p>
        </w:tc>
      </w:tr>
      <w:tr>
        <w:trPr>
          <w:trHeight w:val="237"/>
        </w:trPr>
        <w:tc>
          <w:tcPr>
            <w:tcW w:w="74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67,675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66,757</w:t>
            </w:r>
          </w:p>
        </w:tc>
      </w:tr>
      <w:tr>
        <w:trPr>
          <w:trHeight w:val="27"/>
        </w:trPr>
        <w:tc>
          <w:tcPr>
            <w:tcW w:w="7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Adoption of ASU 2014-09 Topic 606, </w:t>
      </w:r>
      <w:r>
        <w:rPr>
          <w:rFonts w:ascii="Arial" w:cs="Arial" w:eastAsia="Arial" w:hAnsi="Arial"/>
          <w:sz w:val="18"/>
          <w:szCs w:val="18"/>
          <w:color w:val="auto"/>
        </w:rPr>
        <w:t>“</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January 1, 2018, the Company adopted Topic 606 using the modified retrospective method and applied its guidance to those contracts which were not completed as of January 1, 2018. Results for reporting periods beginning after January 1, 2018 are presented under Topic 606, while prior period amounts are not adjusted and continue to be reported in accordance with our historical accounting under Topic 605.The Company recorded a net addition to opening equity of $454 as of January 1, 2018 due to the cumulative impact of adopting Topic 606, primarily due to contract acquisition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adoption of Topic 606 did not have a significant impact on the measurement or recognition of revenues during the three and nine months ended September 30,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to the unaudited consolidated financial statements for revenues disaggregated by reportable segments and geography.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balances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accounts receivable, contract assets and contract liabilities from contracts with customers:</w:t>
      </w:r>
    </w:p>
    <w:p>
      <w:pPr>
        <w:spacing w:after="0" w:line="172"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460" w:type="dxa"/>
            <w:vAlign w:val="bottom"/>
          </w:tcPr>
          <w:p>
            <w:pPr>
              <w:spacing w:after="0"/>
              <w:rPr>
                <w:sz w:val="18"/>
                <w:szCs w:val="18"/>
                <w:color w:val="auto"/>
              </w:rPr>
            </w:pPr>
          </w:p>
        </w:tc>
      </w:tr>
      <w:tr>
        <w:trPr>
          <w:trHeight w:val="33"/>
        </w:trPr>
        <w:tc>
          <w:tcPr>
            <w:tcW w:w="60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6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20"/>
                <w:szCs w:val="20"/>
                <w:color w:val="auto"/>
              </w:rPr>
            </w:pPr>
          </w:p>
        </w:tc>
        <w:tc>
          <w:tcPr>
            <w:tcW w:w="146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60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135,705</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5,766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2,643</w:t>
            </w:r>
          </w:p>
        </w:tc>
      </w:tr>
      <w:tr>
        <w:trPr>
          <w:trHeight w:val="27"/>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000" w:type="dxa"/>
            <w:vAlign w:val="bottom"/>
          </w:tcPr>
          <w:p>
            <w:pPr>
              <w:ind w:left="240"/>
              <w:spacing w:after="0"/>
              <w:rPr>
                <w:sz w:val="20"/>
                <w:szCs w:val="20"/>
                <w:color w:val="auto"/>
              </w:rPr>
            </w:pPr>
            <w:r>
              <w:rPr>
                <w:rFonts w:ascii="Arial" w:cs="Arial" w:eastAsia="Arial" w:hAnsi="Arial"/>
                <w:sz w:val="18"/>
                <w:szCs w:val="18"/>
                <w:color w:val="auto"/>
              </w:rPr>
              <w:t>Deferred revenue (advance payments portion)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7,481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9,311</w:t>
            </w: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Accounts receivable includes $71,538 and $49,125 as of September 30, 2018 and December 31, 2017, respectively, representing amounts not billed to customers. The Company has accrued the unbilled receivables for work performed in accordance with the terms of contracts with customers and considers no significant performance risk associated with its unbilled receivables.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assets represents upfront payments made to customers.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Contract liabilities represents that portion of deferred revenue for which payments have been received in advance from customers including revenues attributable to certain process transition activities for which costs have been capitalized by the Company as contract fulfillment costs. The contract liabilities are included within deferred revenues in the consolidated balance sheet and are recognized as revenue as (or when) the performance obligation is fulfilled under the contract.</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recognized from the carrying value of contract liabilities as of December 31, 2017 during the three and nine months ended September 30, 2018 was $1,644 and $8,025,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acquisition costs</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had contract acquisition costs of $1,087 as of September 30, 2018. As of January 1, 2018, the Company capitalized $454 as contract acquisition costs related to contracts that were not completed. Further, the Company capitalized an additional $186 and $858 during the three and nine months ended September 30, 2018, respectively, and amortized $72 and $225 during the three and nine months ended September 30, 2018, respectively. There was no impairment loss in relation to costs capitalized. The capitalized costs are being amortized on a straight-line basis over the life of contract.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fulfillment costs</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had deferred contract fulfillment costs relating to transition activities of $4,179 and $2,769 as of September 30, 2018 and December 31, 2017, respectively. The Company capitalized an additional $1,455 and $2,140 during the three and nine months ended September 30, 2018, respectively, and amortized $335 and $730 during the three and nine months ended September 30, 2018, respectively. There was no impairment loss in relation to costs capitalized. The capitalized costs are being amortized on a straight line basis over the life of contract.</w:t>
      </w:r>
    </w:p>
    <w:p>
      <w:pPr>
        <w:spacing w:after="0" w:line="6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Consideration received from customers, if any, relating to such transition activities are classified under Contract Liabilities and are recognized ratably over the period in which the related performance obligations are fulfilled.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using the treasury stock method. Stock options, restricted stock and restricted stock units that are anti-dilutive are excluded from the computation of weighted average shares outstanding.</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2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2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15,249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52,869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58,243</w:t>
            </w: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34,458,520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33,838,374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34,472,232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w w:val="93"/>
              </w:rPr>
              <w:t>33,834,392</w:t>
            </w: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share based awards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749,471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1,205,613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745,582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1,214,280</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35,207,991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35,043,987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35,217,814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3"/>
              </w:rPr>
              <w:t>35,048,672</w:t>
            </w:r>
          </w:p>
        </w:tc>
      </w:tr>
      <w:tr>
        <w:trPr>
          <w:trHeight w:val="67"/>
        </w:trPr>
        <w:tc>
          <w:tcPr>
            <w:tcW w:w="52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82"/>
        </w:trPr>
        <w:tc>
          <w:tcPr>
            <w:tcW w:w="52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Earnings per share attributable to ExlService Holdings Inc.</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7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1.72</w:t>
            </w: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r>
      <w:tr>
        <w:trPr>
          <w:trHeight w:val="229"/>
        </w:trPr>
        <w:tc>
          <w:tcPr>
            <w:tcW w:w="5260" w:type="dxa"/>
            <w:vAlign w:val="bottom"/>
          </w:tcPr>
          <w:p>
            <w:pPr>
              <w:ind w:left="40"/>
              <w:spacing w:after="0"/>
              <w:rPr>
                <w:sz w:val="20"/>
                <w:szCs w:val="20"/>
                <w:color w:val="auto"/>
              </w:rPr>
            </w:pPr>
            <w:r>
              <w:rPr>
                <w:rFonts w:ascii="Arial" w:cs="Arial" w:eastAsia="Arial" w:hAnsi="Arial"/>
                <w:sz w:val="18"/>
                <w:szCs w:val="18"/>
                <w:color w:val="auto"/>
                <w:w w:val="96"/>
              </w:rPr>
              <w:t>Weighted average potentially dilutive shares considered anti-dilutive</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and not included in computing diluted earnings per share</w:t>
            </w: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161,792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151,961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Cash Equivalents and Restricted Cash</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 of unaudited statements of cash flows, cash, cash equivalents and restricted cash comprise of the following: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5"/>
              </w:rPr>
              <w:t>As of</w:t>
            </w:r>
          </w:p>
        </w:tc>
        <w:tc>
          <w:tcPr>
            <w:tcW w:w="1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39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w w:val="91"/>
              </w:rPr>
              <w:t>September 30, 2018</w:t>
            </w: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7"/>
              </w:rPr>
              <w:t>September 30, 2017</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97,636</w:t>
            </w:r>
          </w:p>
        </w:tc>
        <w:tc>
          <w:tcPr>
            <w:tcW w:w="400" w:type="dxa"/>
            <w:vAlign w:val="bottom"/>
            <w:tcBorders>
              <w:bottom w:val="single" w:sz="8" w:color="CCEEFF"/>
            </w:tcBorders>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87,665</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Restricted cash (current)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105,814</w:t>
            </w:r>
          </w:p>
        </w:tc>
        <w:tc>
          <w:tcPr>
            <w:tcW w:w="80" w:type="dxa"/>
            <w:vAlign w:val="bottom"/>
            <w:tcBorders>
              <w:top w:val="single" w:sz="8" w:color="auto"/>
            </w:tcBorders>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93,288</w:t>
            </w:r>
          </w:p>
        </w:tc>
        <w:tc>
          <w:tcPr>
            <w:tcW w:w="0" w:type="dxa"/>
            <w:vAlign w:val="bottom"/>
          </w:tcPr>
          <w:p>
            <w:pPr>
              <w:spacing w:after="0"/>
              <w:rPr>
                <w:sz w:val="1"/>
                <w:szCs w:val="1"/>
                <w:color w:val="auto"/>
              </w:rPr>
            </w:pPr>
          </w:p>
        </w:tc>
      </w:tr>
      <w:tr>
        <w:trPr>
          <w:trHeight w:val="27"/>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Other Income, net</w:t>
            </w: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7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4420" w:type="dxa"/>
            <w:vAlign w:val="bottom"/>
            <w:gridSpan w:val="2"/>
          </w:tcPr>
          <w:p>
            <w:pPr>
              <w:ind w:left="80"/>
              <w:spacing w:after="0"/>
              <w:rPr>
                <w:sz w:val="20"/>
                <w:szCs w:val="20"/>
                <w:color w:val="auto"/>
              </w:rPr>
            </w:pPr>
            <w:r>
              <w:rPr>
                <w:rFonts w:ascii="Arial" w:cs="Arial" w:eastAsia="Arial" w:hAnsi="Arial"/>
                <w:sz w:val="18"/>
                <w:szCs w:val="18"/>
                <w:color w:val="auto"/>
              </w:rPr>
              <w:t>Other income, net consists of the following:</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80" w:type="dxa"/>
            <w:vAlign w:val="bottom"/>
            <w:gridSpan w:val="6"/>
          </w:tcPr>
          <w:p>
            <w:pPr>
              <w:jc w:val="right"/>
              <w:ind w:right="25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96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400" w:type="dxa"/>
            <w:vAlign w:val="bottom"/>
            <w:tcBorders>
              <w:bottom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Gain on sale of mutual funds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6,777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 net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8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2,466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8,495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 of the following:</w:t>
      </w:r>
    </w:p>
    <w:p>
      <w:pPr>
        <w:spacing w:after="0" w:line="33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Estimated useful lives</w:t>
            </w: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80" w:type="dxa"/>
            <w:vAlign w:val="bottom"/>
            <w:tcBorders>
              <w:bottom w:val="single" w:sz="8" w:color="auto"/>
            </w:tcBorders>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22"/>
                <w:szCs w:val="22"/>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2"/>
                <w:szCs w:val="22"/>
                <w:color w:val="auto"/>
              </w:rPr>
            </w:pPr>
          </w:p>
        </w:tc>
        <w:tc>
          <w:tcPr>
            <w:tcW w:w="158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December 31, 2017</w:t>
            </w:r>
          </w:p>
        </w:tc>
      </w:tr>
      <w:tr>
        <w:trPr>
          <w:trHeight w:val="25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Network equipment and computers</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78,693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77,587</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59,325</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37,079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38,857</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19,667</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638</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Land</w:t>
            </w:r>
          </w:p>
        </w:tc>
        <w:tc>
          <w:tcPr>
            <w:tcW w:w="2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815</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work in progress</w:t>
            </w:r>
          </w:p>
        </w:tc>
        <w:tc>
          <w:tcPr>
            <w:tcW w:w="2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9,184</w:t>
            </w:r>
          </w:p>
        </w:tc>
      </w:tr>
      <w:tr>
        <w:trPr>
          <w:trHeight w:val="237"/>
        </w:trPr>
        <w:tc>
          <w:tcPr>
            <w:tcW w:w="4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211,572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207,318</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(141,059)</w:t>
            </w:r>
          </w:p>
        </w:tc>
      </w:tr>
      <w:tr>
        <w:trPr>
          <w:trHeight w:val="237"/>
        </w:trPr>
        <w:tc>
          <w:tcPr>
            <w:tcW w:w="48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67,287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66,259</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 under capital leases:</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941</w:t>
            </w:r>
          </w:p>
        </w:tc>
      </w:tr>
      <w:tr>
        <w:trPr>
          <w:trHeight w:val="27"/>
        </w:trPr>
        <w:tc>
          <w:tcPr>
            <w:tcW w:w="4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710</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7"/>
        </w:trPr>
        <w:tc>
          <w:tcPr>
            <w:tcW w:w="48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67,675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66,757</w:t>
            </w:r>
          </w:p>
        </w:tc>
      </w:tr>
      <w:tr>
        <w:trPr>
          <w:trHeight w:val="20"/>
        </w:trPr>
        <w:tc>
          <w:tcPr>
            <w:tcW w:w="4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property and equipment and cost incurred to develop software not yet ready to be placed in service.</w:t>
      </w:r>
    </w:p>
    <w:p>
      <w:pPr>
        <w:spacing w:after="0" w:line="170"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The depreciation and amortization expense excluding amortization of acquisition-related intangibles recognized in the unaudited consolidated statements of income was as follows:</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1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0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7,381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6,095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20,759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17,997</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January 1, 2017, the depreciation and amortization expenses set forth above includes the effect of foreign exchange gain/(loss) upon settlement of cash flow hedges, amounting to ($33) and $125 for the three months ended and $160 and $282 for the nine months ended September 30, 2018 and 2017, respectively. Refer to Note 17 to the unaudited consolidated financial statements for further details.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Internally developed software costs, included under Software,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1"/>
              </w:rPr>
              <w:t>As of</w:t>
            </w:r>
          </w:p>
        </w:tc>
        <w:tc>
          <w:tcPr>
            <w:tcW w:w="188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September 30, 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2,571</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Less : Accumulated amortization</w:t>
            </w:r>
          </w:p>
        </w:tc>
        <w:tc>
          <w:tcPr>
            <w:tcW w:w="30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9"/>
        </w:trPr>
        <w:tc>
          <w:tcPr>
            <w:tcW w:w="5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960" w:firstLine="8"/>
        <w:spacing w:after="0" w:line="407" w:lineRule="auto"/>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Goodwill and Intangible Assets SCIOinspire Holdings Inc.</w:t>
      </w:r>
    </w:p>
    <w:p>
      <w:pPr>
        <w:spacing w:after="0" w:line="16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July 1, 2018, the Company, through its wholly owned subsidiary ExlService.com, LLC (“Buyer”) and Buyer’s wholly owned subsidiary, ExlService Cayman Merger Sub, completed the acquisition of SCIO pursuant to an Agreement of Merger dated April 28, 2018 (the "Merger Agreement"). ExlService Cayman Merger Sub, merged with and into SCIO, with SCIO surviving the merger as a wholly-owned subsidiary of the Buyer.</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SCIO is a health analytics solution and services company serving over 100 healthcare organizations representing over 130 million covered lives across the continuum including providers, health plans, pharmacy benefit managers, employers, health services and global life sciences companies. The acquisition is expected to significantly strengthen the Company’s capability in the high growth cost optimization and care optimization markets. The acquisition of SCIO is included in the Analytics reportable segment.</w:t>
      </w:r>
    </w:p>
    <w:p>
      <w:pPr>
        <w:spacing w:after="0" w:line="18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preliminary estimated aggregate purchase consideration was $245,491, including estimated cash and cash equivalents acquired and incorporating estimated post-closing adjustments. The aggregate base purchase consideration payable at closing of the merger was $236,500 based on completion of diligence, which was adjusted based on, among other things, SCIO’s cash, debt, working capital position and other adjustments as of the Closing as set forth in the Merger Agreement. To finance the acquisition at Closing, the Company utilized its revolving credit facility in the amount of $233,000, issued 69,459 shares of restricted common stock of the Company in the amount of $4,080 and paid the balance with available cash on hand.</w:t>
      </w:r>
    </w:p>
    <w:p>
      <w:pPr>
        <w:spacing w:after="0" w:line="1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Pursuant to the Company’s business combinations accounting policy, the total estimated purchase consideration for SCIO was allocated to identifiable net tangible and intangible assets based upon their preliminary fair values. The excess of the estimated purchase consideration over fair value of identifiable net tangible and intangible assets was recorded as goodwill. The preliminary purchase price allocation is subject to change during the one-year measurement period as the Company obtains additional information about these net tangible and intangible assets. In order to allocate the consideration transferred for SCIO, the fair values of all identifiable assets and liabilities must be established. For accounting and financial reporting purposes, fair value is defined under ASC Topic 820, “Fair Value Measurement and Disclosure”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The Company’s preliminary purchase price allocation to net tangible and intangible assets of SCIO is as follows:</w:t>
            </w: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94"/>
        </w:trPr>
        <w:tc>
          <w:tcPr>
            <w:tcW w:w="280" w:type="dxa"/>
            <w:vAlign w:val="bottom"/>
          </w:tcPr>
          <w:p>
            <w:pPr>
              <w:spacing w:after="0"/>
              <w:rPr>
                <w:sz w:val="24"/>
                <w:szCs w:val="24"/>
                <w:color w:val="auto"/>
              </w:rPr>
            </w:pPr>
          </w:p>
        </w:tc>
        <w:tc>
          <w:tcPr>
            <w:tcW w:w="9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280" w:type="dxa"/>
            <w:vAlign w:val="bottom"/>
          </w:tcPr>
          <w:p>
            <w:pPr>
              <w:spacing w:after="0"/>
              <w:rPr>
                <w:sz w:val="2"/>
                <w:szCs w:val="2"/>
                <w:color w:val="auto"/>
              </w:rPr>
            </w:pPr>
          </w:p>
        </w:tc>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10,026</w:t>
            </w:r>
          </w:p>
        </w:tc>
      </w:tr>
      <w:tr>
        <w:trPr>
          <w:trHeight w:val="243"/>
        </w:trPr>
        <w:tc>
          <w:tcPr>
            <w:tcW w:w="28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2,790</w:t>
            </w:r>
          </w:p>
        </w:tc>
      </w:tr>
      <w:tr>
        <w:trPr>
          <w:trHeight w:val="27"/>
        </w:trPr>
        <w:tc>
          <w:tcPr>
            <w:tcW w:w="280" w:type="dxa"/>
            <w:vAlign w:val="bottom"/>
          </w:tcPr>
          <w:p>
            <w:pPr>
              <w:spacing w:after="0"/>
              <w:rPr>
                <w:sz w:val="2"/>
                <w:szCs w:val="2"/>
                <w:color w:val="auto"/>
              </w:rPr>
            </w:pPr>
          </w:p>
        </w:tc>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19,924</w:t>
            </w:r>
          </w:p>
        </w:tc>
      </w:tr>
      <w:tr>
        <w:trPr>
          <w:trHeight w:val="243"/>
        </w:trPr>
        <w:tc>
          <w:tcPr>
            <w:tcW w:w="28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1,798</w:t>
            </w:r>
          </w:p>
        </w:tc>
      </w:tr>
      <w:tr>
        <w:trPr>
          <w:trHeight w:val="27"/>
        </w:trPr>
        <w:tc>
          <w:tcPr>
            <w:tcW w:w="280" w:type="dxa"/>
            <w:vAlign w:val="bottom"/>
          </w:tcPr>
          <w:p>
            <w:pPr>
              <w:spacing w:after="0"/>
              <w:rPr>
                <w:sz w:val="2"/>
                <w:szCs w:val="2"/>
                <w:color w:val="auto"/>
              </w:rPr>
            </w:pPr>
          </w:p>
        </w:tc>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r>
      <w:tr>
        <w:trPr>
          <w:trHeight w:val="243"/>
        </w:trPr>
        <w:tc>
          <w:tcPr>
            <w:tcW w:w="28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1,751</w:t>
            </w:r>
          </w:p>
        </w:tc>
      </w:tr>
      <w:tr>
        <w:trPr>
          <w:trHeight w:val="27"/>
        </w:trPr>
        <w:tc>
          <w:tcPr>
            <w:tcW w:w="280" w:type="dxa"/>
            <w:vAlign w:val="bottom"/>
          </w:tcPr>
          <w:p>
            <w:pPr>
              <w:spacing w:after="0"/>
              <w:rPr>
                <w:sz w:val="2"/>
                <w:szCs w:val="2"/>
                <w:color w:val="auto"/>
              </w:rPr>
            </w:pPr>
          </w:p>
        </w:tc>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924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47,800</w:t>
            </w:r>
          </w:p>
        </w:tc>
      </w:tr>
      <w:tr>
        <w:trPr>
          <w:trHeight w:val="27"/>
        </w:trPr>
        <w:tc>
          <w:tcPr>
            <w:tcW w:w="280" w:type="dxa"/>
            <w:vAlign w:val="bottom"/>
          </w:tcPr>
          <w:p>
            <w:pPr>
              <w:spacing w:after="0"/>
              <w:rPr>
                <w:sz w:val="2"/>
                <w:szCs w:val="2"/>
                <w:color w:val="auto"/>
              </w:rPr>
            </w:pPr>
          </w:p>
        </w:tc>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Developed technology</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28,900</w:t>
            </w:r>
          </w:p>
        </w:tc>
      </w:tr>
      <w:tr>
        <w:trPr>
          <w:trHeight w:val="243"/>
        </w:trPr>
        <w:tc>
          <w:tcPr>
            <w:tcW w:w="280" w:type="dxa"/>
            <w:vAlign w:val="bottom"/>
          </w:tcPr>
          <w:p>
            <w:pPr>
              <w:spacing w:after="0"/>
              <w:rPr>
                <w:sz w:val="21"/>
                <w:szCs w:val="21"/>
                <w:color w:val="auto"/>
              </w:rPr>
            </w:pPr>
          </w:p>
        </w:tc>
        <w:tc>
          <w:tcPr>
            <w:tcW w:w="9240" w:type="dxa"/>
            <w:vAlign w:val="bottom"/>
          </w:tcPr>
          <w:p>
            <w:pPr>
              <w:ind w:left="260"/>
              <w:spacing w:after="0"/>
              <w:rPr>
                <w:sz w:val="20"/>
                <w:szCs w:val="20"/>
                <w:color w:val="auto"/>
              </w:rPr>
            </w:pPr>
            <w:r>
              <w:rPr>
                <w:rFonts w:ascii="Arial" w:cs="Arial" w:eastAsia="Arial" w:hAnsi="Arial"/>
                <w:sz w:val="18"/>
                <w:szCs w:val="18"/>
                <w:color w:val="auto"/>
              </w:rPr>
              <w:t>Trade names and trademarks</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3,700</w:t>
            </w:r>
          </w:p>
        </w:tc>
      </w:tr>
      <w:tr>
        <w:trPr>
          <w:trHeight w:val="27"/>
        </w:trPr>
        <w:tc>
          <w:tcPr>
            <w:tcW w:w="280" w:type="dxa"/>
            <w:vAlign w:val="bottom"/>
          </w:tcPr>
          <w:p>
            <w:pPr>
              <w:spacing w:after="0"/>
              <w:rPr>
                <w:sz w:val="2"/>
                <w:szCs w:val="2"/>
                <w:color w:val="auto"/>
              </w:rPr>
            </w:pPr>
          </w:p>
        </w:tc>
        <w:tc>
          <w:tcPr>
            <w:tcW w:w="92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28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118,513</w:t>
            </w:r>
          </w:p>
        </w:tc>
      </w:tr>
      <w:tr>
        <w:trPr>
          <w:trHeight w:val="243"/>
        </w:trPr>
        <w:tc>
          <w:tcPr>
            <w:tcW w:w="28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8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(11,679)</w:t>
            </w:r>
          </w:p>
        </w:tc>
      </w:tr>
      <w:tr>
        <w:trPr>
          <w:trHeight w:val="243"/>
        </w:trPr>
        <w:tc>
          <w:tcPr>
            <w:tcW w:w="28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(19,052)</w:t>
            </w:r>
          </w:p>
        </w:tc>
      </w:tr>
      <w:tr>
        <w:trPr>
          <w:trHeight w:val="27"/>
        </w:trPr>
        <w:tc>
          <w:tcPr>
            <w:tcW w:w="280" w:type="dxa"/>
            <w:vAlign w:val="bottom"/>
          </w:tcPr>
          <w:p>
            <w:pPr>
              <w:spacing w:after="0"/>
              <w:rPr>
                <w:sz w:val="2"/>
                <w:szCs w:val="2"/>
                <w:color w:val="auto"/>
              </w:rPr>
            </w:pPr>
          </w:p>
        </w:tc>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80" w:type="dxa"/>
            <w:vAlign w:val="bottom"/>
          </w:tcPr>
          <w:p>
            <w:pPr>
              <w:spacing w:after="0"/>
              <w:rPr>
                <w:sz w:val="23"/>
                <w:szCs w:val="23"/>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2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(30,931)</w:t>
            </w:r>
          </w:p>
        </w:tc>
      </w:tr>
      <w:tr>
        <w:trPr>
          <w:trHeight w:val="27"/>
        </w:trPr>
        <w:tc>
          <w:tcPr>
            <w:tcW w:w="280" w:type="dxa"/>
            <w:vAlign w:val="bottom"/>
          </w:tcPr>
          <w:p>
            <w:pPr>
              <w:spacing w:after="0"/>
              <w:rPr>
                <w:sz w:val="2"/>
                <w:szCs w:val="2"/>
                <w:color w:val="auto"/>
              </w:rPr>
            </w:pPr>
          </w:p>
        </w:tc>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7"/>
        </w:trPr>
        <w:tc>
          <w:tcPr>
            <w:tcW w:w="280" w:type="dxa"/>
            <w:vAlign w:val="bottom"/>
          </w:tcPr>
          <w:p>
            <w:pPr>
              <w:spacing w:after="0"/>
              <w:rPr>
                <w:sz w:val="24"/>
                <w:szCs w:val="24"/>
                <w:color w:val="auto"/>
              </w:rPr>
            </w:pPr>
          </w:p>
        </w:tc>
        <w:tc>
          <w:tcPr>
            <w:tcW w:w="9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280" w:type="dxa"/>
            <w:vAlign w:val="bottom"/>
          </w:tcPr>
          <w:p>
            <w:pPr>
              <w:spacing w:after="0"/>
              <w:rPr>
                <w:sz w:val="21"/>
                <w:szCs w:val="21"/>
                <w:color w:val="auto"/>
              </w:rPr>
            </w:pPr>
          </w:p>
        </w:tc>
        <w:tc>
          <w:tcPr>
            <w:tcW w:w="9240" w:type="dxa"/>
            <w:vAlign w:val="bottom"/>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87,582</w:t>
            </w:r>
          </w:p>
        </w:tc>
      </w:tr>
      <w:tr>
        <w:trPr>
          <w:trHeight w:val="27"/>
        </w:trPr>
        <w:tc>
          <w:tcPr>
            <w:tcW w:w="280" w:type="dxa"/>
            <w:vAlign w:val="bottom"/>
          </w:tcPr>
          <w:p>
            <w:pPr>
              <w:spacing w:after="0"/>
              <w:rPr>
                <w:sz w:val="2"/>
                <w:szCs w:val="2"/>
                <w:color w:val="auto"/>
              </w:rPr>
            </w:pPr>
          </w:p>
        </w:tc>
        <w:tc>
          <w:tcPr>
            <w:tcW w:w="9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280" w:type="dxa"/>
            <w:vAlign w:val="bottom"/>
          </w:tcPr>
          <w:p>
            <w:pPr>
              <w:spacing w:after="0"/>
              <w:rPr>
                <w:sz w:val="23"/>
                <w:szCs w:val="23"/>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157,909</w:t>
            </w:r>
          </w:p>
        </w:tc>
      </w:tr>
      <w:tr>
        <w:trPr>
          <w:trHeight w:val="257"/>
        </w:trPr>
        <w:tc>
          <w:tcPr>
            <w:tcW w:w="280" w:type="dxa"/>
            <w:vAlign w:val="bottom"/>
          </w:tcPr>
          <w:p>
            <w:pPr>
              <w:spacing w:after="0"/>
              <w:rPr>
                <w:sz w:val="22"/>
                <w:szCs w:val="22"/>
                <w:color w:val="auto"/>
              </w:rPr>
            </w:pPr>
          </w:p>
        </w:tc>
        <w:tc>
          <w:tcPr>
            <w:tcW w:w="9240" w:type="dxa"/>
            <w:vAlign w:val="bottom"/>
          </w:tcPr>
          <w:p>
            <w:pPr>
              <w:ind w:left="20"/>
              <w:spacing w:after="0"/>
              <w:rPr>
                <w:sz w:val="20"/>
                <w:szCs w:val="20"/>
                <w:color w:val="auto"/>
              </w:rPr>
            </w:pPr>
            <w:r>
              <w:rPr>
                <w:rFonts w:ascii="Arial" w:cs="Arial" w:eastAsia="Arial" w:hAnsi="Arial"/>
                <w:sz w:val="18"/>
                <w:szCs w:val="18"/>
                <w:b w:val="1"/>
                <w:bCs w:val="1"/>
                <w:color w:val="auto"/>
              </w:rPr>
              <w:t>Total purchase consideration</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245,491</w:t>
            </w:r>
          </w:p>
        </w:tc>
      </w:tr>
      <w:tr>
        <w:trPr>
          <w:trHeight w:val="20"/>
        </w:trPr>
        <w:tc>
          <w:tcPr>
            <w:tcW w:w="28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fair values of the trade names and trademarks intangible assets were determined by using an “income approach”, specifically the relief-from-royalty approach. The basic principle of the relief-from-royalty method is that without ownership of the subject intangible asset, the user of that intangible asset would have to make a stream of payments to the owner of the asset in return for the rights to use that asset. By acquiring the intangible asset, the user avoids these payments. Therefore, a portion of SCIO’s earnings, equal to the after-tax royalty that would have been paid for the use of the asset, can be attributed to the firm’s ownership. The trade names and trademarks are being amortized on a straight-line basis (which approximates the economic pattern of benefits) over the estimated economic life of 3 years.</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values of the developed technology intangible assets were also determined by the relief-from-royalty approach. Similarly, this approach is based on the assumption that in lieu of ownership, a firm would be willing to pay a royalty in order to exploit the related benefits of the technology. Therefore, a portion of SCIO’s earnings, equal to the after-tax royalty that would have been paid for the use of the technology, can be attributed to the firm’s ownership of the technology. The technology assets are being amortized on a straight-line basis (which approximates the economic pattern of benefits) over the estimated economic life of 5 years.</w:t>
      </w:r>
    </w:p>
    <w:p>
      <w:pPr>
        <w:spacing w:after="0" w:line="18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fair values of the customer relationships were determined by using an “income approach”, specifically the Multi-Period Excess Earnings Method ("MPEEM"). The MPEEM is a specific application of the discounted cash flow method. The principle behind the MPEEM is that the value of an intangible asset is equal to the present value of the incremental after-tax cash flows attributable only to the subject intangible asset after deducting Contributory Asset Charges ("CAC"). The principle behind a CAC is that an intangible asset ‘rents’ or ‘leases’ from a hypothetical third party all the assets it requires to produce the cash flows resulting from its development, that each project rents only those assets it needs (including elements of goodwill) and not the ones that it does not need, and that each project pays the owner of the assets a fair return on (and of, when appropriate) the value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rented assets. The customer relationship assets are being amortized on a straight-line basis (which approximates the economic pattern of benefits) over the estimated economic life of 10 years.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goodwill recognized is attributable primarily to expected synergies from continuing operations of SCIO and the Company. The amount of goodwill recognized from SCIO's acquisition is not deductible for tax purposes. The goodwill has been assigned to our Analytics reportable segment based upon the Company’s assessment of nature of services rendered by SCIO.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 Forma Data</w:t>
      </w:r>
    </w:p>
    <w:p>
      <w:pPr>
        <w:spacing w:after="0" w:line="22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completed the acquisition of SCIO on July 1, 2018 and accordingly SCIO’s operations for the period from July 1, 2018 to September 30, 2018 are included in the Company’s consolidated statements of income. SCIO contributed revenues of $19,205 for the period from the completion of acquisition through September 30, 2018. The Company does not allocate other operating expenses, interest expense or income taxes by legal entity, and therefore the Company has not presented earnings of SCIO for the period from the completion of acquisition through September 30, 2018. The following unaudited pro forma results of operations have been prepared using the acquisition method of accounting to give effect to the SCIO acquisition as though it occurred on January 1, 2017. The pro forma amounts reflect certain adjustments, such as amortization of intangible assets acquired, interest expense related to borrowings not assumed by the Company and stock based compensation expense. The unaudited pro forma financial information is presented for illustrative purposes only, is based on a preliminary purchase price allocation, and is not necessarily indicative of the results of operations that would have actually been reported had the acquisitions occurred on January 1, 2017, nor is it necessarily indicative of the future results of operations of the combined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58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689,269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615,157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15,395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19,580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51,666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51,820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r>
      <w:tr>
        <w:trPr>
          <w:trHeight w:val="27"/>
        </w:trPr>
        <w:tc>
          <w:tcPr>
            <w:tcW w:w="5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Integrated, Inc.</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22, 2017, a wholly owned subsidiary of the Company entered into an Asset Purchase Agreement to acquire substantially all the assets and assumed certain liabilities of Health Integrated, Inc. (“Health Integrated”), a company based in Tampa, Florida. The initial purchase price consisted of $22,577 in cash including working capital adjustment. The purchase agreement allows sellers the ability to earn up to $5,000 as earn-out, based on the achievement of certain performance goals by the acquired Health Integrated business during the 2018 calendar year. The earn-out was fair valued at $920 as of December 31, 2017. As of September 30, 2018 fair value of earn-out is Nil.</w:t>
      </w:r>
    </w:p>
    <w:p>
      <w:pPr>
        <w:spacing w:after="0" w:line="8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 portion of the purchase price otherwise payable was placed into escrow as security for the post-closing working capital adjustments and the indemnification obligations under the Asset Purchase Agreement.</w:t>
      </w:r>
    </w:p>
    <w:p>
      <w:pPr>
        <w:spacing w:after="0" w:line="6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Health Integrated provides dedicated care management services on behalf of health plans. Its services include case management, utilization management, disease management, special needs programs and multichronic care management. Health Integrated serves millions of lives in the Medicaid, Medicare, and dual eligible populations. It is known for its strong capabilities in improving member health status through behavioral change. Accordingly, the Company paid a premium for the acquisition, which is reflected in the goodwill recognized from the purchase price allocation. The acquisition of Health Integrated is included in the Healthcare reportable segment.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9240" w:type="dxa"/>
            <w:vAlign w:val="bottom"/>
          </w:tcPr>
          <w:p>
            <w:pPr>
              <w:jc w:val="center"/>
              <w:ind w:left="1550"/>
              <w:spacing w:after="0"/>
              <w:rPr>
                <w:sz w:val="20"/>
                <w:szCs w:val="20"/>
                <w:color w:val="auto"/>
              </w:rPr>
            </w:pPr>
            <w:r>
              <w:rPr>
                <w:rFonts w:ascii="Arial" w:cs="Arial" w:eastAsia="Arial" w:hAnsi="Arial"/>
                <w:sz w:val="18"/>
                <w:szCs w:val="18"/>
                <w:b w:val="1"/>
                <w:bCs w:val="1"/>
                <w:color w:val="auto"/>
              </w:rPr>
              <w:t>EXLSERVICE HOLDINGS, INC.</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87"/>
        </w:trPr>
        <w:tc>
          <w:tcPr>
            <w:tcW w:w="924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NOTES TO UNAUDITED CONSOLIDATED FINANCIAL STATEMENTS—(continued)</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9240" w:type="dxa"/>
            <w:vAlign w:val="bottom"/>
          </w:tcPr>
          <w:p>
            <w:pPr>
              <w:jc w:val="center"/>
              <w:ind w:left="1530"/>
              <w:spacing w:after="0"/>
              <w:rPr>
                <w:sz w:val="20"/>
                <w:szCs w:val="20"/>
                <w:color w:val="auto"/>
              </w:rPr>
            </w:pPr>
            <w:r>
              <w:rPr>
                <w:rFonts w:ascii="Arial" w:cs="Arial" w:eastAsia="Arial" w:hAnsi="Arial"/>
                <w:sz w:val="18"/>
                <w:szCs w:val="18"/>
                <w:b w:val="1"/>
                <w:bCs w:val="1"/>
                <w:color w:val="auto"/>
                <w:w w:val="89"/>
              </w:rPr>
              <w:t>September 30, 2018</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9240" w:type="dxa"/>
            <w:vAlign w:val="bottom"/>
          </w:tcPr>
          <w:p>
            <w:pPr>
              <w:jc w:val="center"/>
              <w:ind w:left="15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67"/>
        </w:trPr>
        <w:tc>
          <w:tcPr>
            <w:tcW w:w="9240" w:type="dxa"/>
            <w:vAlign w:val="bottom"/>
          </w:tcPr>
          <w:p>
            <w:pPr>
              <w:ind w:left="140"/>
              <w:spacing w:after="0"/>
              <w:rPr>
                <w:sz w:val="20"/>
                <w:szCs w:val="20"/>
                <w:color w:val="auto"/>
              </w:rPr>
            </w:pPr>
            <w:r>
              <w:rPr>
                <w:rFonts w:ascii="Arial" w:cs="Arial" w:eastAsia="Arial" w:hAnsi="Arial"/>
                <w:sz w:val="18"/>
                <w:szCs w:val="18"/>
                <w:color w:val="auto"/>
                <w:w w:val="99"/>
              </w:rPr>
              <w:t>The Company finalized its purchase price allocation for the acquisition based on their fair values as set forth below:</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2"/>
        </w:trPr>
        <w:tc>
          <w:tcPr>
            <w:tcW w:w="9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431"/>
              <w:spacing w:after="0"/>
              <w:rPr>
                <w:sz w:val="20"/>
                <w:szCs w:val="20"/>
                <w:color w:val="auto"/>
              </w:rPr>
            </w:pPr>
            <w:r>
              <w:rPr>
                <w:rFonts w:ascii="Arial" w:cs="Arial" w:eastAsia="Arial" w:hAnsi="Arial"/>
                <w:sz w:val="16"/>
                <w:szCs w:val="16"/>
                <w:b w:val="1"/>
                <w:bCs w:val="1"/>
                <w:color w:val="auto"/>
              </w:rPr>
              <w:t>Amount</w:t>
            </w:r>
          </w:p>
        </w:tc>
      </w:tr>
      <w:tr>
        <w:trPr>
          <w:trHeight w:val="33"/>
        </w:trPr>
        <w:tc>
          <w:tcPr>
            <w:tcW w:w="9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5,475</w:t>
            </w:r>
          </w:p>
        </w:tc>
      </w:tr>
      <w:tr>
        <w:trPr>
          <w:trHeight w:val="243"/>
        </w:trPr>
        <w:tc>
          <w:tcPr>
            <w:tcW w:w="92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(5,733)</w:t>
            </w:r>
          </w:p>
        </w:tc>
      </w:tr>
      <w:tr>
        <w:trPr>
          <w:trHeight w:val="27"/>
        </w:trPr>
        <w:tc>
          <w:tcPr>
            <w:tcW w:w="9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Identifiable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6,760</w:t>
            </w:r>
          </w:p>
        </w:tc>
      </w:tr>
      <w:tr>
        <w:trPr>
          <w:trHeight w:val="27"/>
        </w:trPr>
        <w:tc>
          <w:tcPr>
            <w:tcW w:w="9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1,510</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Trade names and trademarks</w:t>
            </w:r>
          </w:p>
        </w:tc>
        <w:tc>
          <w:tcPr>
            <w:tcW w:w="3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570</w:t>
            </w:r>
          </w:p>
        </w:tc>
      </w:tr>
      <w:tr>
        <w:trPr>
          <w:trHeight w:val="27"/>
        </w:trPr>
        <w:tc>
          <w:tcPr>
            <w:tcW w:w="9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14,229</w:t>
            </w:r>
          </w:p>
        </w:tc>
      </w:tr>
      <w:tr>
        <w:trPr>
          <w:trHeight w:val="257"/>
        </w:trPr>
        <w:tc>
          <w:tcPr>
            <w:tcW w:w="92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22,811</w:t>
            </w:r>
          </w:p>
        </w:tc>
      </w:tr>
      <w:tr>
        <w:trPr>
          <w:trHeight w:val="20"/>
        </w:trPr>
        <w:tc>
          <w:tcPr>
            <w:tcW w:w="9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 of goodwill recognized from the Health Integrated acquisition is deductible for tax purposes.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customer relationships from the Health Integrated acquisition are being amortized over the weighted average useful life of 7.0 years and developed technology and trademarks are being amortized over the useful life of 1.0 year and 2.0 years,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Acquisition-related costs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Acquisition-related costs are being expensed as incurred and are included in general and administrative expenses in the unaudited consolidated statements of income. The Company recognized acquisition-related costs, which were incurred to effect business combination, for its SCIO and Health Integrated acquisitions of $323 and $457 during the three months ended September 30, 2018 and 2017, respectively, and recognized $1,230 and $505 for the nine months ended September 30, 2018 and 2017,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details of the Company’s goodwill balance as of September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Insurance</w:t>
            </w:r>
          </w:p>
        </w:tc>
        <w:tc>
          <w:tcPr>
            <w:tcW w:w="18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F&amp;A</w:t>
            </w: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at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186,770</w:t>
            </w:r>
          </w:p>
        </w:tc>
      </w:tr>
      <w:tr>
        <w:trPr>
          <w:trHeight w:val="243"/>
        </w:trPr>
        <w:tc>
          <w:tcPr>
            <w:tcW w:w="274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15,957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15,957</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Currency translation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w w:val="98"/>
              </w:rPr>
              <w:t>Balance as at December 31,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38,333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35,233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13,679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63,538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204,481</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157,909</w:t>
            </w:r>
          </w:p>
        </w:tc>
      </w:tr>
      <w:tr>
        <w:trPr>
          <w:trHeight w:val="229"/>
        </w:trPr>
        <w:tc>
          <w:tcPr>
            <w:tcW w:w="2740" w:type="dxa"/>
            <w:vAlign w:val="bottom"/>
          </w:tcPr>
          <w:p>
            <w:pPr>
              <w:ind w:left="380"/>
              <w:spacing w:after="0"/>
              <w:rPr>
                <w:sz w:val="20"/>
                <w:szCs w:val="20"/>
                <w:color w:val="auto"/>
              </w:rPr>
            </w:pPr>
            <w:r>
              <w:rPr>
                <w:rFonts w:ascii="Arial" w:cs="Arial" w:eastAsia="Arial" w:hAnsi="Arial"/>
                <w:sz w:val="18"/>
                <w:szCs w:val="18"/>
                <w:color w:val="auto"/>
              </w:rPr>
              <w:t>Measurement period</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740" w:type="dxa"/>
            <w:vAlign w:val="bottom"/>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Currency translation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w w:val="96"/>
              </w:rPr>
              <w:t>Balance as at September 30,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38,240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33,505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12,299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221,447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357,533</w:t>
            </w:r>
          </w:p>
        </w:tc>
      </w:tr>
      <w:tr>
        <w:trPr>
          <w:trHeight w:val="27"/>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13"/>
        <w:spacing w:after="0" w:line="312" w:lineRule="auto"/>
        <w:tabs>
          <w:tab w:leader="none" w:pos="554"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Subsequent to December 31, 2017, adjustments of $1,728 have been made to the Health Integrated amounts of net tangible assets acquired and the earn-out with the corresponding offsets to goodwill. These adjustments are within the measurement period and have been accounted for prospectively. These adjustments did not have a significant impact on the Company’s unaudited consolidated statements of income, balance sheets or cash flows.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As of September 30, 2018</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2"/>
        </w:trPr>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ind w:left="400"/>
              <w:spacing w:after="0" w:line="15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right"/>
              <w:ind w:right="540"/>
              <w:spacing w:after="0" w:line="153" w:lineRule="exact"/>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3"/>
                <w:szCs w:val="13"/>
                <w:color w:val="auto"/>
              </w:rPr>
            </w:pPr>
          </w:p>
        </w:tc>
      </w:tr>
      <w:tr>
        <w:trPr>
          <w:trHeight w:val="192"/>
        </w:trPr>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w w:val="96"/>
              </w:rPr>
              <w:t>Carrying 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6"/>
          </w:tcPr>
          <w:p>
            <w:pPr>
              <w:ind w:left="40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r>
      <w:tr>
        <w:trPr>
          <w:trHeight w:val="250"/>
        </w:trPr>
        <w:tc>
          <w:tcPr>
            <w:tcW w:w="80" w:type="dxa"/>
            <w:vAlign w:val="bottom"/>
          </w:tcPr>
          <w:p>
            <w:pPr>
              <w:spacing w:after="0"/>
              <w:rPr>
                <w:sz w:val="21"/>
                <w:szCs w:val="21"/>
                <w:color w:val="auto"/>
              </w:rPr>
            </w:pPr>
          </w:p>
        </w:tc>
        <w:tc>
          <w:tcPr>
            <w:tcW w:w="48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3"/>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129,788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(52,570)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77,218</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3"/>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44,677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(13,043)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31,634</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4820" w:type="dxa"/>
            <w:vAlign w:val="bottom"/>
            <w:gridSpan w:val="3"/>
          </w:tcPr>
          <w:p>
            <w:pPr>
              <w:ind w:left="20"/>
              <w:spacing w:after="0"/>
              <w:rPr>
                <w:sz w:val="20"/>
                <w:szCs w:val="20"/>
                <w:color w:val="auto"/>
              </w:rPr>
            </w:pPr>
            <w:r>
              <w:rPr>
                <w:rFonts w:ascii="Arial" w:cs="Arial" w:eastAsia="Arial" w:hAnsi="Arial"/>
                <w:sz w:val="18"/>
                <w:szCs w:val="18"/>
                <w:color w:val="auto"/>
              </w:rPr>
              <w:t>Trade names and trademarks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9,642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4,781</w:t>
            </w:r>
          </w:p>
        </w:tc>
        <w:tc>
          <w:tcPr>
            <w:tcW w:w="8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188,697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(74,798)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113,899</w:t>
            </w:r>
          </w:p>
        </w:tc>
        <w:tc>
          <w:tcPr>
            <w:tcW w:w="8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
        </w:trPr>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80" w:type="dxa"/>
            <w:vAlign w:val="bottom"/>
          </w:tcPr>
          <w:p>
            <w:pPr>
              <w:spacing w:after="0"/>
              <w:rPr>
                <w:sz w:val="23"/>
                <w:szCs w:val="23"/>
                <w:color w:val="auto"/>
              </w:rPr>
            </w:pPr>
          </w:p>
        </w:tc>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9"/>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48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189,597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(74,798)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114,799</w:t>
            </w:r>
          </w:p>
        </w:tc>
        <w:tc>
          <w:tcPr>
            <w:tcW w:w="8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4"/>
        </w:trPr>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As of December 31, 2017</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52"/>
        </w:trPr>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ind w:left="420"/>
              <w:spacing w:after="0" w:line="15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3"/>
                <w:szCs w:val="13"/>
                <w:color w:val="auto"/>
              </w:rPr>
            </w:pPr>
          </w:p>
        </w:tc>
      </w:tr>
      <w:tr>
        <w:trPr>
          <w:trHeight w:val="192"/>
        </w:trPr>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w w:val="96"/>
              </w:rPr>
              <w:t>Carrying 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6"/>
          </w:tcPr>
          <w:p>
            <w:pPr>
              <w:ind w:left="4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r>
      <w:tr>
        <w:trPr>
          <w:trHeight w:val="250"/>
        </w:trPr>
        <w:tc>
          <w:tcPr>
            <w:tcW w:w="48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Finite-lived intangible assets: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8"/>
                <w:szCs w:val="18"/>
                <w:color w:val="auto"/>
              </w:rPr>
              <w:t>82,165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(43,667)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38,498</w:t>
            </w:r>
          </w:p>
        </w:tc>
        <w:tc>
          <w:tcPr>
            <w:tcW w:w="80" w:type="dxa"/>
            <w:vAlign w:val="bottom"/>
          </w:tcPr>
          <w:p>
            <w:pPr>
              <w:spacing w:after="0"/>
              <w:rPr>
                <w:sz w:val="21"/>
                <w:szCs w:val="21"/>
                <w:color w:val="auto"/>
              </w:rPr>
            </w:pPr>
          </w:p>
        </w:tc>
      </w:tr>
      <w:tr>
        <w:trPr>
          <w:trHeight w:val="27"/>
        </w:trPr>
        <w:tc>
          <w:tcPr>
            <w:tcW w:w="520" w:type="dxa"/>
            <w:vAlign w:val="bottom"/>
            <w:gridSpan w:val="2"/>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8"/>
                <w:szCs w:val="18"/>
                <w:color w:val="auto"/>
              </w:rPr>
              <w:t>15,835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7,086</w:t>
            </w:r>
          </w:p>
        </w:tc>
        <w:tc>
          <w:tcPr>
            <w:tcW w:w="80" w:type="dxa"/>
            <w:vAlign w:val="bottom"/>
          </w:tcPr>
          <w:p>
            <w:pPr>
              <w:spacing w:after="0"/>
              <w:rPr>
                <w:sz w:val="21"/>
                <w:szCs w:val="21"/>
                <w:color w:val="auto"/>
              </w:rPr>
            </w:pPr>
          </w:p>
        </w:tc>
      </w:tr>
      <w:tr>
        <w:trPr>
          <w:trHeight w:val="27"/>
        </w:trPr>
        <w:tc>
          <w:tcPr>
            <w:tcW w:w="520" w:type="dxa"/>
            <w:vAlign w:val="bottom"/>
            <w:gridSpan w:val="2"/>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Trade names and trademarks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1,917</w:t>
            </w:r>
          </w:p>
        </w:tc>
        <w:tc>
          <w:tcPr>
            <w:tcW w:w="80" w:type="dxa"/>
            <w:vAlign w:val="bottom"/>
          </w:tcPr>
          <w:p>
            <w:pPr>
              <w:spacing w:after="0"/>
              <w:rPr>
                <w:sz w:val="21"/>
                <w:szCs w:val="2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44"/>
        </w:trPr>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108,884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48,058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4"/>
        </w:trPr>
        <w:tc>
          <w:tcPr>
            <w:tcW w:w="4900" w:type="dxa"/>
            <w:vAlign w:val="bottom"/>
            <w:gridSpan w:val="4"/>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
        </w:trPr>
        <w:tc>
          <w:tcPr>
            <w:tcW w:w="520" w:type="dxa"/>
            <w:vAlign w:val="bottom"/>
            <w:gridSpan w:val="2"/>
          </w:tcPr>
          <w:p>
            <w:pPr>
              <w:spacing w:after="0"/>
              <w:rPr>
                <w:sz w:val="4"/>
                <w:szCs w:val="4"/>
                <w:color w:val="auto"/>
              </w:rPr>
            </w:pPr>
          </w:p>
        </w:tc>
        <w:tc>
          <w:tcPr>
            <w:tcW w:w="4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4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57"/>
        </w:trPr>
        <w:tc>
          <w:tcPr>
            <w:tcW w:w="488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109,784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(60,826)</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48,958</w:t>
            </w:r>
          </w:p>
        </w:tc>
        <w:tc>
          <w:tcPr>
            <w:tcW w:w="80" w:type="dxa"/>
            <w:vAlign w:val="bottom"/>
            <w:tcBorders>
              <w:top w:val="single" w:sz="8" w:color="auto"/>
              <w:bottom w:val="single" w:sz="8" w:color="auto"/>
            </w:tcBorders>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11"/>
        </w:trPr>
        <w:tc>
          <w:tcPr>
            <w:tcW w:w="80" w:type="dxa"/>
            <w:vAlign w:val="bottom"/>
          </w:tcPr>
          <w:p>
            <w:pPr>
              <w:spacing w:after="0"/>
              <w:rPr>
                <w:sz w:val="24"/>
                <w:szCs w:val="24"/>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rPr>
              <w:t>The amortization expense for the period is as follows: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7"/>
        </w:trPr>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24"/>
                <w:szCs w:val="24"/>
                <w:color w:val="auto"/>
              </w:rPr>
            </w:pPr>
          </w:p>
        </w:tc>
        <w:tc>
          <w:tcPr>
            <w:tcW w:w="274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3,487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14,426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10,492</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remaining weighted average life of intangible assets is as follows:</w:t>
      </w:r>
    </w:p>
    <w:p>
      <w:pPr>
        <w:spacing w:after="0" w:line="27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5400" w:type="dxa"/>
            <w:vAlign w:val="bottom"/>
          </w:tcPr>
          <w:p>
            <w:pPr>
              <w:jc w:val="right"/>
              <w:spacing w:after="0"/>
              <w:rPr>
                <w:sz w:val="20"/>
                <w:szCs w:val="20"/>
                <w:color w:val="auto"/>
              </w:rPr>
            </w:pPr>
            <w:r>
              <w:rPr>
                <w:rFonts w:ascii="Arial" w:cs="Arial" w:eastAsia="Arial" w:hAnsi="Arial"/>
                <w:sz w:val="18"/>
                <w:szCs w:val="18"/>
                <w:b w:val="1"/>
                <w:bCs w:val="1"/>
                <w:color w:val="auto"/>
              </w:rPr>
              <w:t>(in years)</w:t>
            </w:r>
          </w:p>
        </w:tc>
      </w:tr>
      <w:tr>
        <w:trPr>
          <w:trHeight w:val="27"/>
        </w:trPr>
        <w:tc>
          <w:tcPr>
            <w:tcW w:w="380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5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540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7"/>
        </w:trPr>
        <w:tc>
          <w:tcPr>
            <w:tcW w:w="380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5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540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27"/>
        </w:trPr>
        <w:tc>
          <w:tcPr>
            <w:tcW w:w="380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 (Finite lived)</w:t>
            </w:r>
          </w:p>
        </w:tc>
        <w:tc>
          <w:tcPr>
            <w:tcW w:w="5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459"/>
        </w:trPr>
        <w:tc>
          <w:tcPr>
            <w:tcW w:w="3800" w:type="dxa"/>
            <w:vAlign w:val="bottom"/>
          </w:tcPr>
          <w:p>
            <w:pPr>
              <w:spacing w:after="0"/>
              <w:rPr>
                <w:sz w:val="24"/>
                <w:szCs w:val="24"/>
                <w:color w:val="auto"/>
              </w:rPr>
            </w:pPr>
          </w:p>
        </w:tc>
        <w:tc>
          <w:tcPr>
            <w:tcW w:w="5400" w:type="dxa"/>
            <w:vAlign w:val="bottom"/>
          </w:tcPr>
          <w:p>
            <w:pPr>
              <w:jc w:val="right"/>
              <w:ind w:right="443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140"/>
          </w:cols>
          <w:pgMar w:left="240" w:top="121"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w w:val="97"/>
              </w:rPr>
              <w:t>Estimated future amortization expense related to intangible assets as of September 30, 2018 is as follows: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 (October 1 - December 31)</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6,702</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24,250</w:t>
            </w:r>
          </w:p>
        </w:tc>
      </w:tr>
      <w:tr>
        <w:trPr>
          <w:trHeight w:val="27"/>
        </w:trPr>
        <w:tc>
          <w:tcPr>
            <w:tcW w:w="8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16,884</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15,175</w:t>
            </w:r>
          </w:p>
        </w:tc>
      </w:tr>
      <w:tr>
        <w:trPr>
          <w:trHeight w:val="27"/>
        </w:trPr>
        <w:tc>
          <w:tcPr>
            <w:tcW w:w="8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2023 and thereafter</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37,128</w:t>
            </w:r>
          </w:p>
        </w:tc>
      </w:tr>
      <w:tr>
        <w:trPr>
          <w:trHeight w:val="27"/>
        </w:trPr>
        <w:tc>
          <w:tcPr>
            <w:tcW w:w="8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113,899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Equity Affiliate</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12, 2017, the Company acquired preferred stock in Corridor Platform Inc. (“Corridor”), a big data credit risk management platform for $3,000. The Company has determined that based on its ownership interest and other rights, Corridor is an equity method affiliate. The Company has the right and option to acquire additional preferred stock from Corridor as per the terms of the agreement. The Company's proportionate share of net loss for the three months and nine months ended September 30, 2018 was $62 and $176,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Current Assets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current assets consist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 w:type="dxa"/>
            <w:vAlign w:val="bottom"/>
            <w:tcBorders>
              <w:bottom w:val="single" w:sz="8" w:color="CCEEFF"/>
            </w:tcBorders>
          </w:tcPr>
          <w:p>
            <w:pPr>
              <w:spacing w:after="0"/>
              <w:rPr>
                <w:sz w:val="22"/>
                <w:szCs w:val="22"/>
                <w:color w:val="auto"/>
              </w:rPr>
            </w:pPr>
          </w:p>
        </w:tc>
        <w:tc>
          <w:tcPr>
            <w:tcW w:w="676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w w:val="96"/>
              </w:rPr>
              <w:t>September 30, 2018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10,938</w:t>
            </w:r>
          </w:p>
        </w:tc>
        <w:tc>
          <w:tcPr>
            <w:tcW w:w="0" w:type="dxa"/>
            <w:vAlign w:val="bottom"/>
          </w:tcPr>
          <w:p>
            <w:pPr>
              <w:spacing w:after="0"/>
              <w:rPr>
                <w:sz w:val="1"/>
                <w:szCs w:val="1"/>
                <w:color w:val="auto"/>
              </w:rPr>
            </w:pP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Advances to suppliers</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 from statutory authorities</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13,274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7,598</w:t>
            </w:r>
          </w:p>
        </w:tc>
        <w:tc>
          <w:tcPr>
            <w:tcW w:w="0" w:type="dxa"/>
            <w:vAlign w:val="bottom"/>
          </w:tcPr>
          <w:p>
            <w:pPr>
              <w:spacing w:after="0"/>
              <w:rPr>
                <w:sz w:val="1"/>
                <w:szCs w:val="1"/>
                <w:color w:val="auto"/>
              </w:rPr>
            </w:pP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Contract assets</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contract fulfillment costs</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Others</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5,592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7,720</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24,302</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12. Other Assets</w:t>
            </w: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4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ind w:left="420"/>
              <w:spacing w:after="0"/>
              <w:rPr>
                <w:sz w:val="20"/>
                <w:szCs w:val="20"/>
                <w:color w:val="auto"/>
              </w:rPr>
            </w:pPr>
            <w:r>
              <w:rPr>
                <w:rFonts w:ascii="Arial" w:cs="Arial" w:eastAsia="Arial" w:hAnsi="Arial"/>
                <w:sz w:val="18"/>
                <w:szCs w:val="18"/>
                <w:color w:val="auto"/>
              </w:rPr>
              <w:t>Other assets consist of the following:</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7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 w:type="dxa"/>
            <w:vAlign w:val="bottom"/>
          </w:tcPr>
          <w:p>
            <w:pPr>
              <w:spacing w:after="0"/>
              <w:rPr>
                <w:sz w:val="22"/>
                <w:szCs w:val="22"/>
                <w:color w:val="auto"/>
              </w:rPr>
            </w:pPr>
          </w:p>
        </w:tc>
        <w:tc>
          <w:tcPr>
            <w:tcW w:w="67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December 31, 2017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deposits</w:t>
            </w: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52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8,776</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7,361</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Deposits with statutory authorities</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Term deposits</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6,909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Deferred contract fulfillment costs</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2,295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tcPr>
          <w:p>
            <w:pPr>
              <w:spacing w:after="0"/>
              <w:rPr>
                <w:sz w:val="23"/>
                <w:szCs w:val="23"/>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2,294</w:t>
            </w: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20" w:type="dxa"/>
            <w:vAlign w:val="bottom"/>
          </w:tcPr>
          <w:p>
            <w:pPr>
              <w:spacing w:after="0"/>
              <w:rPr>
                <w:sz w:val="22"/>
                <w:szCs w:val="22"/>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32,779</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36,369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Accrued Expenses and Other Current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0"/>
        </w:trPr>
        <w:tc>
          <w:tcPr>
            <w:tcW w:w="520" w:type="dxa"/>
            <w:vAlign w:val="bottom"/>
            <w:tcBorders>
              <w:right w:val="single" w:sz="8" w:color="CCEEFF"/>
            </w:tcBorders>
          </w:tcPr>
          <w:p>
            <w:pPr>
              <w:spacing w:after="0"/>
              <w:rPr>
                <w:sz w:val="21"/>
                <w:szCs w:val="21"/>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4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43,521</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43,235</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7,870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right w:val="single" w:sz="8" w:color="CCEEFF"/>
            </w:tcBorders>
          </w:tcPr>
          <w:p>
            <w:pPr>
              <w:spacing w:after="0"/>
              <w:rPr>
                <w:sz w:val="21"/>
                <w:szCs w:val="21"/>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8,862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 w:type="dxa"/>
            <w:vAlign w:val="bottom"/>
            <w:tcBorders>
              <w:right w:val="single" w:sz="8" w:color="CCEEFF"/>
            </w:tcBorders>
          </w:tcPr>
          <w:p>
            <w:pPr>
              <w:spacing w:after="0"/>
              <w:rPr>
                <w:sz w:val="21"/>
                <w:szCs w:val="21"/>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67,084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61,366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CCEEFF"/>
            </w:tcBorders>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14. Other Non-current Liabilities</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ind w:left="440"/>
              <w:spacing w:after="0"/>
              <w:rPr>
                <w:sz w:val="20"/>
                <w:szCs w:val="20"/>
                <w:color w:val="auto"/>
              </w:rPr>
            </w:pPr>
            <w:r>
              <w:rPr>
                <w:rFonts w:ascii="Arial" w:cs="Arial" w:eastAsia="Arial" w:hAnsi="Arial"/>
                <w:sz w:val="18"/>
                <w:szCs w:val="18"/>
                <w:color w:val="auto"/>
              </w:rPr>
              <w:t>Other non-current liabilities consist of the following: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6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5"/>
              </w:rPr>
              <w:t>December 31, 2017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Retirement benefits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 w:type="dxa"/>
            <w:vAlign w:val="bottom"/>
          </w:tcPr>
          <w:p>
            <w:pPr>
              <w:spacing w:after="0"/>
              <w:rPr>
                <w:sz w:val="23"/>
                <w:szCs w:val="23"/>
                <w:color w:val="auto"/>
              </w:rPr>
            </w:pPr>
          </w:p>
        </w:tc>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21,875</w:t>
            </w:r>
          </w:p>
        </w:tc>
        <w:tc>
          <w:tcPr>
            <w:tcW w:w="1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topic 815. Changes in the fair values of forward contracts are recognized in accumulated other comprehensive loss on the Company's consolidated balance sheet until the settlement of those contracts. The balances as of September 30, 2018 and December 31, 2017 are as follows:</w:t>
      </w:r>
    </w:p>
    <w:p>
      <w:pPr>
        <w:spacing w:after="0" w:line="37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264"/>
        </w:trPr>
        <w:tc>
          <w:tcPr>
            <w:tcW w:w="6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Cumulative foreign currency translation (loss)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(58,405)</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Unrealized (loss)/gain on cash flow hedges, net of taxes of ($4,239) and $4,918,</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11,932</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 net of taxes of ($80) and ($74),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763</w:t>
            </w: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(45,710)</w:t>
            </w:r>
          </w:p>
        </w:tc>
      </w:tr>
      <w:tr>
        <w:trPr>
          <w:trHeight w:val="27"/>
        </w:trPr>
        <w:tc>
          <w:tcPr>
            <w:tcW w:w="6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2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following table sets forth the Company’s assets and liabilities that were accounted for at fair value as of September 30, 2018 and December 31, 2017. The table excludes accounts receivable, accounts payable and accrued expenses for which fair values approximate their carrying amounts.</w:t>
      </w: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8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September 30, 2018</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14"/>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113,147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113,147</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113,147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9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115,345</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17,817</w:t>
            </w:r>
          </w:p>
        </w:tc>
        <w:tc>
          <w:tcPr>
            <w:tcW w:w="120" w:type="dxa"/>
            <w:vAlign w:val="bottom"/>
          </w:tcPr>
          <w:p>
            <w:pPr>
              <w:spacing w:after="0"/>
              <w:rPr>
                <w:sz w:val="21"/>
                <w:szCs w:val="21"/>
                <w:color w:val="auto"/>
              </w:rPr>
            </w:pP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17,817</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17,817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Level 1</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Level 2</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Level 3</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162,906</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18,299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18,299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181,205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Arial" w:cs="Arial" w:eastAsia="Arial" w:hAnsi="Arial"/>
                <w:sz w:val="18"/>
                <w:szCs w:val="18"/>
                <w:color w:val="auto"/>
              </w:rPr>
              <w:t>Fair value of earn-out consideration</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Represents short-term investments carried on fair value option under ASC 825 “Financial Instruments” as of September 30, 2018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derivative financial instruments are based on independent sources including highly rated financial institutions and are classified as Level 2. Refer to Note 17 to the unaudited consolidated financial statements for further details.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Fair value of earn-out consideration: </w:t>
      </w:r>
      <w:r>
        <w:rPr>
          <w:rFonts w:ascii="Arial" w:cs="Arial" w:eastAsia="Arial" w:hAnsi="Arial"/>
          <w:sz w:val="17"/>
          <w:szCs w:val="17"/>
          <w:color w:val="auto"/>
        </w:rPr>
        <w:t>The fair value measurement of earn-out consideration is determined using Level 3 inputs. The Company’s earn-out consideration represents a component of the total purchase consideration for its acquisition of Health Integrated. The measurement was calculated using unobservable inputs based on the Company’s own assessment of achievement of certain performance goals by Health Integrated during the 2018 calendar year. The earn-out was fair valued at $920 as of December 31, 2017. As of September 30, 2018, fair value of earn-out is Nil.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Derivatives and Hedge Accounting</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$364,395 as of September 30, 2018 and $300,757 as of December 31, 2017.</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fair value of these cash flow hedges are recorded as a component of accumulated other comprehensive income/(loss), net of tax, until the hedged transactions occurs. The Company early adopted ASU 2017-12, Derivative and Hedging (Topic 815), Targeted Improvements to Accounting for Hedging Activities. Pursuant to this adoption, effective January 1, 2017, the resultant foreign exchange gain/(loss) are recorded along with the underlying hedged item in the same line of consolidated statements of income as either part of “Cost of revenues”, “General and administrative expenses”, “Selling and marketing expenses”, “Depreciation and amortization”, as applicable.</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Prior to January 1, 2017, the resultant foreign exchange gain/(loss) on settlement of cash flow hedges and changes in the fair value of cash flow hedges deemed ineffective were recorded in “Foreign exchange gain, net” in the consolidated statements of income.</w:t>
      </w:r>
    </w:p>
    <w:p>
      <w:pPr>
        <w:spacing w:after="0" w:line="6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815. Changes in the fair value of these derivatives are recognized in the unaudited consolidated statements of income and are included in foreign exchange gain/(loss). The Company’s primary exchange rate exposure is with the Indian Rupee, the U.K. pound sterling and the Philippine peso. The Company also has exposure to Colombian pesos, Czech Koruna, the Euro, South African ZAR and other local currencies in which it operates. Outstanding foreign currency forward contracts amounted to $140,055 and GBP 18,044 as of September 30, 2018 and amounted to $98,967 and GBP 17,947 as of December 31, 2017.</w:t>
      </w:r>
    </w:p>
    <w:p>
      <w:pPr>
        <w:spacing w:after="0" w:line="1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estimates that approximately $6,158 of net derivative losses included in accumulated other comprehensive loss (“AOCI”) could be reclassified into earnings within the next twelve months based on exchange rates prevailing as of September 30, 2018. At September 30, 2018, the maximum outstanding term of the cash flow hedges was 45 months.</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tables set forth the fair value of the foreign currency exchange contracts and their location on the consolidated financial statements:</w:t>
      </w:r>
    </w:p>
    <w:p>
      <w:pPr>
        <w:sectPr>
          <w:pgSz w:w="11900" w:h="16838" w:orient="portrait"/>
          <w:cols w:equalWidth="0" w:num="1">
            <w:col w:w="11420"/>
          </w:cols>
          <w:pgMar w:left="240" w:top="121" w:right="239" w:bottom="1440" w:gutter="0" w:footer="0" w:header="0"/>
        </w:sectPr>
      </w:pPr>
    </w:p>
    <w:p>
      <w:pPr>
        <w:spacing w:after="0" w:line="39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60960</wp:posOffset>
            </wp:positionV>
            <wp:extent cx="37903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46355</wp:posOffset>
            </wp:positionV>
            <wp:extent cx="27012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0" w:lineRule="exact"/>
        <w:rPr>
          <w:sz w:val="20"/>
          <w:szCs w:val="20"/>
          <w:color w:val="auto"/>
        </w:rPr>
      </w:pPr>
    </w:p>
    <w:p>
      <w:pPr>
        <w:spacing w:after="0"/>
        <w:tabs>
          <w:tab w:leader="none" w:pos="2180" w:val="left"/>
        </w:tabs>
        <w:rPr>
          <w:sz w:val="20"/>
          <w:szCs w:val="20"/>
          <w:color w:val="auto"/>
        </w:rPr>
      </w:pPr>
      <w:r>
        <w:rPr>
          <w:rFonts w:ascii="Arial" w:cs="Arial" w:eastAsia="Arial" w:hAnsi="Arial"/>
          <w:sz w:val="16"/>
          <w:szCs w:val="16"/>
          <w:b w:val="1"/>
          <w:bCs w:val="1"/>
          <w:color w:val="auto"/>
        </w:rPr>
        <w:t>September 30, 2018</w:t>
      </w:r>
      <w:r>
        <w:rPr>
          <w:sz w:val="20"/>
          <w:szCs w:val="20"/>
          <w:color w:val="auto"/>
        </w:rPr>
        <w:tab/>
      </w:r>
      <w:r>
        <w:rPr>
          <w:rFonts w:ascii="Arial" w:cs="Arial" w:eastAsia="Arial" w:hAnsi="Arial"/>
          <w:sz w:val="14"/>
          <w:szCs w:val="14"/>
          <w:b w:val="1"/>
          <w:bCs w:val="1"/>
          <w:color w:val="auto"/>
        </w:rPr>
        <w:t>December 31, 2017</w:t>
      </w:r>
    </w:p>
    <w:p>
      <w:pPr>
        <w:spacing w:after="0" w:line="53" w:lineRule="exact"/>
        <w:rPr>
          <w:sz w:val="20"/>
          <w:szCs w:val="20"/>
          <w:color w:val="auto"/>
        </w:rPr>
      </w:pPr>
    </w:p>
    <w:p>
      <w:pPr>
        <w:sectPr>
          <w:pgSz w:w="11900" w:h="16838" w:orient="portrait"/>
          <w:cols w:equalWidth="0" w:num="2">
            <w:col w:w="6220" w:space="720"/>
            <w:col w:w="4480"/>
          </w:cols>
          <w:pgMar w:left="240" w:top="121" w:right="239" w:bottom="1440" w:gutter="0" w:footer="0" w:header="0"/>
          <w:type w:val="continuous"/>
        </w:sectPr>
      </w:pPr>
    </w:p>
    <w:tbl>
      <w:tblPr>
        <w:tblLayout w:type="fixed"/>
        <w:tblInd w:w="540" w:type="dxa"/>
        <w:tblCellMar>
          <w:top w:w="0" w:type="dxa"/>
          <w:left w:w="0" w:type="dxa"/>
          <w:bottom w:w="0" w:type="dxa"/>
          <w:right w:w="0" w:type="dxa"/>
        </w:tblCellMar>
      </w:tblPr>
      <w:tr>
        <w:trPr>
          <w:trHeight w:val="264"/>
        </w:trPr>
        <w:tc>
          <w:tcPr>
            <w:tcW w:w="5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10,892</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7,361</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 and other current liabilities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9,947</w:t>
            </w:r>
          </w:p>
        </w:tc>
        <w:tc>
          <w:tcPr>
            <w:tcW w:w="100" w:type="dxa"/>
            <w:vAlign w:val="bottom"/>
          </w:tcPr>
          <w:p>
            <w:pPr>
              <w:spacing w:after="0"/>
              <w:rPr>
                <w:sz w:val="21"/>
                <w:szCs w:val="21"/>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5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ind w:left="580"/>
        <w:spacing w:after="0"/>
        <w:rPr>
          <w:sz w:val="20"/>
          <w:szCs w:val="20"/>
          <w:color w:val="auto"/>
        </w:rPr>
      </w:pPr>
      <w:r>
        <w:rPr>
          <w:rFonts w:ascii="Arial" w:cs="Arial" w:eastAsia="Arial" w:hAnsi="Arial"/>
          <w:sz w:val="14"/>
          <w:szCs w:val="14"/>
          <w:b w:val="1"/>
          <w:bCs w:val="1"/>
          <w:color w:val="auto"/>
        </w:rPr>
        <w:t>Derivatives not designated as hedging instruments: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46355</wp:posOffset>
            </wp:positionV>
            <wp:extent cx="37903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Arial" w:cs="Arial" w:eastAsia="Arial" w:hAnsi="Arial"/>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46355</wp:posOffset>
            </wp:positionV>
            <wp:extent cx="656018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60185" cy="180340"/>
                    </a:xfrm>
                    <a:prstGeom prst="rect">
                      <a:avLst/>
                    </a:prstGeom>
                    <a:noFill/>
                  </pic:spPr>
                </pic:pic>
              </a:graphicData>
            </a:graphic>
          </wp:anchor>
        </w:drawing>
      </w:r>
    </w:p>
    <w:p>
      <w:pPr>
        <w:spacing w:after="0" w:line="80" w:lineRule="exact"/>
        <w:rPr>
          <w:sz w:val="20"/>
          <w:szCs w:val="20"/>
          <w:color w:val="auto"/>
        </w:rPr>
      </w:pPr>
    </w:p>
    <w:p>
      <w:pPr>
        <w:spacing w:after="0"/>
        <w:tabs>
          <w:tab w:leader="none" w:pos="2180" w:val="left"/>
        </w:tabs>
        <w:rPr>
          <w:sz w:val="20"/>
          <w:szCs w:val="20"/>
          <w:color w:val="auto"/>
        </w:rPr>
      </w:pPr>
      <w:r>
        <w:rPr>
          <w:rFonts w:ascii="Arial" w:cs="Arial" w:eastAsia="Arial" w:hAnsi="Arial"/>
          <w:sz w:val="16"/>
          <w:szCs w:val="16"/>
          <w:b w:val="1"/>
          <w:bCs w:val="1"/>
          <w:color w:val="auto"/>
        </w:rPr>
        <w:t>September 30, 2018</w:t>
      </w:r>
      <w:r>
        <w:rPr>
          <w:sz w:val="20"/>
          <w:szCs w:val="20"/>
          <w:color w:val="auto"/>
        </w:rPr>
        <w:tab/>
      </w: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46355</wp:posOffset>
            </wp:positionV>
            <wp:extent cx="27012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6220" w:space="720"/>
            <w:col w:w="4480"/>
          </w:cols>
          <w:pgMar w:left="240" w:top="121" w:right="239" w:bottom="1440" w:gutter="0" w:footer="0" w:header="0"/>
          <w:type w:val="continuous"/>
        </w:sectPr>
      </w:pPr>
    </w:p>
    <w:tbl>
      <w:tblPr>
        <w:tblLayout w:type="fixed"/>
        <w:tblInd w:w="540" w:type="dxa"/>
        <w:tblCellMar>
          <w:top w:w="0" w:type="dxa"/>
          <w:left w:w="0" w:type="dxa"/>
          <w:bottom w:w="0" w:type="dxa"/>
          <w:right w:w="0" w:type="dxa"/>
        </w:tblCellMar>
      </w:tblPr>
      <w:tr>
        <w:trPr>
          <w:trHeight w:val="230"/>
        </w:trPr>
        <w:tc>
          <w:tcPr>
            <w:tcW w:w="41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7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41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 and other current liabilities</w:t>
            </w:r>
          </w:p>
        </w:tc>
        <w:tc>
          <w:tcPr>
            <w:tcW w:w="27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459"/>
        </w:trPr>
        <w:tc>
          <w:tcPr>
            <w:tcW w:w="4180" w:type="dxa"/>
            <w:vAlign w:val="bottom"/>
          </w:tcPr>
          <w:p>
            <w:pPr>
              <w:spacing w:after="0"/>
              <w:rPr>
                <w:sz w:val="24"/>
                <w:szCs w:val="24"/>
                <w:color w:val="auto"/>
              </w:rPr>
            </w:pPr>
          </w:p>
        </w:tc>
        <w:tc>
          <w:tcPr>
            <w:tcW w:w="2760" w:type="dxa"/>
            <w:vAlign w:val="bottom"/>
          </w:tcPr>
          <w:p>
            <w:pPr>
              <w:jc w:val="right"/>
              <w:ind w:right="1590"/>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and accumulated other comprehensive loss for the three and nine months ended September 30, 2018 and 2017:</w:t>
      </w:r>
    </w:p>
    <w:p>
      <w:pPr>
        <w:spacing w:after="0" w:line="333" w:lineRule="exact"/>
        <w:rPr>
          <w:sz w:val="20"/>
          <w:szCs w:val="20"/>
          <w:color w:val="auto"/>
        </w:rPr>
      </w:pPr>
    </w:p>
    <w:tbl>
      <w:tblPr>
        <w:tblLayout w:type="fixed"/>
        <w:tblInd w:w="28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00" w:type="dxa"/>
            <w:vAlign w:val="bottom"/>
            <w:gridSpan w:val="4"/>
          </w:tcPr>
          <w:p>
            <w:pPr>
              <w:jc w:val="right"/>
              <w:ind w:right="233"/>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47"/>
        </w:trPr>
        <w:tc>
          <w:tcPr>
            <w:tcW w:w="4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17"/>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 Exchange Contracts:</w:t>
            </w:r>
          </w:p>
        </w:tc>
        <w:tc>
          <w:tcPr>
            <w:tcW w:w="280" w:type="dxa"/>
            <w:vAlign w:val="bottom"/>
          </w:tcPr>
          <w:p>
            <w:pPr>
              <w:spacing w:after="0"/>
              <w:rPr>
                <w:sz w:val="18"/>
                <w:szCs w:val="18"/>
                <w:color w:val="auto"/>
              </w:rPr>
            </w:pPr>
          </w:p>
        </w:tc>
        <w:tc>
          <w:tcPr>
            <w:tcW w:w="1240" w:type="dxa"/>
            <w:vAlign w:val="bottom"/>
          </w:tcPr>
          <w:p>
            <w:pPr>
              <w:jc w:val="right"/>
              <w:ind w:right="5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r>
      <w:tr>
        <w:trPr>
          <w:trHeight w:val="47"/>
        </w:trPr>
        <w:tc>
          <w:tcPr>
            <w:tcW w:w="4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Gain/(loss) recognized in AOCI</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hedging relationships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(11,944)</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(29,187)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12,111</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Gain/(loss) recognized in unaudited consolidated statements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6"/>
                <w:szCs w:val="16"/>
                <w:b w:val="1"/>
                <w:bCs w:val="1"/>
                <w:color w:val="auto"/>
              </w:rPr>
              <w:t>of income</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2,095</w:t>
            </w:r>
          </w:p>
        </w:tc>
      </w:tr>
      <w:tr>
        <w:trPr>
          <w:trHeight w:val="27"/>
        </w:trPr>
        <w:tc>
          <w:tcPr>
            <w:tcW w:w="4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720" w:right="1440"/>
        <w:spacing w:after="0" w:line="298" w:lineRule="auto"/>
        <w:rPr>
          <w:sz w:val="20"/>
          <w:szCs w:val="20"/>
          <w:color w:val="auto"/>
        </w:rPr>
      </w:pPr>
      <w:r>
        <w:rPr>
          <w:rFonts w:ascii="Arial" w:cs="Arial" w:eastAsia="Arial" w:hAnsi="Arial"/>
          <w:sz w:val="16"/>
          <w:szCs w:val="16"/>
          <w:b w:val="1"/>
          <w:bCs w:val="1"/>
          <w:color w:val="auto"/>
        </w:rPr>
        <w:t>Location and amount of gain/(loss) recognized in unaudited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63804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46355</wp:posOffset>
            </wp:positionV>
            <wp:extent cx="35331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2017</w:t>
            </w:r>
          </w:p>
        </w:tc>
        <w:tc>
          <w:tcPr>
            <w:tcW w:w="1160" w:type="dxa"/>
            <w:vAlign w:val="bottom"/>
          </w:tcPr>
          <w:p>
            <w:pPr>
              <w:spacing w:after="0"/>
              <w:rPr>
                <w:sz w:val="18"/>
                <w:szCs w:val="18"/>
                <w:color w:val="auto"/>
              </w:rPr>
            </w:pP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center"/>
              <w:ind w:right="173"/>
              <w:spacing w:after="0"/>
              <w:rPr>
                <w:sz w:val="20"/>
                <w:szCs w:val="20"/>
                <w:color w:val="auto"/>
              </w:rPr>
            </w:pPr>
            <w:r>
              <w:rPr>
                <w:rFonts w:ascii="Arial" w:cs="Arial" w:eastAsia="Arial" w:hAnsi="Arial"/>
                <w:sz w:val="16"/>
                <w:szCs w:val="16"/>
                <w:b w:val="1"/>
                <w:bCs w:val="1"/>
                <w:color w:val="auto"/>
                <w:w w:val="90"/>
              </w:rPr>
              <w:t>As per unaudited</w:t>
            </w: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Gain/(loss) on</w:t>
            </w:r>
          </w:p>
        </w:tc>
        <w:tc>
          <w:tcPr>
            <w:tcW w:w="1560" w:type="dxa"/>
            <w:vAlign w:val="bottom"/>
            <w:gridSpan w:val="5"/>
          </w:tcPr>
          <w:p>
            <w:pPr>
              <w:jc w:val="center"/>
              <w:ind w:right="193"/>
              <w:spacing w:after="0"/>
              <w:rPr>
                <w:sz w:val="20"/>
                <w:szCs w:val="20"/>
                <w:color w:val="auto"/>
              </w:rPr>
            </w:pPr>
            <w:r>
              <w:rPr>
                <w:rFonts w:ascii="Arial" w:cs="Arial" w:eastAsia="Arial" w:hAnsi="Arial"/>
                <w:sz w:val="16"/>
                <w:szCs w:val="16"/>
                <w:b w:val="1"/>
                <w:bCs w:val="1"/>
                <w:color w:val="auto"/>
                <w:w w:val="91"/>
              </w:rPr>
              <w:t>As per unaudited</w:t>
            </w: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Gain/(loss) on</w:t>
            </w: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consolidated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foreign currency</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7"/>
              </w:rPr>
              <w:t>consolidated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foreign currency</w:t>
            </w: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6"/>
              </w:rPr>
              <w:t>statements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exchange</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statements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6"/>
              </w:rPr>
              <w:t>exchange</w:t>
            </w:r>
          </w:p>
        </w:tc>
      </w:t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contracts</w:t>
            </w: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 hedging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9"/>
        </w:trPr>
        <w:tc>
          <w:tcPr>
            <w:tcW w:w="4480" w:type="dxa"/>
            <w:vAlign w:val="bottom"/>
            <w:gridSpan w:val="2"/>
          </w:tcPr>
          <w:p>
            <w:pPr>
              <w:ind w:left="20"/>
              <w:spacing w:after="0"/>
              <w:rPr>
                <w:sz w:val="20"/>
                <w:szCs w:val="20"/>
                <w:color w:val="auto"/>
              </w:rPr>
            </w:pPr>
            <w:r>
              <w:rPr>
                <w:rFonts w:ascii="Arial" w:cs="Arial" w:eastAsia="Arial" w:hAnsi="Arial"/>
                <w:sz w:val="18"/>
                <w:szCs w:val="18"/>
                <w:color w:val="auto"/>
                <w:w w:val="97"/>
              </w:rPr>
              <w:t>Location in unaudited consolidated statements of income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where gain/(loss) was reclassed from AOCI</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152,157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123,077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1,564</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Selling &amp; marketing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16,490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&amp;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r>
      <w:tr>
        <w:trPr>
          <w:trHeight w:val="237"/>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1,979</w:t>
            </w:r>
          </w:p>
        </w:tc>
      </w:tr>
      <w:tr>
        <w:trPr>
          <w:trHeight w:val="67"/>
        </w:trPr>
        <w:tc>
          <w:tcPr>
            <w:tcW w:w="43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305"/>
        </w:trPr>
        <w:tc>
          <w:tcPr>
            <w:tcW w:w="4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37"/>
        </w:trPr>
        <w:tc>
          <w:tcPr>
            <w:tcW w:w="448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Location in unaudited consolidated statements of income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where gain/(loss) was recognized</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324"/>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gain/(loss),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37"/>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382905</wp:posOffset>
            </wp:positionV>
            <wp:extent cx="63804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0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46355</wp:posOffset>
            </wp:positionV>
            <wp:extent cx="35331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2018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2017</w:t>
            </w:r>
          </w:p>
        </w:tc>
        <w:tc>
          <w:tcPr>
            <w:tcW w:w="1160" w:type="dxa"/>
            <w:vAlign w:val="bottom"/>
          </w:tcPr>
          <w:p>
            <w:pPr>
              <w:spacing w:after="0"/>
              <w:rPr>
                <w:sz w:val="18"/>
                <w:szCs w:val="18"/>
                <w:color w:val="auto"/>
              </w:rPr>
            </w:pP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center"/>
              <w:ind w:right="179"/>
              <w:spacing w:after="0"/>
              <w:rPr>
                <w:sz w:val="20"/>
                <w:szCs w:val="20"/>
                <w:color w:val="auto"/>
              </w:rPr>
            </w:pPr>
            <w:r>
              <w:rPr>
                <w:rFonts w:ascii="Arial" w:cs="Arial" w:eastAsia="Arial" w:hAnsi="Arial"/>
                <w:sz w:val="16"/>
                <w:szCs w:val="16"/>
                <w:b w:val="1"/>
                <w:bCs w:val="1"/>
                <w:color w:val="auto"/>
                <w:w w:val="90"/>
              </w:rPr>
              <w:t>As per unaudited</w:t>
            </w: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Gain/(loss) on</w:t>
            </w:r>
          </w:p>
        </w:tc>
        <w:tc>
          <w:tcPr>
            <w:tcW w:w="1560" w:type="dxa"/>
            <w:vAlign w:val="bottom"/>
            <w:gridSpan w:val="5"/>
          </w:tcPr>
          <w:p>
            <w:pPr>
              <w:jc w:val="center"/>
              <w:ind w:right="199"/>
              <w:spacing w:after="0"/>
              <w:rPr>
                <w:sz w:val="20"/>
                <w:szCs w:val="20"/>
                <w:color w:val="auto"/>
              </w:rPr>
            </w:pPr>
            <w:r>
              <w:rPr>
                <w:rFonts w:ascii="Arial" w:cs="Arial" w:eastAsia="Arial" w:hAnsi="Arial"/>
                <w:sz w:val="16"/>
                <w:szCs w:val="16"/>
                <w:b w:val="1"/>
                <w:bCs w:val="1"/>
                <w:color w:val="auto"/>
                <w:w w:val="91"/>
              </w:rPr>
              <w:t>As per unaudited</w:t>
            </w: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9"/>
              </w:rPr>
              <w:t>Gain/(loss) on</w:t>
            </w: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consolidated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foreign currency</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7"/>
              </w:rPr>
              <w:t>consolidated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foreign currency</w:t>
            </w:r>
          </w:p>
        </w:tc>
      </w:tr>
      <w:tr>
        <w:trPr>
          <w:trHeight w:val="203"/>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6"/>
              </w:rPr>
              <w:t>statements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exchange</w:t>
            </w: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statements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6"/>
              </w:rPr>
              <w:t>exchange</w:t>
            </w:r>
          </w:p>
        </w:tc>
      </w:tr>
      <w:tr>
        <w:trPr>
          <w:trHeight w:val="210"/>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contracts</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9"/>
              </w:rPr>
              <w:t>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contracts</w:t>
            </w:r>
          </w:p>
        </w:tc>
      </w:tr>
      <w:tr>
        <w:trPr>
          <w:trHeight w:val="33"/>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4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 hedging relationships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Location in unaudited consolidated statements of income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where gain/(loss) was reclassed from AOCI</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324"/>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429,907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365,883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3,860</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General &amp; 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85,610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75,007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711</w:t>
            </w: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&amp; marketing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Depreciation &amp;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28,489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252</w:t>
            </w: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4,894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9"/>
        </w:trPr>
        <w:tc>
          <w:tcPr>
            <w:tcW w:w="4480" w:type="dxa"/>
            <w:vAlign w:val="bottom"/>
            <w:gridSpan w:val="2"/>
          </w:tcPr>
          <w:p>
            <w:pPr>
              <w:ind w:left="20"/>
              <w:spacing w:after="0"/>
              <w:rPr>
                <w:sz w:val="20"/>
                <w:szCs w:val="20"/>
                <w:color w:val="auto"/>
              </w:rPr>
            </w:pPr>
            <w:r>
              <w:rPr>
                <w:rFonts w:ascii="Arial" w:cs="Arial" w:eastAsia="Arial" w:hAnsi="Arial"/>
                <w:sz w:val="18"/>
                <w:szCs w:val="18"/>
                <w:color w:val="auto"/>
                <w:w w:val="97"/>
              </w:rPr>
              <w:t>Location in unaudited consolidated statements of income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where gain/(loss) was recognized</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480" w:type="dxa"/>
            <w:vAlign w:val="bottom"/>
            <w:gridSpan w:val="2"/>
          </w:tcPr>
          <w:p>
            <w:pPr>
              <w:ind w:left="20"/>
              <w:spacing w:after="0"/>
              <w:rPr>
                <w:sz w:val="20"/>
                <w:szCs w:val="20"/>
                <w:color w:val="auto"/>
              </w:rPr>
            </w:pPr>
            <w:r>
              <w:rPr>
                <w:rFonts w:ascii="Arial" w:cs="Arial" w:eastAsia="Arial" w:hAnsi="Arial"/>
                <w:sz w:val="18"/>
                <w:szCs w:val="18"/>
                <w:color w:val="auto"/>
              </w:rPr>
              <w:t>Foreign exchange gain/(loss),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3,414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(9,837)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1,905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2,095</w:t>
            </w:r>
          </w:p>
        </w:tc>
      </w:tr>
      <w:tr>
        <w:trPr>
          <w:trHeight w:val="27"/>
        </w:trPr>
        <w:tc>
          <w:tcPr>
            <w:tcW w:w="4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2,095</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Borrowings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October 24, 2014, the Company entered into a credit agreement that provided for a $50,000 revolving credit facility (the “Credit Facility”). On February 23, 2015, the Company increased the commitments under the Credit Facility by up to an additional $50,000. The Credit Facility had a maturity date of October 24, 2019 and was voluntarily pre-payable from time to time without premium or penalty. On November 21, 2017, the Company prepaid all outstanding amounts, including accrued interest and fees, and terminated all commitments, under the Credit Agreement.</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November 21, 2017, the Company and each of the Company’s wholly owned material domestic subsidiaries entered into a Credit Agreement with certain lenders, and Citibank, N.A. as Administrative Agent (the “New Credit Agreement”). The New Credit Agreement provides for a $200,000 revolving credit facility (the “New Credit Facility”) with an option to increase the commitments by up to $100,000, subject to certain approvals and conditions as set forth in the New Credit Agreement. The New Credit Agreement also includes a letter of credit sub facility. The New Credit Facility has a maturity date of November 21, 2022 and is voluntarily pre-payable from time to time without premium or penalty. Borrowings under the New Credit Agreement were used to repay amounts outstanding under the Credit Facility and may otherwise be used for working capital and general corporate purposes, including permitted acquisitions. On July 2, 2018, the Company exercised its option under the New Credit Agreement to increase the commitments by $100,000 thereby utilizing the entire revolver under the New Credit Facility of $300,000, to fund SCIO acquisition. The incremental commitments were made pursuant to (and constitute part of) the existing commitments and shall be subject to the terms and conditions applicable to the existing commitments as set forth in the New Credit Agreement.</w:t>
      </w:r>
    </w:p>
    <w:p>
      <w:pPr>
        <w:spacing w:after="0" w:line="19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Depending on the type of borrowing, loans under the New Credit Agreement bear interest at a rate equal to the specified prime rate (alternate base rate) or adjusted LIBO rate, plus, in each case, an applicable margin. The applicable margin is tied to the Company’s total net leverage ratio and ranges from 0% to 0.75% per annum with respect to loans pegged to the specified prime rate, and 1.00% to 1.75% per annum on loans pegged to the adjusted LIBO rate. The revolving credit commitments under the New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Credit Agreement are subject to a commitment fee, which is also tied to the Company’s total net leverage ratio, and ranges from 0.15% to 0.30% per annum on the average daily amount by which the aggregate revolving commitments exceed the sum of outstanding revolving loans and letter of credit obligations.</w:t>
      </w:r>
    </w:p>
    <w:p>
      <w:pPr>
        <w:spacing w:after="0" w:line="12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Obligations under the New Credit Agreement are guaranteed by the Company’s material domestic subsidiaries and are secured by all or substantially all of the assets of the Company and our material domestic subsidiaries. The New Credit Agreement contains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New Credit Agreement contains a covenant to not permit the interest coverage ratio or the total net leverage ratio, both as defined for the four consecutive quarter period ending on the last day of each fiscal quarter, to be less than 3.5 to 1.0 or more than 3.0 to 1.0, respectively. As of September 30, 2018, the Company was in compliance with all financial and non-financial covenants listed under the New Credit Agreement.</w:t>
      </w:r>
    </w:p>
    <w:p>
      <w:pPr>
        <w:spacing w:after="0" w:line="17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September 30, 2018, we had outstanding debt of $300,000, of which $12,000 is expected to be repaid within the next twelve months and is included under “current portion of long-term borrowings” and of which $288,000 is included under “long-term borrowings” in the unaudited consolidated balance sheets. As of December 31, 2017, we had an outstanding debt of $60,000, of which $10,000 was included under “current portion of long-term borrowings,” and the balance of $50,000 was included under “long-term borrowings” in the consolidated balance sheets.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incurred certain debt issuance costs, which are deferred and amortized as an adjustment to interest expense over the term of the debt. The unamortized debt issuance costs as of September 30, 2018 and December 31, 2017 was $1,364 and $773, respectively, and is included under "other current assets" and “other assets” in the consolidated balance sheets.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Borrowings also includes structured payables which are in the nature of debt, amounting to $627 and $709 as of September 30, 2018 and December 31, 2017, respectively, of which $318 and $318 is included under "current portion of long-term borrowings", $309 and $391, respectively, under "long-term borrowings" in the consolidated balance sheets.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September 30, 2018 and 2017, the Company did not acquire any shares of common stock from employees in connection with withholding tax payments related to the vesting of restricted stock.</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nine months ended September 30, 2018 and 2017, the Company acquired 45,646 and 65,003 shares of common stock, respectively, from employees in connection with withholding tax payments related to the vesting of restricted stock for a total consideration of $2,790 and $3,016, respectively. The weighted average purchase price per share of $61.12 and $46.40, respectively, was the average of the high and low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2015 through 2017 up to an annual amount of $20,000.</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 The approval increased the 2017 authorization from $20,000 to $40,000 and authorizes stock repurchases of up to $40,000 in each of 2018 and 2019.</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and nine months ended September 30, 2018, the Company purchased 155,837 and 503,019 shares of its common stock, respectively, for an aggregate purchase price of approximately $9,657 and $30,003, respectively,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commissions, representing an average purchase price per share of $61.97 and $59.65, respectively, under the 2017 Repurchase Program.</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and nine months ended September 30, 2017, the Company purchased 160,033 and 584,017 shares of its common stock, respectively, for an aggregate purchase price of approximately $9,004 and $29,320, respectively, including commissions, representing an average purchase price per share of $56.26 and $50.20, respectively, under the 2014 and 2017 Repurchase Programs.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Employee Benefit Plans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net periodic benefit cost:</w:t>
      </w: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90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6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4"/>
        </w:trPr>
        <w:tc>
          <w:tcPr>
            <w:tcW w:w="548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1,469</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494</w:t>
            </w:r>
          </w:p>
        </w:tc>
      </w:tr>
      <w:tr>
        <w:trPr>
          <w:trHeight w:val="27"/>
        </w:trPr>
        <w:tc>
          <w:tcPr>
            <w:tcW w:w="5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Amortization of actuarial (gain)/loss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212</w:t>
            </w:r>
          </w:p>
        </w:tc>
      </w:tr>
      <w:tr>
        <w:trPr>
          <w:trHeight w:val="27"/>
        </w:trPr>
        <w:tc>
          <w:tcPr>
            <w:tcW w:w="54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1, 2018, the Company adopted ASU 2017-07, Improving the Presentation of Net Periodic Pension Cost and Net Periodic Post-retirement Benefit Cost. Pursuant to this, the Company presented service cost separately from other components of net periodic cost for all periods presented. The interest cost, expected return on plan assets and amortization of actuarial (gain)/loss, have been reclassified from “Cost of revenues”, “General and administrative expenses” and “Selling and marketing expenses” to “Other income, net”.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the retrospective presentation change related to the net periodic cost of our defined benefit Gratuity Plan on applicable lines of our unaudited consolidated statements of income was as follows -</w:t>
      </w:r>
    </w:p>
    <w:p>
      <w:pPr>
        <w:spacing w:after="0" w:line="238"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gridSpan w:val="6"/>
          </w:tcPr>
          <w:p>
            <w:pPr>
              <w:jc w:val="right"/>
              <w:spacing w:after="0"/>
              <w:rPr>
                <w:sz w:val="20"/>
                <w:szCs w:val="20"/>
                <w:color w:val="auto"/>
              </w:rPr>
            </w:pPr>
            <w:r>
              <w:rPr>
                <w:rFonts w:ascii="Arial" w:cs="Arial" w:eastAsia="Arial" w:hAnsi="Arial"/>
                <w:sz w:val="16"/>
                <w:szCs w:val="16"/>
                <w:b w:val="1"/>
                <w:bCs w:val="1"/>
                <w:color w:val="auto"/>
              </w:rPr>
              <w:t>Three months ended September 30, 2017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6"/>
          </w:tcPr>
          <w:p>
            <w:pPr>
              <w:jc w:val="right"/>
              <w:spacing w:after="0"/>
              <w:rPr>
                <w:sz w:val="20"/>
                <w:szCs w:val="20"/>
                <w:color w:val="auto"/>
              </w:rPr>
            </w:pPr>
            <w:r>
              <w:rPr>
                <w:rFonts w:ascii="Arial" w:cs="Arial" w:eastAsia="Arial" w:hAnsi="Arial"/>
                <w:sz w:val="16"/>
                <w:szCs w:val="16"/>
                <w:b w:val="1"/>
                <w:bCs w:val="1"/>
                <w:color w:val="auto"/>
              </w:rPr>
              <w:t>Nine months ended September 30, 2017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As revised</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Previously</w:t>
            </w: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Effect of change</w:t>
            </w:r>
          </w:p>
        </w:tc>
        <w:tc>
          <w:tcPr>
            <w:tcW w:w="180" w:type="dxa"/>
            <w:vAlign w:val="bottom"/>
          </w:tcPr>
          <w:p>
            <w:pPr>
              <w:spacing w:after="0"/>
              <w:rPr>
                <w:sz w:val="18"/>
                <w:szCs w:val="18"/>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As revised</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Previously</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Effect of change</w:t>
            </w:r>
          </w:p>
        </w:tc>
        <w:tc>
          <w:tcPr>
            <w:tcW w:w="0" w:type="dxa"/>
            <w:vAlign w:val="bottom"/>
          </w:tcPr>
          <w:p>
            <w:pPr>
              <w:spacing w:after="0"/>
              <w:rPr>
                <w:sz w:val="1"/>
                <w:szCs w:val="1"/>
                <w:color w:val="auto"/>
              </w:rPr>
            </w:pPr>
          </w:p>
        </w:tc>
      </w:tr>
      <w:tr>
        <w:trPr>
          <w:trHeight w:val="102"/>
        </w:trPr>
        <w:tc>
          <w:tcPr>
            <w:tcW w:w="3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reported*</w:t>
            </w:r>
          </w:p>
        </w:tc>
        <w:tc>
          <w:tcPr>
            <w:tcW w:w="13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Higher/(Lower)</w:t>
            </w:r>
          </w:p>
        </w:tc>
        <w:tc>
          <w:tcPr>
            <w:tcW w:w="1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5"/>
              </w:rPr>
              <w:t>reported*</w:t>
            </w: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Higher/(Lower)</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1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Location in unaudited consolidated</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123,077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123,189</w:t>
            </w:r>
          </w:p>
        </w:tc>
        <w:tc>
          <w:tcPr>
            <w:tcW w:w="120" w:type="dxa"/>
            <w:vAlign w:val="bottom"/>
          </w:tcPr>
          <w:p>
            <w:pPr>
              <w:spacing w:after="0"/>
              <w:rPr>
                <w:sz w:val="21"/>
                <w:szCs w:val="21"/>
                <w:color w:val="auto"/>
              </w:rPr>
            </w:pP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365,883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366,216</w:t>
            </w:r>
          </w:p>
        </w:tc>
        <w:tc>
          <w:tcPr>
            <w:tcW w:w="100" w:type="dxa"/>
            <w:vAlign w:val="bottom"/>
          </w:tcPr>
          <w:p>
            <w:pPr>
              <w:spacing w:after="0"/>
              <w:rPr>
                <w:sz w:val="21"/>
                <w:szCs w:val="21"/>
                <w:color w:val="auto"/>
              </w:rPr>
            </w:pP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5"/>
              </w:rPr>
              <w:t>(333)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75,046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12,197</w:t>
            </w:r>
          </w:p>
        </w:tc>
        <w:tc>
          <w:tcPr>
            <w:tcW w:w="120" w:type="dxa"/>
            <w:vAlign w:val="bottom"/>
          </w:tcPr>
          <w:p>
            <w:pPr>
              <w:spacing w:after="0"/>
              <w:rPr>
                <w:sz w:val="21"/>
                <w:szCs w:val="21"/>
                <w:color w:val="auto"/>
              </w:rPr>
            </w:pP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38,631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38,634</w:t>
            </w:r>
          </w:p>
        </w:tc>
        <w:tc>
          <w:tcPr>
            <w:tcW w:w="100" w:type="dxa"/>
            <w:vAlign w:val="bottom"/>
          </w:tcPr>
          <w:p>
            <w:pPr>
              <w:spacing w:after="0"/>
              <w:rPr>
                <w:sz w:val="21"/>
                <w:szCs w:val="21"/>
                <w:color w:val="auto"/>
              </w:rPr>
            </w:pPr>
          </w:p>
        </w:tc>
        <w:tc>
          <w:tcPr>
            <w:tcW w:w="840" w:type="dxa"/>
            <w:vAlign w:val="bottom"/>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8,495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8,870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(375)</w:t>
            </w:r>
          </w:p>
        </w:tc>
        <w:tc>
          <w:tcPr>
            <w:tcW w:w="0" w:type="dxa"/>
            <w:vAlign w:val="bottom"/>
          </w:tcPr>
          <w:p>
            <w:pPr>
              <w:spacing w:after="0"/>
              <w:rPr>
                <w:sz w:val="1"/>
                <w:szCs w:val="1"/>
                <w:color w:val="auto"/>
              </w:rPr>
            </w:pPr>
          </w:p>
        </w:tc>
      </w:tr>
      <w:tr>
        <w:trPr>
          <w:trHeight w:val="27"/>
        </w:trPr>
        <w:tc>
          <w:tcPr>
            <w:tcW w:w="3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Adjusted for the impact of adoption of ASU 2017-12. Refer to Note 17 of the unaudited consolidated financial statements.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7.8% per annum on these Gratuity Plans for the nine months ended September 30, 2018.</w:t>
      </w:r>
    </w:p>
    <w:p>
      <w:pPr>
        <w:spacing w:after="0" w:line="130"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2018</w:t>
            </w:r>
          </w:p>
        </w:tc>
        <w:tc>
          <w:tcPr>
            <w:tcW w:w="7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6,915</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Business acquisition</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return</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Employer contribution</w:t>
            </w:r>
          </w:p>
        </w:tc>
        <w:tc>
          <w:tcPr>
            <w:tcW w:w="7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1,191</w:t>
            </w:r>
          </w:p>
        </w:tc>
      </w:tr>
      <w:tr>
        <w:trPr>
          <w:trHeight w:val="27"/>
        </w:trPr>
        <w:tc>
          <w:tcPr>
            <w:tcW w:w="7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Effect of exchange rate changes</w:t>
            </w:r>
          </w:p>
        </w:tc>
        <w:tc>
          <w:tcPr>
            <w:tcW w:w="7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7"/>
        </w:trPr>
        <w:tc>
          <w:tcPr>
            <w:tcW w:w="7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September 30, 2018</w:t>
            </w:r>
          </w:p>
        </w:tc>
        <w:tc>
          <w:tcPr>
            <w:tcW w:w="7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7,210</w:t>
            </w:r>
          </w:p>
        </w:tc>
      </w:tr>
      <w:tr>
        <w:trPr>
          <w:trHeight w:val="20"/>
        </w:trPr>
        <w:tc>
          <w:tcPr>
            <w:tcW w:w="7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maintains several 401(k) plans (the "401(k) Plans") under Section 401(k) of the Internal Revenue Code of 1986 (the “Code”), covering all eligible employees, as defined in the Code as a defined contribution plan. The Company may make discretionary contributions of up to a maximum of 4% of employee compensation within certain limits. The Company made provision for 401(k) Plans amounting to $645 and $487 for the three months ended September 30, 2018 and 2017, respectively, and $2,630 and $2,051 for the nine months ended September 30, 2018 and 2017, respectively.</w:t>
      </w:r>
    </w:p>
    <w:p>
      <w:pPr>
        <w:spacing w:after="0" w:line="15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behalf of the Company's employees in India, the Philippines, Bulgaria, Romania, the Czech Republic, South Africa, Colombia and Singapore, the Company contributed $2,003 and $1,845 during the three months ended September 30, 2018 and 2017, respectively, and $5,670 and $5,350 during the nine months ended September 30, 2018 and 2017, respectively, for various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Leases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finances its use of certain motor vehicles and other equipment under various lease arrangements provided by financial institutions. Future minimum lease payments under these capital leases as of September 30, 2018 are as follows:</w:t>
      </w:r>
    </w:p>
    <w:p>
      <w:pPr>
        <w:spacing w:after="0" w:line="212" w:lineRule="exact"/>
        <w:rPr>
          <w:sz w:val="20"/>
          <w:szCs w:val="20"/>
          <w:color w:val="auto"/>
        </w:rPr>
      </w:pPr>
    </w:p>
    <w:tbl>
      <w:tblPr>
        <w:tblLayout w:type="fixed"/>
        <w:tblInd w:w="1340" w:type="dxa"/>
        <w:tblCellMar>
          <w:top w:w="0" w:type="dxa"/>
          <w:left w:w="0" w:type="dxa"/>
          <w:bottom w:w="0" w:type="dxa"/>
          <w:right w:w="0" w:type="dxa"/>
        </w:tblCellMar>
      </w:tblP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 (October 1- December 31)</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7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7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2023 and thereafter</w:t>
            </w:r>
          </w:p>
        </w:tc>
        <w:tc>
          <w:tcPr>
            <w:tcW w:w="6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72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capital lease obligation</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Company conducts its operations using facilities leased under operating lease agreements that expire at various dates. Future minimum lease payments under such agreements expiring after September 30, 2018 are set forth below:</w:t>
      </w:r>
    </w:p>
    <w:p>
      <w:pPr>
        <w:spacing w:after="0" w:line="320" w:lineRule="exact"/>
        <w:rPr>
          <w:sz w:val="20"/>
          <w:szCs w:val="20"/>
          <w:color w:val="auto"/>
        </w:rPr>
      </w:pPr>
    </w:p>
    <w:tbl>
      <w:tblPr>
        <w:tblLayout w:type="fixed"/>
        <w:tblInd w:w="1220" w:type="dxa"/>
        <w:tblCellMar>
          <w:top w:w="0" w:type="dxa"/>
          <w:left w:w="0" w:type="dxa"/>
          <w:bottom w:w="0" w:type="dxa"/>
          <w:right w:w="0" w:type="dxa"/>
        </w:tblCellMar>
      </w:tblP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 (October 1- December 31)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21,188</w:t>
            </w:r>
          </w:p>
        </w:tc>
      </w:tr>
      <w:tr>
        <w:trPr>
          <w:trHeight w:val="27"/>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18,779</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16,734</w:t>
            </w:r>
          </w:p>
        </w:tc>
      </w:tr>
      <w:tr>
        <w:trPr>
          <w:trHeight w:val="27"/>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14,399</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2023 and thereafter</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35,706</w:t>
            </w:r>
          </w:p>
        </w:tc>
      </w:tr>
      <w:tr>
        <w:trPr>
          <w:trHeight w:val="27"/>
        </w:trPr>
        <w:tc>
          <w:tcPr>
            <w:tcW w:w="75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112,396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Rent expense</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recognizes rent expense on such leases on a straight-line basis over cancelable and non-cancelable lease period determined under ASC topic 840, Leases: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5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w w:val="94"/>
              </w:rPr>
              <w:t>Nine months ended September 30,</w:t>
            </w: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360" w:type="dxa"/>
            <w:vAlign w:val="bottom"/>
            <w:tcBorders>
              <w:bottom w:val="single" w:sz="8" w:color="auto"/>
            </w:tcBorders>
            <w:shd w:val="clear" w:color="auto" w:fill="CCEEFF"/>
          </w:tcPr>
          <w:p>
            <w:pPr>
              <w:jc w:val="right"/>
              <w:ind w:right="116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6,596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6,362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19,075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18,168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Deferred rent</w:t>
            </w: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5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20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September 30, 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w w:val="95"/>
              </w:rPr>
              <w:t>December 31, 2017</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Cancelable and non-cancelable operating leases</w:t>
            </w:r>
          </w:p>
        </w:tc>
        <w:tc>
          <w:tcPr>
            <w:tcW w:w="13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Deferred rent is included under “Accrued expenses and other current liabilities” and “Other non-current liabilities” in the consolidated balance sheets.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Income Taxes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recorded income tax expense of $5,739 and $2,819 for the three months ended September 30, 2018 and 2017, respectively. The effective tax rate increased from 11.8% during the three months ended September 30, 2017 to 27.3% during the three months ended September 30, 2018 primarily as a result of recording of excess tax benefits related to stock awards of $3,488 pursuant to ASU No. 2016-09 during the three months ended September 30, 2017 compared to $288 during the three months ended September 30, 2018.</w:t>
      </w:r>
    </w:p>
    <w:p>
      <w:pPr>
        <w:spacing w:after="0" w:line="7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recorded income tax expense of $6,796 and $7,202 for the nine months ended September 30, 2018 and 2017, respectively. The effective tax rate increased from 11.0% during the nine months ended September 30, 2017 to 11.4% during the nine months ended September 30, 2018 primarily as a result of: (i) excess tax benefits related to stock awards of $5,438 pursuant to ASU No. 2016-09 during the nine months ended September 30, 2018 compared to $7,169 during the nine months ended September 30, 2017, (ii) reversal of uncertain tax position of $3,153 during the nine months ended September 30, 2017, offset by (iii) an adjustment of $4,836 during the nine months ended September 30, 2018 reducing the provisional transition tax on the mandatory deemed repatriation of accumulated earnings and profits ("E&amp;P") of foreign subsidiaries recognized during the year-ended December 31, 2017, and (iv) a reduction in the U.S. federal corporate tax rate from 35.0% to 21.0% effective January 1, 2018.</w:t>
      </w:r>
    </w:p>
    <w:p>
      <w:pPr>
        <w:spacing w:after="0" w:line="7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SEC staff issued Staff Accounting Bulletin ("SAB 118"), which provides guidance on accounting for the tax effects of the U.S. Tax Cuts and Jobs Act of 2017 (the “Tax Reform Act”). SAB 118 provides a measurement period that should not extend beyond one year from the Tax Reform Act enactment date for companies to complete the accounting under ASC 740. In accordance with SAB 118, a company must reflect the income tax effects of those aspects of the Tax Reform Act for which the accounting under ASC 740 is complete. To the extent that a company’s accounting for certain income tax effects of the Tax Reform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Reform Act.</w:t>
      </w:r>
    </w:p>
    <w:p>
      <w:pPr>
        <w:spacing w:after="0" w:line="7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deemed repatriation transition tax (the “Transition Tax”) is a tax on certain previously untaxed accumulated and current E&amp;P of the Company's foreign subsidiaries. The Company was able to reasonably estimate the Transition Tax and recorded an initial provisional Transition Tax obligation of $27,236, with a corresponding adjustment of $27,236 to income tax expense for the year ended December 31, 2017. On the basis of additional technical research and analysis, the Company recognized a measurement-period reduction of $4,836 to the Transition Tax obligation, with a corresponding adjustment of $4,836 to income tax expense during the nine months ended September 30, 2018. As of September 30, 2018, a total Transition Tax obligation of $22,400 has been recorded, with a corresponding adjustment of $22,400 to the income tax expense. However, the Company continues to gather additional information to more precisely compute the amount of the Transition Tax, and its accounting for this item is not yet complete because of, among other things, changes in the interpretations and assumptions, additional guidance that may be issued by the Internal Revenue Service ("I.R.S."), and actions the Company may take. The Company expects to complete its accounting within the prescribed measurement period.</w:t>
      </w:r>
    </w:p>
    <w:p>
      <w:pPr>
        <w:spacing w:after="0" w:line="16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This inclusion of foreign untaxed earnings resulted in previously taxed income (PTI) which may be subject to withholding taxes and currency gains or losses upon repatriation. The Company does not intend to distribute PTI of its foreign subsidiaries and has not recorded any deferred taxes related to its investment in foreign subsidiaries. The Company estimates that future domestic cash generation will be sufficient to meet future domestic cash needs and has specific plans for use of the subsidiaries earnings. If, in the future, the Company changes its intention regarding the repatriation of PTI, additional taxes may be required and should be recorded in the period the intention changes.</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noted at year-end, the Company was able to reasonably estimate and record provisional adjustments associated with the corporate rate change in the amount of $1,949. The Company has not made any additional measurement period adjustment related to this item during the nine months ended September 30, 2018 because it continues to evaluate potential method changes and implications of certain provisions of the Act, as well as additional guidance provided by the tax authorities. The Company continues to gather additional information and expects to complete its accounting within the prescribed measurement period.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Stock-Based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costs related to the Company’s stock-based compensation plans are included in the unaudited consolidated statements of income:</w:t>
      </w: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264"/>
        </w:trPr>
        <w:tc>
          <w:tcPr>
            <w:tcW w:w="56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3,448</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7,536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7,541</w:t>
            </w:r>
          </w:p>
        </w:tc>
      </w:tr>
      <w:tr>
        <w:trPr>
          <w:trHeight w:val="27"/>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5,782</w:t>
            </w: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5,344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5,708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17,311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16,771</w:t>
            </w:r>
          </w:p>
        </w:tc>
      </w:tr>
      <w:tr>
        <w:trPr>
          <w:trHeight w:val="27"/>
        </w:trPr>
        <w:tc>
          <w:tcPr>
            <w:tcW w:w="5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2018, the Company had 3,210,120 shares available for grant under the 2018 Omnibus Incentive Plan, which was adopted by the Company's stockholders in September 2018, at which time new awards under the Company's 2015 Amendment and Restatement of the 2006 Omnibus Award Plan were not permitted to be made.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option activity under the Company’s stock-based compensation plans is shown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 Avg</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Avg</w:t>
            </w: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14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81"/>
        </w:trPr>
        <w:tc>
          <w:tcPr>
            <w:tcW w:w="56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7"/>
                <w:szCs w:val="7"/>
                <w:color w:val="auto"/>
              </w:rPr>
            </w:pPr>
          </w:p>
        </w:tc>
        <w:tc>
          <w:tcPr>
            <w:tcW w:w="122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Intrinsic</w:t>
            </w: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14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81"/>
        </w:trPr>
        <w:tc>
          <w:tcPr>
            <w:tcW w:w="56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7"/>
                <w:szCs w:val="7"/>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56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0" w:type="dxa"/>
            <w:vAlign w:val="bottom"/>
          </w:tcPr>
          <w:p>
            <w:pPr>
              <w:spacing w:after="0"/>
              <w:rPr>
                <w:sz w:val="1"/>
                <w:szCs w:val="1"/>
                <w:color w:val="auto"/>
              </w:rPr>
            </w:pPr>
          </w:p>
        </w:tc>
      </w:tr>
      <w:tr>
        <w:trPr>
          <w:trHeight w:val="87"/>
        </w:trPr>
        <w:tc>
          <w:tcPr>
            <w:tcW w:w="560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10,985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199,128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9,586</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exercisable at September 30, 2018</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199,128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9,586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unrecognized compensation cost for unvested options as of September 30, 2018 is Nil.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stock-based compensation plans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50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240" w:type="dxa"/>
            <w:vAlign w:val="bottom"/>
          </w:tcPr>
          <w:p>
            <w:pPr>
              <w:jc w:val="right"/>
              <w:ind w:right="35"/>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4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1,046,999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429,132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(397,112)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(14,620)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(80,228)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998,791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right="320" w:firstLine="413"/>
        <w:spacing w:after="0" w:line="275" w:lineRule="auto"/>
        <w:tabs>
          <w:tab w:leader="none" w:pos="527"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As of September 30, 2018 and December 31, 2017 restricted stock units vested for which the underlying common stock is yet to be issued are 155,753 and 146,112, respectively.</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As of September 30, 2018, unrecognized compensation cost of $41,224 is expected to be expensed over a weighted average period of 2.67 years.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based restricted stock unit (the “PRSUs”) activity under the Company’s stock-based compensation plans is shown below:</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126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05"/>
        </w:trPr>
        <w:tc>
          <w:tcPr>
            <w:tcW w:w="47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7"/>
        </w:trPr>
        <w:tc>
          <w:tcPr>
            <w:tcW w:w="4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55,268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55,262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(21,179)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63.78</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2018</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147,279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2018, unrecognized compensation cost of $9,328 is expected to be expensed over a weighted average period of 1.91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Related Party Disclosures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provides consulting services to PharmaCord, LLC. One of the Company’s directors, Nitin Sahney, is the member-manager and chief executive officer of PharmaCord, LLC. The Company recognized revenue of $10 and $225 in the three months and nine months ended September 30, 2018, respectively, and $701 and $1,506 in the three months and nine months ended September 30, 2017, respectively, for services provided.</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2018 and December 31, 2017, the Company had accounts receivable of $5 and $140, respectively, related to these services.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September 30, 2018, the Company has committed to spend approximately $4,980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aggregate disputed amount demanded by Indian tax authorities from the Company primarily related to its transfer pricing issues for years ranging from tax years 2003 to 2015 and its permanent establishment issues ranging from tax years 2003 to 2007 as of September 30, 2018 and December 31, 2017 is $16,407 and $18,065, respectively, of which the Company has made payments or provided bank guarantee to the extent $7,863 and $8,573, respectively. Amounts paid as deposits in respect of such assessments aggregating to $6,035 and $6,499 as of September 30, 2018 and December 31, 2017, respectively, are included in “Other assets” and amounts for bank guarantees aggregating to $1,828 and $2,074 as of September 30, 2018 and December 31, 2017, respectively, are included in “Restricted cash” in the non-current assets section of the Company’s consolidated balance sheets as of September 30, 2018 and December 31, 2017.</w:t>
      </w:r>
    </w:p>
    <w:p>
      <w:pPr>
        <w:spacing w:after="0" w:line="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6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March 2017, the Company was named in a putative class action lawsuit filed in California, which included several causes of action seeking damages but did not include a monetary demand. The Company filed its answer in April 2017 vigorously denying the allegations. Both parties agreed to participate in a court-approved mediation which occurred in March 2018. The parties reached an agreement in principle whereby the Company, without any admission of wrongdoing or liability, would pay $2,400 to settle the litigation, which amount has been accrued under “General and administrative expenses” for the nine months ended September 30, 2018. The agreement remains subject to final court approval, which is expected to occur in the fourth quarter of 2018 although there can be no guarantee as to approval or timing.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Subsequent Event</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October 1, 2018, the Company entered into an investment agreement (the “Investment Agreement”) with Orogen Echo LLC (the “Purchaser”), an affiliate of The Orogen Group LLC, relating to the issuance to the Purchaser of $150,000 in an aggregate principal amount of 3.50%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The Notes are convertible at an initial conversion rate of 13.3333 shares of the common stock per $1,000 principal amount of the Notes (which represents an initial conversion price of approximately $75 per share). The Company may elect to settle conversions of the Notes by paying or delivering, as the case may be, cash, shares of the Company’s common stock or a combination of cash and shares of the Company’s common stock.</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entered into a second amendment (the “Amendment”) to its Credit Agreement, effective as of November 21, 2017, as amended, among the Company, as borrower, with certain lenders, and Citibank, N.A. as Administrative Agent to, among other things, permit the issuance by the Company of the Notes, and settlement upon maturity or conversion thereof, in accordance with the Investment Agreement, the indenture dated as of October 4, 2018 and the other documents entered into in connection therewith. The Company used the proceeds from the sale of Notes to repay a portion of its outstanding borrowings under the New Credit Facility.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2017. Some of the statements in the following discussion are forward looking statements. Dollar amounts within Item 2 are presented as actual, approximated, dollar amounts.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This Quarterly Report on Form 10-Q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74" w:lineRule="exact"/>
        <w:rPr>
          <w:sz w:val="20"/>
          <w:szCs w:val="20"/>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 security incidents, data breaches, or other unauthorized disclosure of sensitive or confidential client and customer data;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11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2017. These and other risks could cause actual results to differ materially from those implied by forward-looking statements in this Quarterly Report on Form 10-Q.</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are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w:t>
      </w:r>
    </w:p>
    <w:p>
      <w:pPr>
        <w:spacing w:after="0" w:line="6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five of which are industry focused operating segments (Insurance, Healthcare, Travel, Transportation and Logistics, Banking and Financial Services, and Utilities) and one of which is a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the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Analytics, which provides services that focus on driving improved business outcomes for clients by generating data-driven insights across all parts of their business.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present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Travel, Transportation and Logistics,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Finance and Accounting,</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Analytics, and</w:t>
      </w:r>
    </w:p>
    <w:p>
      <w:pPr>
        <w:spacing w:after="0" w:line="9" w:lineRule="exact"/>
        <w:rPr>
          <w:rFonts w:ascii="Arial" w:cs="Arial" w:eastAsia="Arial" w:hAnsi="Arial"/>
          <w:sz w:val="18"/>
          <w:szCs w:val="18"/>
          <w:color w:val="auto"/>
        </w:rPr>
      </w:pPr>
    </w:p>
    <w:p>
      <w:pPr>
        <w:ind w:left="740" w:right="560" w:hanging="327"/>
        <w:spacing w:after="0" w:line="261"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(consisting of our remaining operating segments, which are our Banking and Financial services, Utilities and Consulting operating segments).</w:t>
      </w:r>
    </w:p>
    <w:p>
      <w:pPr>
        <w:spacing w:after="0" w:line="1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Consistent with our growth strategy, on December 22, 2017, we acquired substantially all of the assets and assumed certain liabilities related thereto of Health Integrated, Inc. (“Health Integrated”).</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acquisition of Health Integrated is included in the Healthcare reportable segment. Health Integrated provides dedicated care management services on behalf of health plans. Its services include case management, utilization management, disease management, special needs programs and multichronic care management. Health Integrated serves millions of lives in the Medicaid, Medicare, and dual eligible populations.</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July 2018 acquisition of SCIO is included in Analytics reportable segment. It provides health analytics solution and serving over 100 healthcare organizations representing over 130 million covered lives across the continuum including providers, health plans, pharmacy benefit managers, employers, health services and global life sciences companies.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months ended September 30, 2018, we had revenues of $231.1 million compared to revenues of $192.3 million for the three months ended September 30, 2017, an increase of $38.8 million, or 20.2%. For the nine months ended September 30, 2018, we had revenues of $648.2 million compared to revenues of $564.4 million for the nine months ended September 30, 2017, an increase of $83.8 million, or 14.8%.</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serve clients mainly in the U.S. and the U.K., with these two regions generating 82.9% and 12.9%, respectively, of our total revenues for the three months ended September 30, 2018, and 82.4% and 13.9%, respectively, of our revenues for the three months ended September 30, 2017. For the nine months ended September 30, 2018, these two regions generated 82.8% and 13.2%, respectively, of our total revenues and 82.0% and 14.5%, respectively, of our total revenues for the nine months ended September 30,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months ended September 30, 2018 and 2017, our total revenues from our top ten clients accounted for 36.7% and 38.3% of our total revenues, respectively. For the nine months ended September 30, 2018 and 2017, our total revenues from our top ten clients accounted for 37.9% and 38.7% of our total revenues, respectively.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Operations Management Services</w:t>
      </w:r>
      <w:r>
        <w:rPr>
          <w:rFonts w:ascii="Arial" w:cs="Arial" w:eastAsia="Arial" w:hAnsi="Arial"/>
          <w:sz w:val="18"/>
          <w:szCs w:val="18"/>
          <w:color w:val="auto"/>
        </w:rPr>
        <w:t>: We provide our clients with a range of operations management services principally in the insurance,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 advice regarding transformational initiatives.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management solutions typically involve the transfer to the Company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customers by generating data-driven insights across all parts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customers’ business. We also provide care optimization and reimbursements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actively cross-sell and, where appropriate, integrate our Analytics services with other operations management services as part of a comprehensive offering set for our clients.</w:t>
      </w:r>
    </w:p>
    <w:p>
      <w:pPr>
        <w:spacing w:after="0" w:line="16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Annual Report on Form 10-K for the fiscal year ended December 31, 2017. For Revenue Recognition refer to Note 2 to the unaudited consolidated financial statements contained herein.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three and nine months ended September 30, 2018 and 2017:</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24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2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(dollars 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21"/>
                <w:szCs w:val="21"/>
                <w:color w:val="auto"/>
              </w:rPr>
            </w:pPr>
          </w:p>
        </w:tc>
      </w:tr>
      <w:tr>
        <w:trPr>
          <w:trHeight w:val="25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231.1</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564.4</w:t>
            </w:r>
          </w:p>
        </w:tc>
      </w:tr>
      <w:tr>
        <w:trPr>
          <w:trHeight w:val="270"/>
        </w:trPr>
        <w:tc>
          <w:tcPr>
            <w:tcW w:w="52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9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7"/>
              </w:rPr>
              <w:t>152.2</w:t>
            </w:r>
          </w:p>
        </w:tc>
        <w:tc>
          <w:tcPr>
            <w:tcW w:w="2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429.9</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365.9</w:t>
            </w:r>
          </w:p>
        </w:tc>
      </w:tr>
      <w:tr>
        <w:trPr>
          <w:trHeight w:val="264"/>
        </w:trPr>
        <w:tc>
          <w:tcPr>
            <w:tcW w:w="52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9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78.9</w:t>
            </w:r>
          </w:p>
        </w:tc>
        <w:tc>
          <w:tcPr>
            <w:tcW w:w="2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69.2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218.3</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198.5</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1"/>
        </w:trPr>
        <w:tc>
          <w:tcPr>
            <w:tcW w:w="5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5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r>
      <w:tr>
        <w:trPr>
          <w:trHeight w:val="243"/>
        </w:trPr>
        <w:tc>
          <w:tcPr>
            <w:tcW w:w="5220" w:type="dxa"/>
            <w:vAlign w:val="bottom"/>
          </w:tcPr>
          <w:p>
            <w:pPr>
              <w:ind w:left="680"/>
              <w:spacing w:after="0"/>
              <w:rPr>
                <w:sz w:val="20"/>
                <w:szCs w:val="20"/>
                <w:color w:val="auto"/>
              </w:rPr>
            </w:pPr>
            <w:r>
              <w:rPr>
                <w:rFonts w:ascii="Arial" w:cs="Arial" w:eastAsia="Arial" w:hAnsi="Arial"/>
                <w:sz w:val="18"/>
                <w:szCs w:val="18"/>
                <w:color w:val="auto"/>
              </w:rPr>
              <w:t>Selling and marketing expenses</w:t>
            </w:r>
          </w:p>
        </w:tc>
        <w:tc>
          <w:tcPr>
            <w:tcW w:w="90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38.6</w:t>
            </w:r>
          </w:p>
        </w:tc>
      </w:tr>
      <w:tr>
        <w:trPr>
          <w:trHeight w:val="27"/>
        </w:trPr>
        <w:tc>
          <w:tcPr>
            <w:tcW w:w="5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142.1</w:t>
            </w:r>
          </w:p>
        </w:tc>
      </w:tr>
      <w:tr>
        <w:trPr>
          <w:trHeight w:val="27"/>
        </w:trPr>
        <w:tc>
          <w:tcPr>
            <w:tcW w:w="5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19.7</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56.4</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90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w:t>
            </w:r>
          </w:p>
        </w:tc>
      </w:tr>
      <w:tr>
        <w:trPr>
          <w:trHeight w:val="27"/>
        </w:trPr>
        <w:tc>
          <w:tcPr>
            <w:tcW w:w="5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90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8.5</w:t>
            </w:r>
          </w:p>
        </w:tc>
      </w:tr>
      <w:tr>
        <w:trPr>
          <w:trHeight w:val="27"/>
        </w:trPr>
        <w:tc>
          <w:tcPr>
            <w:tcW w:w="5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21.1</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65.4</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7.2</w:t>
            </w:r>
          </w:p>
        </w:tc>
      </w:tr>
      <w:tr>
        <w:trPr>
          <w:trHeight w:val="27"/>
        </w:trPr>
        <w:tc>
          <w:tcPr>
            <w:tcW w:w="5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w w:val="92"/>
              </w:rPr>
              <w:t>Net income attributable to ExlService Holdings, Inc. stockholders</w:t>
            </w:r>
          </w:p>
        </w:tc>
        <w:tc>
          <w:tcPr>
            <w:tcW w:w="900" w:type="dxa"/>
            <w:vAlign w:val="bottom"/>
            <w:tcBorders>
              <w:top w:val="single" w:sz="8" w:color="auto"/>
            </w:tcBorders>
          </w:tcPr>
          <w:p>
            <w:pPr>
              <w:jc w:val="right"/>
              <w:ind w:right="719"/>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15.3</w:t>
            </w:r>
          </w:p>
        </w:tc>
        <w:tc>
          <w:tcPr>
            <w:tcW w:w="200" w:type="dxa"/>
            <w:vAlign w:val="bottom"/>
          </w:tcPr>
          <w:p>
            <w:pPr>
              <w:spacing w:after="0"/>
              <w:rPr>
                <w:sz w:val="20"/>
                <w:szCs w:val="20"/>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52.8</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58.2</w:t>
            </w:r>
          </w:p>
        </w:tc>
      </w:tr>
      <w:tr>
        <w:trPr>
          <w:trHeight w:val="27"/>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(1) Exclusive of depreciation and amortization.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Compared to Three Months Ended September 30, 2017</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revenues by reportable segments for the three months ended September 30, 2018 and 2017:</w:t>
      </w:r>
    </w:p>
    <w:p>
      <w:pPr>
        <w:spacing w:after="0" w:line="328"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Three months ended September 30,</w:t>
      </w:r>
    </w:p>
    <w:tbl>
      <w:tblPr>
        <w:tblLayout w:type="fixed"/>
        <w:tblInd w:w="220" w:type="dxa"/>
        <w:tblCellMar>
          <w:top w:w="0" w:type="dxa"/>
          <w:left w:w="0" w:type="dxa"/>
          <w:bottom w:w="0" w:type="dxa"/>
          <w:right w:w="0" w:type="dxa"/>
        </w:tblCellMar>
      </w:tblPr>
      <w:tr>
        <w:trPr>
          <w:trHeight w:val="47"/>
        </w:trPr>
        <w:tc>
          <w:tcPr>
            <w:tcW w:w="48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vMerge w:val="restart"/>
          </w:tcPr>
          <w:p>
            <w:pPr>
              <w:jc w:val="right"/>
              <w:ind w:right="35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6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60" w:type="dxa"/>
            <w:vAlign w:val="bottom"/>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Transportation and Logistics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Finance and Accounting</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Analytics</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53.9 %</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231.1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Revenues for the three months ended September 30, 2018 were $231.1 million, up $38.8 million or 20.2%, compared to the three months ended September 30, 2017.</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growth in Insurance of $4.7 million was primarily driven by expansion of business from our new and existing clients of $5.4 million. This was partially offset by $0.7 million attributable to the depreciation of the Indian rupee against the U.S. dollar during the three months ended September 31, 2018 compared to the three months ended September 31, 2017. Insurance revenues were 27.8% and 31.0% of our total revenues in the three months ended September 30, 2018 and September 30, 2017, respectively.</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growth in Healthcare of $1.5 million was primarily driven by our acquisition of Health Integrated in 2017, contributing $3.7 million. This was partially offset by lower revenues of $2.2 million due to the termination of certain client contracts. Healthcare revenues were 8.8% and 9.8% of our total revenues in the three months ended September 30, 2018 and September 30, 2017, respectively.</w:t>
      </w:r>
    </w:p>
    <w:p>
      <w:pPr>
        <w:spacing w:after="0" w:line="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Revenue decline in Travel, Transportation and Logistics ("TT&amp;L") of $1.2 million was primarily driven by net lower volumes from our existing clients of $0.9 million. The remaining decrease of $0.3 million was attributable to the depreciation of the Indian rupee and Philippine peso against the U.S. dollar during the three months ended September 31, 2018 compared to the three months ended September 31, 2017. TT&amp;L revenues were 7.5% and 9.6% of our total revenues in the three months ended September 30, 2018 and September 30, 2017, respectively.</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growth in Finance and Accounting ("F&amp;A") of $2.9 million was driven by net volume increases from our new and existing clients of $3.4 million. This was partially offset by $0.5 million attributable to the depreciation of the Indian rupee against the U.S. dollar during the three months ended September 31, 2018 compared to the three months ended September 31, 2017. F&amp;A revenues were 10.6% and 11.3% of our total revenues in the three months ended September 30, 2018 and September 30, 2017, respectively.</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growth in All Other of $1.9 million was primarily driven by higher revenues of $3.1 million in the Consulting operating segment and $0.3 million in our Utilities operating segment, partially offset by lower revenues of $0.6 million in our Banking and Financial Services operating segment. This was partially offset by $0.8 million due to the depreciation of the Indian rupee against the U.S. dollar. All Other revenues were 9.5% and 10.4% of our total revenues in the three months ended September 30, 2018 and September 30, 2017, respectively.</w:t>
      </w:r>
    </w:p>
    <w:p>
      <w:pPr>
        <w:spacing w:after="0" w:line="7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Revenue growth in Analytics of $29.0 million was primarily driven by our acquisition of SCIO in July 2018 contributing $19.2 million. The remaining increase of $9.8 million was attributable to recurring and project based engagements from our new and existing clients. Analytics revenues were 35.8% and 27.9% of our total revenues in the three months ended September 30, 2018 and September 30, 2017,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Cost of Revenues</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Gross Margin</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30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Three months ended September 30,</w:t>
            </w:r>
          </w:p>
        </w:tc>
        <w:tc>
          <w:tcPr>
            <w:tcW w:w="160" w:type="dxa"/>
            <w:vAlign w:val="bottom"/>
          </w:tcPr>
          <w:p>
            <w:pPr>
              <w:spacing w:after="0"/>
              <w:rPr>
                <w:sz w:val="22"/>
                <w:szCs w:val="2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Percentage</w:t>
            </w:r>
          </w:p>
        </w:tc>
        <w:tc>
          <w:tcPr>
            <w:tcW w:w="322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1"/>
        </w:trPr>
        <w:tc>
          <w:tcPr>
            <w:tcW w:w="1860" w:type="dxa"/>
            <w:vAlign w:val="bottom"/>
          </w:tcPr>
          <w:p>
            <w:pPr>
              <w:spacing w:after="0"/>
              <w:rPr>
                <w:sz w:val="6"/>
                <w:szCs w:val="6"/>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0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50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6"/>
                <w:szCs w:val="6"/>
                <w:color w:val="auto"/>
              </w:rPr>
            </w:pPr>
          </w:p>
        </w:tc>
        <w:tc>
          <w:tcPr>
            <w:tcW w:w="150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6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3"/>
              </w:rPr>
              <w:t>(dollars in millions)</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F&amp;A</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Arial" w:cs="Arial" w:eastAsia="Arial" w:hAnsi="Arial"/>
                <w:sz w:val="18"/>
                <w:szCs w:val="18"/>
                <w:color w:val="auto"/>
              </w:rPr>
              <w:t>Analytics</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152.2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three months ended September 30, 2018, cost of revenues was $152.2 million compared to $123.1 million for the three months ended September 30, 2017, an increase of $29.1 million, or 23.6%. Our gross margin for the three months ended September 30, 2018 was 34.2% compared to 36.0% for three months ended September 30, 2017, a decrease of 180 basis points (“bps”).</w:t>
      </w:r>
    </w:p>
    <w:p>
      <w:pPr>
        <w:spacing w:after="0" w:line="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increase in cost of revenues in Insurance of $4.3 million was primarily due to an increase in employee-related costs of $4.5 million on account of higher headcount and wage inflation, technology and infrastructure costs of $0.6 million and travel costs of $0.2 million, partially offset by lower professional fees and other operating costs of $0.3 million and currency movements net of hedging of $0.5 million. Gross margin in Insurance decreased by 200 bps during the three months ended September 30, 2018 compared to the three months ended September 30, 2017.</w:t>
      </w:r>
    </w:p>
    <w:p>
      <w:pPr>
        <w:spacing w:after="0" w:line="6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increase in cost of revenues in Healthcare of $3.7 million was primarily due to an increase in employee-related costs of $3.1 million and technology costs of $0.7 million related to our acquisition of Health Integrated in 2017, partially offset by currency movements net of hedging of $0.2 million. Gross margin in Healthcare decreased by 1350 bps during the three months ended September 30, 2018 compared to the three months ended September 30, 2017, primarily due to the impact of acquisition of Health Integrated and the termination of certain client contracts.</w:t>
      </w:r>
    </w:p>
    <w:p>
      <w:pPr>
        <w:spacing w:after="0" w:line="6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cost of revenues in TT&amp;L were flat during the three months ended September 30, 2018 compared to the three months ended September 30, 2017. Gross margin in TT&amp;L decreased by 360 bps during the three months ended September 30, 2018 compared to the three months ended September 30, 2017, primarily due to lower volumes in existing clients.</w:t>
      </w:r>
    </w:p>
    <w:p>
      <w:pPr>
        <w:spacing w:after="0" w:line="7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increase in cost of revenues in F&amp;A of $2.4 million was primarily due to an increase in employee-related costs of $2.0 million on account of higher headcount and wage inflation, technology and infrastructure costs of $0.4 million and travel costs of $0.2 million, partially offset by currency movements net of hedging of $0.3 million. Gross margin in F&amp;A decreased by 240 bps during the three months ended September 30, 2018 compared to the three months ended September 30, 2017, primarily due to higher operating expenses associated with the initiation of services for new clients.</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cost of revenues in All Other of $0.7 million was primarily due to an increase in employee-related costs of $1.2 million on account of higher headcount and wage inflation, partially offset by other operating costs of $0.1 million and currency movements net of hedging of $0.4 million. Gross margin in All Other increased by 260 bps during the three months ended September 30, 2018 compared to the three months ended September 30, 2017, primarily due to higher revenues in our Consulting operating segment.</w:t>
      </w:r>
    </w:p>
    <w:p>
      <w:pPr>
        <w:spacing w:after="0" w:line="7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increase in cost of revenues in Analytics of $18.0 million was primarily due to an increase in employee-related costs of $13.4 million on account of higher headcount and wage inflation, including incremental cost related to our acquisition of SCIO in July 2018 of $9.8 million. The remaining increase was attributable to technology and infrastructure costs of $1.2 million, travel costs of $0.8 million, professional fees of $0.6 million and other operating costs of $2.6 million, partially offset by currency movements net of hedging of $0.5 million. Gross margin in Analytics increased by 140 bps during the three months ended September 30, 2018 compared to the three months ended September 30, 2017, primarily due to higher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24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30"/>
        </w:trPr>
        <w:tc>
          <w:tcPr>
            <w:tcW w:w="5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5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4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6"/>
        </w:trPr>
        <w:tc>
          <w:tcPr>
            <w:tcW w:w="552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5520" w:type="dxa"/>
            <w:vAlign w:val="bottom"/>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28.7</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Selling and marketing expenses</w:t>
            </w:r>
          </w:p>
        </w:tc>
        <w:tc>
          <w:tcPr>
            <w:tcW w:w="88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45.1</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19.6%</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20.1%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SG&amp;A expenses of $6.4 million was primarily due to an increase in employee-related costs of $6.6 million, including incremental costs of $4.6 million related to our Health Integrated acquisition in 2017 and SCIO acquisition in July 2018 and other costs of $0.3 million. This was partially offset by currency movements net of hedging of $0.5 million.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5560" w:type="dxa"/>
            <w:vAlign w:val="bottom"/>
          </w:tcPr>
          <w:p>
            <w:pPr>
              <w:spacing w:after="0"/>
              <w:rPr>
                <w:sz w:val="6"/>
                <w:szCs w:val="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6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8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w w:val="96"/>
              </w:rPr>
              <w:t>(dollars in millions)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940" w:type="dxa"/>
            <w:vAlign w:val="bottom"/>
          </w:tcPr>
          <w:p>
            <w:pPr>
              <w:spacing w:after="0"/>
              <w:rPr>
                <w:sz w:val="21"/>
                <w:szCs w:val="21"/>
                <w:color w:val="auto"/>
              </w:rPr>
            </w:pP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increase in intangibles amortization expense of $3.2 million was primarily due to amortization of intangibles associated with our Health Integrated acquisition in 2017 and SCIO acquisition in July 2018. The increase in depreciation expense of $1.3 million was due to depreciation related to our new operating centers commenced during 2017 to support our business growth and depreciation associated with our acquisitions.</w:t>
      </w:r>
    </w:p>
    <w:p>
      <w:pPr>
        <w:spacing w:after="0" w:line="27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by $1.2 million, or 6.1%, from $20.9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to $19.7 million for the three months ended September 30, 2018. As a percentage of revenues, income from operations decreased from 10.9% for the three months ended September 30, 2017 to 8.5% for the three months ended September 30, 2018.</w:t>
      </w:r>
    </w:p>
    <w:p>
      <w:pPr>
        <w:spacing w:after="0" w:line="28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Foreign Exchange Gain/(Loss). </w:t>
      </w:r>
      <w:r>
        <w:rPr>
          <w:rFonts w:ascii="Arial" w:cs="Arial" w:eastAsia="Arial" w:hAnsi="Arial"/>
          <w:sz w:val="17"/>
          <w:szCs w:val="17"/>
          <w:color w:val="auto"/>
        </w:rPr>
        <w:t>Net foreign exchange gains and losses are primarily attributable to movement of the U.S. dollar against the Indian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rupee, the U.K. pound sterling and the Philippine peso during the three months ended September 30, 2018. The average exchange rate of the U.S. dollar against the Indian rupee increased from 64.45 during the three months ended September 30, 2017 to 70.67 during the three months ended September 30, 2018. The average exchange rate of the U.K. pound sterling against the U.S. dollar remained flat at 1.31 during the three months ended September 30, 2017 and September 30, 2018. The average exchange rate of the U.S. dollar against the Philippine peso increased from 50.82 during the three months ended September 30, 2017 to 53.53 during the three months ended September 30, 2018.</w:t>
      </w:r>
    </w:p>
    <w:p>
      <w:pPr>
        <w:spacing w:after="0" w:line="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$1.4 million for the three months ended September 30, 2018 compared to the net foreign exchange gain of $0.6 million for the three months ended September 30, 2017.</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increased from $0.4 million for the three months ended September 30, 2017 to $2.5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2018 primarily due to higher borrowings to finance our SCIO acquisition in July 2018 and higher interest rates under our New Credit Facility (as defined below in “Liquidity and Capital Resources-Financing Arrangements”).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37"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0" w:lineRule="exact"/>
        <w:rPr>
          <w:sz w:val="20"/>
          <w:szCs w:val="20"/>
          <w:color w:val="auto"/>
        </w:rPr>
      </w:pPr>
    </w:p>
    <w:p>
      <w:pPr>
        <w:spacing w:after="0" w:line="236"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Three months ended September 30,</w:t>
      </w:r>
    </w:p>
    <w:tbl>
      <w:tblPr>
        <w:tblLayout w:type="fixed"/>
        <w:tblInd w:w="600" w:type="dxa"/>
        <w:tblCellMar>
          <w:top w:w="0" w:type="dxa"/>
          <w:left w:w="0" w:type="dxa"/>
          <w:bottom w:w="0" w:type="dxa"/>
          <w:right w:w="0" w:type="dxa"/>
        </w:tblCellMar>
      </w:tblPr>
      <w:tr>
        <w:trPr>
          <w:trHeight w:val="47"/>
        </w:trPr>
        <w:tc>
          <w:tcPr>
            <w:tcW w:w="47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2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1"/>
                <w:szCs w:val="21"/>
                <w:color w:val="auto"/>
              </w:rPr>
            </w:pPr>
          </w:p>
        </w:tc>
        <w:tc>
          <w:tcPr>
            <w:tcW w:w="2100" w:type="dxa"/>
            <w:vAlign w:val="bottom"/>
            <w:tcBorders>
              <w:top w:val="single" w:sz="8" w:color="auto"/>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CCEEFF"/>
            </w:tcBorders>
          </w:tcPr>
          <w:p>
            <w:pPr>
              <w:spacing w:after="0"/>
              <w:rPr>
                <w:sz w:val="21"/>
                <w:szCs w:val="21"/>
                <w:color w:val="auto"/>
              </w:rPr>
            </w:pPr>
          </w:p>
        </w:tc>
        <w:tc>
          <w:tcPr>
            <w:tcW w:w="106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40" w:type="dxa"/>
            <w:vAlign w:val="bottom"/>
            <w:tcBorders>
              <w:top w:val="single" w:sz="8" w:color="auto"/>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62.4 %</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Gain on mutual fund investments</w:t>
            </w:r>
          </w:p>
        </w:tc>
        <w:tc>
          <w:tcPr>
            <w:tcW w:w="7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78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Other income, net decreased by $0.3 million, from $2.8 million for the three months ended September 30, 2017 to $2.5 million for the three months ended September 30, 2018, primarily due to lower yields on our mutual fund investments of $0.4 million. This decrease was partially offset by an increase in interest and dividend income of $0.2 million during the three months ended September 30, 2018 compared to three months ended September 30, 2017.</w:t>
      </w:r>
    </w:p>
    <w:p>
      <w:pPr>
        <w:spacing w:after="0" w:line="14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The effective tax rate increased from 11.8% during the three months ended September 30, 2017 to 27.3% during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2018 primarily as a result of a recording of excess tax benefit related to stock awards of $3.5 million pursuant to ASU No. 2016-09 during the three months ended September 30, 2017 compared to $0.3 million during the three months ended September 30, 2018.</w:t>
      </w:r>
    </w:p>
    <w:p>
      <w:pPr>
        <w:spacing w:after="0" w:line="16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b w:val="1"/>
          <w:bCs w:val="1"/>
          <w:i w:val="1"/>
          <w:iCs w:val="1"/>
          <w:color w:val="auto"/>
        </w:rPr>
        <w:t xml:space="preserve">Net Income. </w:t>
      </w:r>
      <w:r>
        <w:rPr>
          <w:rFonts w:ascii="Arial" w:cs="Arial" w:eastAsia="Arial" w:hAnsi="Arial"/>
          <w:sz w:val="17"/>
          <w:szCs w:val="17"/>
          <w:color w:val="auto"/>
        </w:rPr>
        <w:t>Net income decreased from $21.1 million for the three months ended September 30, 2017 to $15.3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2018, primarily due to higher income tax expense of $2.9 million, higher interest expense $2.1 million, decrease in income from operations of $1.2 million and other income, net of $0.3 million, partially offset by a higher foreign exchange gain of $0.8 million. As a percentage of revenues, net income decreased from 11.0% for the three months ended September 30, 2017 to 6.6% for the three months ended September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Compared to Nine Months Ended September 30, 2017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revenues by reportable segment for the nine months ended September 30, 2018 and 2017:</w:t>
      </w:r>
    </w:p>
    <w:p>
      <w:pPr>
        <w:spacing w:after="0" w:line="328"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Nine months ended September 30,</w:t>
      </w:r>
    </w:p>
    <w:tbl>
      <w:tblPr>
        <w:tblLayout w:type="fixed"/>
        <w:tblInd w:w="460" w:type="dxa"/>
        <w:tblCellMar>
          <w:top w:w="0" w:type="dxa"/>
          <w:left w:w="0" w:type="dxa"/>
          <w:bottom w:w="0" w:type="dxa"/>
          <w:right w:w="0" w:type="dxa"/>
        </w:tblCellMar>
      </w:tblPr>
      <w:tr>
        <w:trPr>
          <w:trHeight w:val="47"/>
        </w:trPr>
        <w:tc>
          <w:tcPr>
            <w:tcW w:w="50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right"/>
              <w:ind w:right="29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5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80" w:type="dxa"/>
            <w:vAlign w:val="bottom"/>
            <w:gridSpan w:val="5"/>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Transportation and Logistics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Finance and Accounting</w:t>
            </w:r>
          </w:p>
        </w:tc>
        <w:tc>
          <w:tcPr>
            <w:tcW w:w="2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Analytics</w:t>
            </w:r>
          </w:p>
        </w:tc>
        <w:tc>
          <w:tcPr>
            <w:tcW w:w="2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Revenues for the nine months ended September 30, 2018 were $648.2 million, up $83.8 million or 14.8%, compared to the nine months ended September 30, 2017.</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growth in Insurance of $19.2 million was driven by expansion of business from our new and existing clients. Insurance revenues were 29.8% and 30.8% of our total revenues in the nine months ended September 30, 2018 and September 30, 2017, respectively.</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 growth in Healthcare of $6.3 million was primarily driven by our acquisition of Health Integrated in 2017 contributing $13.6 million. This was partially offset by lower revenues of $7.3 million due to the termination of certain client contracts. Healthcare revenues were 9.7% and 10.1% of our total revenues in each of the nine months ended September 30, 2018 and September 30, 2017, respectively.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Revenue growth in TT&amp;L was flat during the nine months ended September 30, 2018 compared to the nine months ended September 30, 2017. TT&amp;L revenues were 8.2% and 9.5% of our total revenues in the nine months ended September 30, 2018 and September 30, 2017, respectively.</w:t>
      </w:r>
    </w:p>
    <w:p>
      <w:pPr>
        <w:spacing w:after="0" w:line="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growth in F&amp;A of $9.0 million was driven by net volume increases from our new and existing clients. F&amp;A revenues were 11.2% and 11.3% of our total revenues in the nine months ended September 30, 2018 and September 30, 2017, respectively.</w:t>
      </w:r>
    </w:p>
    <w:p>
      <w:pPr>
        <w:spacing w:after="0" w:line="6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Revenue growth in All Other of $4.2 million was primarily driven by higher revenues of $8.7 million in the Consulting operating segment, partially offset by lower revenues in our Utilities operating segment of $2.4 million and Banking and Financial Services operating segment of $1.8 million and a net impact of foreign exchange loss of $0.4 million primarily due to the depreciation of the Indian rupee and appreciation of U.K. pound sterling against the U.S. dollar during the nine months ended September 30, 2018 compared to the nine months ended September 30, 2017. All Other revenues were 10.3% and 11.1% of our total revenues in the nine months ended September 30, 2018 and September 30, 2017, respectively.</w:t>
      </w:r>
    </w:p>
    <w:p>
      <w:pPr>
        <w:spacing w:after="0" w:line="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Revenue growth in Analytics of $45.1 million was driven by our acquisition of SCIO in July 2018, contributing $19.2 million. The remaining increase of $25.6 million was attributable by our recurring and project-based engagements from our new and existing clients and $0.4 million attributable to the net impact of the appreciation of U.K. pound sterling against the U.S. dollar during the nine months ended September 30, 2018 compared to the nine months ended September 30, 2017. Analytics revenues were 30.8% and 27.3% of our total revenues in the nine months ended September 30, 2018 and September 30, 2017, respectively.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cost of revenues and gross margin of our reportable segments.</w:t>
      </w:r>
    </w:p>
    <w:p>
      <w:pPr>
        <w:spacing w:after="0" w:line="234"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9"/>
              </w:rPr>
              <w:t>Cost of Revenues</w:t>
            </w:r>
          </w:p>
        </w:tc>
        <w:tc>
          <w:tcPr>
            <w:tcW w:w="1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Margin</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20" w:type="dxa"/>
            <w:vAlign w:val="bottom"/>
          </w:tcPr>
          <w:p>
            <w:pPr>
              <w:spacing w:after="0"/>
              <w:rPr>
                <w:sz w:val="13"/>
                <w:szCs w:val="13"/>
                <w:color w:val="auto"/>
              </w:rPr>
            </w:pPr>
          </w:p>
        </w:tc>
        <w:tc>
          <w:tcPr>
            <w:tcW w:w="2140" w:type="dxa"/>
            <w:vAlign w:val="bottom"/>
            <w:gridSpan w:val="7"/>
          </w:tcPr>
          <w:p>
            <w:pPr>
              <w:ind w:left="40"/>
              <w:spacing w:after="0" w:line="153" w:lineRule="exact"/>
              <w:rPr>
                <w:sz w:val="20"/>
                <w:szCs w:val="20"/>
                <w:color w:val="auto"/>
              </w:rPr>
            </w:pPr>
            <w:r>
              <w:rPr>
                <w:rFonts w:ascii="Arial" w:cs="Arial" w:eastAsia="Arial" w:hAnsi="Arial"/>
                <w:sz w:val="14"/>
                <w:szCs w:val="14"/>
                <w:b w:val="1"/>
                <w:bCs w:val="1"/>
                <w:color w:val="auto"/>
              </w:rPr>
              <w:t>Nine months ended September</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4"/>
          </w:tcPr>
          <w:p>
            <w:pPr>
              <w:jc w:val="right"/>
              <w:ind w:right="240"/>
              <w:spacing w:after="0" w:line="153" w:lineRule="exact"/>
              <w:rPr>
                <w:sz w:val="20"/>
                <w:szCs w:val="20"/>
                <w:color w:val="auto"/>
              </w:rPr>
            </w:pPr>
            <w:r>
              <w:rPr>
                <w:rFonts w:ascii="Arial" w:cs="Arial" w:eastAsia="Arial" w:hAnsi="Arial"/>
                <w:sz w:val="14"/>
                <w:szCs w:val="14"/>
                <w:b w:val="1"/>
                <w:bCs w:val="1"/>
                <w:color w:val="auto"/>
                <w:w w:val="93"/>
              </w:rPr>
              <w:t>Nine months ended September</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Percentage</w:t>
            </w: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30,</w:t>
            </w: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2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1"/>
        </w:trPr>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9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6"/>
                <w:szCs w:val="6"/>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F&amp;A</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1720" w:type="dxa"/>
            <w:vAlign w:val="bottom"/>
          </w:tcPr>
          <w:p>
            <w:pPr>
              <w:ind w:left="20"/>
              <w:spacing w:after="0"/>
              <w:rPr>
                <w:sz w:val="20"/>
                <w:szCs w:val="20"/>
                <w:color w:val="auto"/>
              </w:rPr>
            </w:pPr>
            <w:r>
              <w:rPr>
                <w:rFonts w:ascii="Arial" w:cs="Arial" w:eastAsia="Arial" w:hAnsi="Arial"/>
                <w:sz w:val="18"/>
                <w:szCs w:val="18"/>
                <w:color w:val="auto"/>
              </w:rPr>
              <w:t>Analytics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nine months ended September 30, 2018, cost of revenues was $429.9 million compared to $365.9 million for the nine months ended September 30, 2017, an increase of $64.0 million, or 17.5%. Our gross margin for the nine months ended September 30, 2018 was 33.7% compared to 35.2% for nine months ended September 30, 2017, a decrease of 150 basis points (“bps”).</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cost of revenues in Insurance of $12.3 million was primarily due to an increase in employee-related costs of $10.9 million on account of higher headcount and wage inflation, technology and infrastructure costs of $1.3 million, travel and other operating costs of $1.7 million, partially offset by lower professional fees of $1.3 million and currency movements net of hedging of $0.4 million. Gross margin in Insurance increased by 40 bps during the nine months ended September 30, 2018 compared to the nine months ended September 30, 2017, primarily due to higher revenues and margin expansion in existing clients.</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cost of revenues in Healthcare of $13.0 million was primarily due to an increase in employee-related costs of $11.7 million, technology and infrastructure costs of $3.0 million, on account of our acquisition of Health Integrated in 2017, partially offset by decrease in other operating costs of $1.3 million and currency movements net of hedging of $0.4 million. Gross margin in Healthcare decreased by 1,430 bps during the nine months ended September 30, 2018 compared to the nine months ended September 30, 2017, primarily due to the impact of acquisition of Health Integrated and the termination of certain client contracts.</w:t>
      </w:r>
    </w:p>
    <w:p>
      <w:pPr>
        <w:spacing w:after="0" w:line="8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cost of revenues in TT&amp;L of $0.5 million was primarily due to an increase in employee-related costs of $0.6 million and other operating costs of $0.3 million, partially offset by currency movements net of hedging of $0.4 million. Gross margin in TT&amp;L decreased by 110 bps during the nine months ended September 30, 2018 compared to the nine months ended September 30,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37"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increase in cost of revenues in F&amp;A of $6.8 million was primarily due to an increase in employee-related costs of $4.9 million on account of higher headcount and wage inflation, technology and infrastructure costs of $1.2 million, and travel costs of $1.0 million, partially offset by currency movements net of hedging of $0.3 million. Gross margin in F&amp;A decreased by 210 bps during the nine months ended September 30, 2018 compared to the nine months ended September 30, 2017, primarily due to higher operating expenses associated with the initiation of services for new clients.</w:t>
      </w:r>
    </w:p>
    <w:p>
      <w:pPr>
        <w:spacing w:after="0" w:line="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cost of revenues in All Other of $2.0 million was primarily due to an increase in employee-related costs of $2.0 million on account of higher headcount and wage inflation and other operating costs of $0.3 million, partially offset by currency movements net of hedging of $0.3 million. Gross margin in All Other increased by 140 bps during the nine months ended September 30, 2018 compared to the nine months ended September 30, 2017, primarily due to higher revenues in our Consulting operating segment.</w:t>
      </w:r>
    </w:p>
    <w:p>
      <w:pPr>
        <w:spacing w:after="0" w:line="7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increase in cost of revenues in Analytics of $29.4 million was primarily due to an increase in employee-related costs of $21.1 million on account of higher headcount and wage inflation, including incremental cost related to our acquisition of SCIO in July 2018 of $9.8 million. The remaining increase was attributable to technology and infrastructure costs of $2.3 million, professional fees of $0.9 million, travel costs of $1.1 million and other operating costs of $4.3 million, partially offset by currency movements net of hedging of $0.3 million. Gross margin in Analytics increased by 10 bps during the nine months ended September 30, 2018 compared to the nine months ended September 30, 2017, primarily due to higher revenues.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6"/>
                <w:szCs w:val="16"/>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3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30"/>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32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76"/>
        </w:trPr>
        <w:tc>
          <w:tcPr>
            <w:tcW w:w="5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55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Selling and marketing expenses</w:t>
            </w:r>
          </w:p>
        </w:tc>
        <w:tc>
          <w:tcPr>
            <w:tcW w:w="300" w:type="dxa"/>
            <w:vAlign w:val="bottom"/>
          </w:tcPr>
          <w:p>
            <w:pPr>
              <w:spacing w:after="0"/>
              <w:rPr>
                <w:sz w:val="21"/>
                <w:szCs w:val="21"/>
                <w:color w:val="auto"/>
              </w:rPr>
            </w:pPr>
          </w:p>
        </w:tc>
        <w:tc>
          <w:tcPr>
            <w:tcW w:w="1140" w:type="dxa"/>
            <w:vAlign w:val="bottom"/>
          </w:tcPr>
          <w:p>
            <w:pPr>
              <w:jc w:val="right"/>
              <w:ind w:right="118"/>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a percentage of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SG&amp;A expenses of $17.6 million was primarily due to an increase in employee-related costs of $12.8 million, including incremental costs of $8.1 million relating to our Health Integrated acquisition in 2017 and SCIO acquisition in July 2018. There was a further increase of $5.1 million due to continued investments in strategic initiatives, product development, digital technology, advance automation and robotics, partially offset by currency movements net of hedging of $0.3 million.</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3180" w:type="dxa"/>
            <w:vAlign w:val="bottom"/>
            <w:gridSpan w:val="6"/>
          </w:tcPr>
          <w:p>
            <w:pPr>
              <w:ind w:left="48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6"/>
                <w:szCs w:val="16"/>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3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5560" w:type="dxa"/>
            <w:vAlign w:val="bottom"/>
          </w:tcPr>
          <w:p>
            <w:pPr>
              <w:spacing w:after="0"/>
              <w:rPr>
                <w:sz w:val="6"/>
                <w:szCs w:val="6"/>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6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920" w:type="dxa"/>
            <w:vAlign w:val="bottom"/>
          </w:tcPr>
          <w:p>
            <w:pPr>
              <w:spacing w:after="0"/>
              <w:rPr>
                <w:sz w:val="21"/>
                <w:szCs w:val="21"/>
                <w:color w:val="auto"/>
              </w:rPr>
            </w:pPr>
          </w:p>
        </w:tc>
        <w:tc>
          <w:tcPr>
            <w:tcW w:w="620" w:type="dxa"/>
            <w:vAlign w:val="bottom"/>
          </w:tcPr>
          <w:p>
            <w:pPr>
              <w:jc w:val="right"/>
              <w:ind w:right="114"/>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The increase in intangibles amortization expense of $3.9 million was primarily due to amortization of intangibles associated with our Health Integrated acquisition in 2017 and SCIO acquisition in July 2018. The increase in depreciation expense of $2.8 million was due to depreciation related to our new operating centers commenced during 2017 to support our business growth and depreciation associated with our acquisitions.</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by $4.5 million, or 8.0%, from $56.4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to $51.9 million for the nine months ended September 30, 2018. As a percentage of revenues, income from operations decreased from 10.0% for the nine months ended September 30, 2017 to 8.0% for the nine months ended September 30, 2018.</w:t>
      </w:r>
    </w:p>
    <w:p>
      <w:pPr>
        <w:spacing w:after="0" w:line="2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Foreign Exchange Gain/(Loss).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nine months ended September 30, 2018. The average exchange rate of the U.S. dollar against the Indian rupee increased from 65.12 during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nine months ended September 30, 2017 to 67.61 during the nine months ended September 30, 2018. The average exchange rate of the U.K. pound sterling against the U.S. dollar increased from 1.28 during the nine months ended September 30, 2017 to 1.35 during the nine months ended September 30, 2018. The average exchange rate of the U.S. dollar against the Philippine peso increased from 50.31 during the nine months ended September 30, 2017 to 52.64 during the nine months ended September 30, 2018.</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net foreign exchange gain of $3.4 million for the nine months ended September 30, 2018 compared to the net foreign exchange gain of $1.9 million for the nine months ended September 30, 2017.</w:t>
      </w:r>
    </w:p>
    <w:p>
      <w:pPr>
        <w:spacing w:after="0" w:line="1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from $1.4 million for the nine months ended September 30, 2017 to $3.7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2018 primarily due to higher borrowings for our SCIO acquisition in July 2018 and higher interest rates under our New Credit Facility.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Nine months ended September 30,</w:t>
      </w:r>
    </w:p>
    <w:tbl>
      <w:tblPr>
        <w:tblLayout w:type="fixed"/>
        <w:tblInd w:w="460" w:type="dxa"/>
        <w:tblCellMar>
          <w:top w:w="0" w:type="dxa"/>
          <w:left w:w="0" w:type="dxa"/>
          <w:bottom w:w="0" w:type="dxa"/>
          <w:right w:w="0" w:type="dxa"/>
        </w:tblCellMar>
      </w:tblPr>
      <w:tr>
        <w:trPr>
          <w:trHeight w:val="47"/>
        </w:trPr>
        <w:tc>
          <w:tcPr>
            <w:tcW w:w="47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vMerge w:val="restart"/>
          </w:tcPr>
          <w:p>
            <w:pPr>
              <w:jc w:val="right"/>
              <w:ind w:right="276"/>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4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0" w:type="dxa"/>
            <w:vAlign w:val="bottom"/>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1"/>
              </w:rPr>
              <w:t>(dollars in millions)</w:t>
            </w: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Gain on mutual fund investments</w:t>
            </w:r>
          </w:p>
        </w:tc>
        <w:tc>
          <w:tcPr>
            <w:tcW w:w="86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Other income, net decreased by $0.3 million, from $8.5 million for the nine months ended September 30, 2017 to $8.2 million for the nine months ended September 30, 2018 primarily due to lower interest and dividend income on our mutual fund investments of $0.2 million.</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increased from 11.0% during the nine months ended September 30, 2017 to 11.4% during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2018 primarily as a result of: (i) excess tax benefits related to stock awards of $5.4 million pursuant to ASU No. 2016-09 during the nine months ended September 30, 2018 compared to $7.2 million during the nine months ended September 30, 2017, (ii) reversal of uncertain tax position of $3.2 million during the nine months ended September 30, 2017, offset by (iii) an adjustment during the nine months ended September 30, 2018 of $4.8 million in reducing the provisional transition tax on the mandatory deemed repatriation of accumulated earnings and profits ("E&amp;P") of foreign subsidiaries recognized during the year-ended December 31, 2017, and (iv) a reduction in the U.S. federal corporate tax rate from 35.0% to 21.0% effective January 1, 2018.</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decreased from $58.2 million for the nine months ended September 30, 2017 to $52.8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2018, primarily due to decrease in income from operations of $4.5 million and higher interest expense of $2.3 million, partially offset by higher foreign exchange gain of $1.5 million. As a percentage of revenues, net income decreased from 10.3% for the nine months ended September 30, 2017 to 8.2% for the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63"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33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1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7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(dollars in millions)</w:t>
            </w:r>
          </w:p>
        </w:tc>
        <w:tc>
          <w:tcPr>
            <w:tcW w:w="860" w:type="dxa"/>
            <w:vAlign w:val="bottom"/>
          </w:tcPr>
          <w:p>
            <w:pPr>
              <w:spacing w:after="0"/>
              <w:rPr>
                <w:sz w:val="17"/>
                <w:szCs w:val="17"/>
                <w:color w:val="auto"/>
              </w:rPr>
            </w:pPr>
          </w:p>
        </w:tc>
      </w:tr>
      <w:tr>
        <w:trPr>
          <w:trHeight w:val="25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cash, cash equivalents and restricted cash</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7"/>
        </w:trPr>
        <w:tc>
          <w:tcPr>
            <w:tcW w:w="7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(240.4)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Net cash (used for)/provided by financing activities</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7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Closing cash, cash equivalents and restricted cash</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r>
      <w:tr>
        <w:trPr>
          <w:trHeight w:val="27"/>
        </w:trPr>
        <w:tc>
          <w:tcPr>
            <w:tcW w:w="71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of September 30, 2018 and 2017, we had $105.8 million and $93.3 million, respectively, in cash, cash equivalents and restricted cash. We do not intend to distribute previously taxed income (“PTI”) of our foreign subsidiaries and accordingly have not recorded any deferred taxes related to our investment in foreign subsidiaries. We estimate that future domestic cash generation will be sufficient to meet future domestic cash needs and have specific plans for use of the subsidiaries earnings. If, in the future, we change our intention regarding the repatriation of PTI, additional taxes may be required and should be recorded in the period the intention changes.</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$46.9 million for the nine months ended September 30, 2018 as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provided by operating activities of $70.4 million during the nine months ended September 30, 2017. Generally, factors that affect our earnings— including pricing, volume of services, costs and productivity—affect our cash flows used or provided from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88"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Cash flows generated from operating activities decreased by $23.5 million from $70.4 million for the nine months ended on September 30, 2017 to $46.9 million for the nine months ended September 30, 2018. This decrease was primarily due to an increase in working capital of $37.6 million during the nine months ended September 30, 2018 as compared to $26.7 million during the nine months ended September 30, 2017, due to an increase in accounts receivables, prepaid expenses, advance tax, other current assets and a decrease in accrued employee costs, deferred revenue and accounts payable.</w:t>
      </w:r>
    </w:p>
    <w:p>
      <w:pPr>
        <w:spacing w:after="0" w:line="15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flows used for investing activities were $240.4 million for the nine months ended September 30, 2018 as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used for investing activities of $171.1 million for the nine months ended September 30, 2017. The increase of $69.3 million was primarily due to higher cash used for the business acquisitions of $231.2 million during the nine months ended September 30, 2018. This was partially offset by net proceeds from investments of $21.6 million during the nine months ended September 30, 2018 as compared to net purchase of investments of $143.7 million during the nine months ended September 30, 2017.</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flows provided by financing activities were $208.1 million during the nine months ended September 30, 2018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flows used for financing activities of $28.2 million during the nine months ended September 30, 2017. The increase in cash flows provided by financing activities was primarily due to net borrowings of $239.9 million (net of repayments) under our New Credit Facility (as described below in “Financing Arrangements”) during the nine months ended September 30, 2018, partially offset by lower proceeds from exercise of stock options of $3.2 million during the nine months ended September 30, 2018.</w:t>
      </w:r>
    </w:p>
    <w:p>
      <w:pPr>
        <w:spacing w:after="0" w:line="188"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expect to continue to make capital investments, primarily related to new facilities and capital expenditures associated with leasehold improvements to build our facilities, and purchase telecommunications equipment and computer hardware and software in connection with managing client operations. We incurred $30.1 million of capital expenditures in the nine months ended September 30, 2018. We expect to incur capital expenditures of between $35.0 million to $40.0 million in 2018, primarily to meet our growth requirements, including additions to our facilities as well as investments in technology applications, product development, digital technology, advanced automation &amp; robotics and infrastructure.</w:t>
      </w:r>
    </w:p>
    <w:p>
      <w:pPr>
        <w:spacing w:after="0" w:line="17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we may be required to deposit additional amounts with respect to such assessment orders (refer to Note 25 to our unaudited consolidated financial statements herein for further details). We anticipate that we will continue to rely upon cash from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activities to finance our smaller acquisitions, capital expenditures and working capital needs. If we have significant growth through acquisitions, we may need to obtain additional financing.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On October 24, 2014, we entered into a Credit Agreement that provided for a $50.0 million revolving credit facility (“Credit Facility”). We had an option to increase the commitments under the Credit Facility by up to an additional $50.0 million which we exercised on February 23, 2015, via an amendment to the Credit Agreement under the same terms and conditions which were available in the Credit Agreement. The Credit Facility had a maturity date of October 24, 2019 and was voluntarily pre-payable from time to time without premium or penalty. On November 21, 2017, we prepaid all outstanding amounts, including accrued interest and fees, and terminated all commitments under, the Credit Agreement.</w:t>
      </w:r>
    </w:p>
    <w:p>
      <w:pPr>
        <w:spacing w:after="0" w:line="173"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On November 21, 2017, we and each of our wholly owned material domestic subsidiaries entered into a Credit Agreement with Citibank, N.A., PNC Bank, N.A., JPMorgan Chase Bank, N.A., Bank of America, N.A. and the lenders party thereto from time to time, with Citibank, N.A. serving as administrative agent (the “New Credit Agreement”). The New Credit Agreement provides for a $200.0 million revolving credit facility (the “New Credit Facility”). The Company has an option to increase the commitments under the New Credit Agreement by up to $100.0 million, subject to certain approvals and conditions as set forth in the New Credit Agreement. The New Credit Agreement also includes a letter of credit sub-facility. The New Credit Facility has a maturity date of November 21, 2022 and is voluntarily pre-payable from time to time without premium or penalty. Borrowings under the New Credit Agreement were used to refinance Credit Facility and may otherwise be used for working capital and general corporate purposes of the Company and its subsidiaries, including permitted acquisitions. On July 2, 2018, the Company exercised its option under the New Credit Agreement to increase the commitments by $100.0 million thereby utilizing the entire revolver under the New Credit Facility of $300.0 million, to fund SCIO acquisition. The incremental commitments were made pursuant to (and constitute part of) the existing commitments and shall be subject to the terms and conditions applicable to the existing commitments as set forth in the New Credit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to our unaudited consolidated financial statements herein for further details on our debt facilities.</w:t>
      </w:r>
    </w:p>
    <w:p>
      <w:pPr>
        <w:spacing w:after="0" w:line="225"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As of September 30, 2018, we had outstanding debt of $300.0 million, of which $12.0 million is expected to be repaid within the next twelve months and is included under “current portion of long-term borrowings” and the balance of $288.0 million is included under “long-term borrowings” in the unaudited consolidated balance sheets. As of December 31, 2017, we had outstanding debt of $60.0 million, of which $10.0 million was presented under "current portion of long-term borrowings" and the balance of $50.0 million was presented under "long-term borrowings" in the unaudited consolidated balance sheets.</w:t>
      </w:r>
    </w:p>
    <w:p>
      <w:pPr>
        <w:spacing w:after="0" w:line="15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Subsequent to the end of the quarter, on October 4, 2018, the Company issued 3.50% Convertible Senior Notes due 2024 in an aggregate principal amount of $150.0 million to Orogen Echo LLC, an affiliate of The Orogen Group LLC. See Note 26 to the unaudited consolidated financial statements contained herein. Additional details, including as to the Investment Agreement pursuant to which the Notes were issued, the Notes, and the Indenture governing the Notes, including conversion features and other obligations, are set forth in the Company’s Current Report on Form 8-K filed with the Securities and Exchange Commission on October 4,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2018, we had no off-balance sheet arrangements or obligations.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September 30, 2018:</w:t>
      </w:r>
    </w:p>
    <w:p>
      <w:pPr>
        <w:spacing w:after="0" w:line="27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b w:val="1"/>
                <w:bCs w:val="1"/>
                <w:color w:val="auto"/>
              </w:rPr>
              <w:t>Payment Due by Period</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80"/>
        </w:trPr>
        <w:tc>
          <w:tcPr>
            <w:tcW w:w="42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2"/>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Less than</w:t>
            </w:r>
          </w:p>
        </w:tc>
        <w:tc>
          <w:tcPr>
            <w:tcW w:w="300" w:type="dxa"/>
            <w:vAlign w:val="bottom"/>
          </w:tcPr>
          <w:p>
            <w:pPr>
              <w:spacing w:after="0"/>
              <w:rPr>
                <w:sz w:val="21"/>
                <w:szCs w:val="21"/>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474"/>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After</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4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1 year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5 years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190"/>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6"/>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112.4</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(b)</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10.8</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300.6</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(c)</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r>
      <w:tr>
        <w:trPr>
          <w:trHeight w:val="264"/>
        </w:trPr>
        <w:tc>
          <w:tcPr>
            <w:tcW w:w="4280" w:type="dxa"/>
            <w:vAlign w:val="bottom"/>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98.8</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477.2</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minimum lease payments payable for cancellable and non-cancellable lease period.</w:t>
      </w:r>
    </w:p>
    <w:p>
      <w:pPr>
        <w:spacing w:after="0" w:line="19" w:lineRule="exact"/>
        <w:rPr>
          <w:rFonts w:ascii="Arial" w:cs="Arial" w:eastAsia="Arial" w:hAnsi="Arial"/>
          <w:sz w:val="16"/>
          <w:szCs w:val="16"/>
          <w:i w:val="1"/>
          <w:iCs w:val="1"/>
          <w:color w:val="auto"/>
        </w:rPr>
      </w:pPr>
    </w:p>
    <w:p>
      <w:pPr>
        <w:ind w:left="540" w:hanging="532"/>
        <w:spacing w:after="0"/>
        <w:tabs>
          <w:tab w:leader="none" w:pos="5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interest rate on the outstanding borrowings as of September 30, 2018.</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Excludes $0.9 million related to uncertain tax positions, since the extent of the amount and timing of payment is currently not reliably estimable or determinable.</w:t>
      </w:r>
    </w:p>
    <w:p>
      <w:pPr>
        <w:spacing w:after="0" w:line="21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For a description of recent accounting pronouncements, refer to Note 2—“Recent Accounting Pronouncements” to the unaudited consolidated financial statements contained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three months ended September 30, 2018,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2017.</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2018. Based upon that evaluation, the CEO and CFO have concluded that, as of September 30, 2018, our disclosure controls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three months ended September 30, 2018,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making its assessment of the changes in internal control over financial reporting during the three months ended September 30, 2018, our management excluded an evaluation of the disclosure controls and procedures of SCIO which we acquired on July 1, 2018. See Note 9 to the unaudited consolidated financial statements contained herein for details of our acquisition.</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refer to Note 25 to the unaudited consolidated financial statements contained herein for details regarding certain contingent liabilities.</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fiscal year ended December 31, 2017 a number of risks which may materially affect our business, financial condition or results of operations. You should carefully consider the “Risk Factors” set forth in our Annual Report on Form 10-K for the fiscal year ended December 31, 2017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6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information on the sale of unregistered securities during the quarter ended September 30, 2018, see Note 9 to the unaudited consolidated financial statements contained herein. Such securities were issued in reliance on an exemption from the registration requirements of the Securities Act of 1933, as amended (the “Securities Act”), provided by Section 4(a)(2) of the Securities Act as a private offering. Such issuances did not involve public offerings, and were made without general solicitation or advertising. Except for the foregoing, we did not sell any of our equity securities during the three months ended September 30, 2018 that were not registered under the Securities Act.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 months ended September 30, 2018, purchases of common stock were as follows: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Period</w:t>
      </w:r>
    </w:p>
    <w:p>
      <w:pPr>
        <w:spacing w:after="0" w:line="200" w:lineRule="exact"/>
        <w:rPr>
          <w:sz w:val="20"/>
          <w:szCs w:val="20"/>
          <w:color w:val="auto"/>
        </w:rPr>
      </w:pPr>
    </w:p>
    <w:p>
      <w:pPr>
        <w:spacing w:after="0" w:line="313" w:lineRule="exact"/>
        <w:rPr>
          <w:sz w:val="20"/>
          <w:szCs w:val="20"/>
          <w:color w:val="auto"/>
        </w:rPr>
      </w:pPr>
    </w:p>
    <w:p>
      <w:pPr>
        <w:ind w:left="300" w:right="80"/>
        <w:spacing w:after="0" w:line="352" w:lineRule="auto"/>
        <w:rPr>
          <w:sz w:val="20"/>
          <w:szCs w:val="20"/>
          <w:color w:val="auto"/>
        </w:rPr>
      </w:pPr>
      <w:r>
        <w:rPr>
          <w:rFonts w:ascii="Arial" w:cs="Arial" w:eastAsia="Arial" w:hAnsi="Arial"/>
          <w:sz w:val="16"/>
          <w:szCs w:val="16"/>
          <w:color w:val="auto"/>
        </w:rPr>
        <w:t>July 1, 2018 through July 31, 2018 August 1, 2018 through August 31, 2018</w:t>
      </w:r>
    </w:p>
    <w:p>
      <w:pPr>
        <w:spacing w:after="0" w:line="1"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September 1, 2018 through September 30, 2018</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19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62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Average Price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Purchased as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That</w:t>
            </w:r>
          </w:p>
        </w:tc>
        <w:tc>
          <w:tcPr>
            <w:tcW w:w="0" w:type="dxa"/>
            <w:vAlign w:val="bottom"/>
          </w:tcPr>
          <w:p>
            <w:pPr>
              <w:spacing w:after="0"/>
              <w:rPr>
                <w:sz w:val="1"/>
                <w:szCs w:val="1"/>
                <w:color w:val="auto"/>
              </w:rPr>
            </w:pPr>
          </w:p>
        </w:tc>
      </w:tr>
      <w:tr>
        <w:trPr>
          <w:trHeight w:val="108"/>
        </w:trPr>
        <w:tc>
          <w:tcPr>
            <w:tcW w:w="1960" w:type="dxa"/>
            <w:vAlign w:val="bottom"/>
            <w:gridSpan w:val="2"/>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Part of Publicly</w:t>
            </w: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108"/>
        </w:trPr>
        <w:tc>
          <w:tcPr>
            <w:tcW w:w="19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7"/>
              </w:rPr>
              <w:t>Shares Purchased</w:t>
            </w:r>
          </w:p>
        </w:tc>
        <w:tc>
          <w:tcPr>
            <w:tcW w:w="16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Paid per share</w:t>
            </w:r>
          </w:p>
        </w:tc>
        <w:tc>
          <w:tcPr>
            <w:tcW w:w="1960" w:type="dxa"/>
            <w:vAlign w:val="bottom"/>
            <w:gridSpan w:val="2"/>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960" w:type="dxa"/>
            <w:vAlign w:val="bottom"/>
            <w:gridSpan w:val="2"/>
            <w:vMerge w:val="continue"/>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Announced Plans or</w:t>
            </w: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90"/>
        </w:trPr>
        <w:tc>
          <w:tcPr>
            <w:tcW w:w="1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gridSpan w:val="2"/>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182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0" w:type="dxa"/>
            <w:vAlign w:val="bottom"/>
          </w:tcPr>
          <w:p>
            <w:pPr>
              <w:spacing w:after="0"/>
              <w:rPr>
                <w:sz w:val="1"/>
                <w:szCs w:val="1"/>
                <w:color w:val="auto"/>
              </w:rPr>
            </w:pPr>
          </w:p>
        </w:tc>
      </w:tr>
      <w:tr>
        <w:trPr>
          <w:trHeight w:val="237"/>
        </w:trPr>
        <w:tc>
          <w:tcPr>
            <w:tcW w:w="1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51,200</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51,200</w:t>
            </w:r>
          </w:p>
        </w:tc>
        <w:tc>
          <w:tcPr>
            <w:tcW w:w="120" w:type="dxa"/>
            <w:vAlign w:val="bottom"/>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16,554,300</w:t>
            </w:r>
          </w:p>
        </w:tc>
        <w:tc>
          <w:tcPr>
            <w:tcW w:w="0" w:type="dxa"/>
            <w:vAlign w:val="bottom"/>
          </w:tcPr>
          <w:p>
            <w:pPr>
              <w:spacing w:after="0"/>
              <w:rPr>
                <w:sz w:val="1"/>
                <w:szCs w:val="1"/>
                <w:color w:val="auto"/>
              </w:rPr>
            </w:pPr>
          </w:p>
        </w:tc>
      </w:tr>
      <w:tr>
        <w:trPr>
          <w:trHeight w:val="270"/>
        </w:trPr>
        <w:tc>
          <w:tcPr>
            <w:tcW w:w="1860" w:type="dxa"/>
            <w:vAlign w:val="bottom"/>
          </w:tcPr>
          <w:p>
            <w:pPr>
              <w:jc w:val="right"/>
              <w:ind w:right="30"/>
              <w:spacing w:after="0"/>
              <w:rPr>
                <w:sz w:val="20"/>
                <w:szCs w:val="20"/>
                <w:color w:val="auto"/>
              </w:rPr>
            </w:pPr>
            <w:r>
              <w:rPr>
                <w:rFonts w:ascii="Arial" w:cs="Arial" w:eastAsia="Arial" w:hAnsi="Arial"/>
                <w:sz w:val="18"/>
                <w:szCs w:val="18"/>
                <w:color w:val="auto"/>
              </w:rPr>
              <w:t>55,037</w:t>
            </w:r>
          </w:p>
        </w:tc>
        <w:tc>
          <w:tcPr>
            <w:tcW w:w="1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23"/>
                <w:szCs w:val="23"/>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55,037</w:t>
            </w: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13,235,025</w:t>
            </w:r>
          </w:p>
        </w:tc>
        <w:tc>
          <w:tcPr>
            <w:tcW w:w="0" w:type="dxa"/>
            <w:vAlign w:val="bottom"/>
          </w:tcPr>
          <w:p>
            <w:pPr>
              <w:spacing w:after="0"/>
              <w:rPr>
                <w:sz w:val="1"/>
                <w:szCs w:val="1"/>
                <w:color w:val="auto"/>
              </w:rPr>
            </w:pPr>
          </w:p>
        </w:tc>
      </w:tr>
      <w:tr>
        <w:trPr>
          <w:trHeight w:val="486"/>
        </w:trPr>
        <w:tc>
          <w:tcPr>
            <w:tcW w:w="1860" w:type="dxa"/>
            <w:vAlign w:val="bottom"/>
          </w:tcPr>
          <w:p>
            <w:pPr>
              <w:jc w:val="right"/>
              <w:ind w:right="30"/>
              <w:spacing w:after="0"/>
              <w:rPr>
                <w:sz w:val="20"/>
                <w:szCs w:val="20"/>
                <w:color w:val="auto"/>
              </w:rPr>
            </w:pPr>
            <w:r>
              <w:rPr>
                <w:rFonts w:ascii="Arial" w:cs="Arial" w:eastAsia="Arial" w:hAnsi="Arial"/>
                <w:sz w:val="18"/>
                <w:szCs w:val="18"/>
                <w:color w:val="auto"/>
              </w:rPr>
              <w:t>49,600</w:t>
            </w:r>
          </w:p>
        </w:tc>
        <w:tc>
          <w:tcPr>
            <w:tcW w:w="1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49,600</w:t>
            </w: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9,997,699</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Pr>
          <w:p>
            <w:pPr>
              <w:jc w:val="right"/>
              <w:ind w:right="30"/>
              <w:spacing w:after="0"/>
              <w:rPr>
                <w:sz w:val="20"/>
                <w:szCs w:val="20"/>
                <w:color w:val="auto"/>
              </w:rPr>
            </w:pPr>
            <w:r>
              <w:rPr>
                <w:rFonts w:ascii="Arial" w:cs="Arial" w:eastAsia="Arial" w:hAnsi="Arial"/>
                <w:sz w:val="18"/>
                <w:szCs w:val="18"/>
                <w:color w:val="auto"/>
              </w:rPr>
              <w:t>155,837</w:t>
            </w:r>
          </w:p>
        </w:tc>
        <w:tc>
          <w:tcPr>
            <w:tcW w:w="1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61.97</w:t>
            </w:r>
          </w:p>
        </w:tc>
        <w:tc>
          <w:tcPr>
            <w:tcW w:w="10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155,837</w:t>
            </w:r>
          </w:p>
        </w:tc>
        <w:tc>
          <w:tcPr>
            <w:tcW w:w="12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-513715</wp:posOffset>
            </wp:positionV>
            <wp:extent cx="6903720"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03720" cy="30861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-865505</wp:posOffset>
            </wp:positionV>
            <wp:extent cx="69037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037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40"/>
            <w:col w:w="7640"/>
          </w:cols>
          <w:pgMar w:left="240" w:top="337" w:right="239" w:bottom="1440" w:gutter="0" w:footer="0" w:header="0"/>
          <w:type w:val="continuous"/>
        </w:sectPr>
      </w:pPr>
    </w:p>
    <w:p>
      <w:pPr>
        <w:spacing w:after="0" w:line="2" w:lineRule="exact"/>
        <w:rPr>
          <w:sz w:val="20"/>
          <w:szCs w:val="20"/>
          <w:color w:val="auto"/>
        </w:rPr>
      </w:pPr>
    </w:p>
    <w:p>
      <w:pPr>
        <w:jc w:val="both"/>
        <w:ind w:firstLine="413"/>
        <w:spacing w:after="0" w:line="259" w:lineRule="auto"/>
        <w:tabs>
          <w:tab w:leader="none" w:pos="6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 million. The approval increases the 2017 authorization from $20 million to $40 million and authorizes stock repurchases of up to $40 million in each of 2018 and 2019.</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10280" w:type="dxa"/>
            <w:vAlign w:val="bottom"/>
            <w:tcBorders>
              <w:bottom w:val="single" w:sz="8" w:color="0000FF"/>
            </w:tcBorders>
            <w:gridSpan w:val="11"/>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Amended and Restated Certificate of Incorporation of the Company, as in effect on the date hereof (incorporated by reference to Exhibit 3.1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the Company’s Current Report on Form 8-K (File No. 1-33089) filed on October 25, 2006).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200" w:type="dxa"/>
            <w:vAlign w:val="bottom"/>
            <w:tcBorders>
              <w:bottom w:val="single" w:sz="8" w:color="0000FF"/>
            </w:tcBorders>
            <w:gridSpan w:val="9"/>
          </w:tcPr>
          <w:p>
            <w:pPr>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Fourth Amended and Restated By-Laws of ExlService Holdings, Inc., as in effect on the date hereof (incorporated by reference to Exhibit 3.2</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to the Company’s Current Report on Form 8-K (File No. 1-33089) filed on February 28,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280" w:type="dxa"/>
            <w:vAlign w:val="bottom"/>
            <w:gridSpan w:val="11"/>
          </w:tcPr>
          <w:p>
            <w:pPr>
              <w:spacing w:after="0"/>
              <w:rPr>
                <w:rFonts w:ascii="Arial" w:cs="Arial" w:eastAsia="Arial" w:hAnsi="Arial"/>
                <w:sz w:val="18"/>
                <w:szCs w:val="18"/>
                <w:color w:val="0000FF"/>
                <w:w w:val="92"/>
              </w:rPr>
            </w:pPr>
            <w:hyperlink w:anchor="page58">
              <w:r>
                <w:rPr>
                  <w:rFonts w:ascii="Arial" w:cs="Arial" w:eastAsia="Arial" w:hAnsi="Arial"/>
                  <w:sz w:val="18"/>
                  <w:szCs w:val="18"/>
                  <w:color w:val="0000FF"/>
                  <w:w w:val="92"/>
                </w:rPr>
                <w:t>Certification of the Chief Executive Officer of ExlService Holdings, pursuant to Rule 13a-14(a) of the Exchange Act, as adopted pursuant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Section 302 of the Sarbanes-Oxley Act of 2002.</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Certification of the Chief Financial Officer of ExlService Holdings, pursuant to Rule 13a-14(a) of the Exchange Act, as adopted pursuant to</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280" w:type="dxa"/>
            <w:vAlign w:val="bottom"/>
            <w:gridSpan w:val="11"/>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Certification of the Chief Executive Officer pursuant to Rule 13a-14(b) of the Exchange Act and 18 U.S.C. Section 1350, as adopted pursuant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60">
              <w:r>
                <w:rPr>
                  <w:rFonts w:ascii="Arial" w:cs="Arial" w:eastAsia="Arial" w:hAnsi="Arial"/>
                  <w:sz w:val="18"/>
                  <w:szCs w:val="18"/>
                  <w:color w:val="0000FF"/>
                  <w:w w:val="90"/>
                </w:rPr>
                <w:t>to Section 906 of the Sarbanes-Oxley Act of 2002.</w:t>
              </w:r>
            </w:hyperlink>
          </w:p>
        </w:tc>
        <w:tc>
          <w:tcPr>
            <w:tcW w:w="6560" w:type="dxa"/>
            <w:vAlign w:val="bottom"/>
            <w:tcBorders>
              <w:top w:val="single" w:sz="8" w:color="0000FF"/>
            </w:tcBorders>
            <w:gridSpan w:val="7"/>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1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61">
              <w:r>
                <w:rPr>
                  <w:rFonts w:ascii="Arial" w:cs="Arial" w:eastAsia="Arial" w:hAnsi="Arial"/>
                  <w:sz w:val="18"/>
                  <w:szCs w:val="18"/>
                  <w:color w:val="0000FF"/>
                  <w:w w:val="91"/>
                </w:rPr>
                <w:t>Certification of the Chief Financial Officer pursuant to Rule 13a-14(b) of the Exchange Act and 18 U.S.C. Section 1350, as adopted pursuant</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1"/>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to Section 906 of the Sarbanes-Oxley Act of 2002.</w:t>
              </w:r>
            </w:hyperlink>
          </w:p>
        </w:tc>
        <w:tc>
          <w:tcPr>
            <w:tcW w:w="0" w:type="dxa"/>
            <w:vAlign w:val="bottom"/>
          </w:tcPr>
          <w:p>
            <w:pPr>
              <w:spacing w:after="0"/>
              <w:rPr>
                <w:sz w:val="1"/>
                <w:szCs w:val="1"/>
                <w:color w:val="auto"/>
              </w:rPr>
            </w:pPr>
          </w:p>
        </w:tc>
      </w:tr>
      <w:tr>
        <w:trPr>
          <w:trHeight w:val="412"/>
        </w:trPr>
        <w:tc>
          <w:tcPr>
            <w:tcW w:w="920" w:type="dxa"/>
            <w:vAlign w:val="bottom"/>
          </w:tcPr>
          <w:p>
            <w:pPr>
              <w:ind w:left="4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3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66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Arial" w:cs="Arial" w:eastAsia="Arial" w:hAnsi="Arial"/>
                <w:sz w:val="18"/>
                <w:szCs w:val="18"/>
                <w:color w:val="auto"/>
              </w:rPr>
              <w:t>XBRL Taxonomy Extension Scheme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10280" w:type="dxa"/>
            <w:vAlign w:val="bottom"/>
            <w:gridSpan w:val="11"/>
          </w:tcPr>
          <w:p>
            <w:pPr>
              <w:spacing w:after="0"/>
              <w:rPr>
                <w:sz w:val="20"/>
                <w:szCs w:val="20"/>
                <w:color w:val="auto"/>
              </w:rPr>
            </w:pPr>
            <w:r>
              <w:rPr>
                <w:rFonts w:ascii="Arial" w:cs="Arial" w:eastAsia="Arial" w:hAnsi="Arial"/>
                <w:sz w:val="18"/>
                <w:szCs w:val="18"/>
                <w:color w:val="auto"/>
              </w:rPr>
              <w:t>XBRL Extension Presentation Linkbase</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tcPr>
          <w:p>
            <w:pPr>
              <w:spacing w:after="0"/>
              <w:rPr>
                <w:sz w:val="12"/>
                <w:szCs w:val="12"/>
                <w:color w:val="auto"/>
              </w:rPr>
            </w:pPr>
          </w:p>
        </w:tc>
        <w:tc>
          <w:tcPr>
            <w:tcW w:w="6740" w:type="dxa"/>
            <w:vAlign w:val="bottom"/>
            <w:gridSpan w:val="5"/>
            <w:vMerge w:val="restart"/>
          </w:tcPr>
          <w:p>
            <w:pPr>
              <w:jc w:val="right"/>
              <w:ind w:right="186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674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37"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color w:val="auto"/>
              </w:rPr>
              <w:t>Date: November 1, 2018</w:t>
            </w:r>
          </w:p>
        </w:tc>
        <w:tc>
          <w:tcPr>
            <w:tcW w:w="7960" w:type="dxa"/>
            <w:vAlign w:val="bottom"/>
            <w:gridSpan w:val="2"/>
          </w:tcPr>
          <w:p>
            <w:pPr>
              <w:ind w:left="1600"/>
              <w:spacing w:after="0"/>
              <w:rPr>
                <w:sz w:val="20"/>
                <w:szCs w:val="20"/>
                <w:color w:val="auto"/>
              </w:rPr>
            </w:pPr>
            <w:r>
              <w:rPr>
                <w:rFonts w:ascii="Arial" w:cs="Arial" w:eastAsia="Arial" w:hAnsi="Arial"/>
                <w:sz w:val="18"/>
                <w:szCs w:val="18"/>
                <w:b w:val="1"/>
                <w:bCs w:val="1"/>
                <w:color w:val="auto"/>
              </w:rPr>
              <w:t>EXLSERVICE HOLDINGS, INC.</w:t>
            </w:r>
          </w:p>
        </w:tc>
      </w:tr>
      <w:tr>
        <w:trPr>
          <w:trHeight w:val="594"/>
        </w:trPr>
        <w:tc>
          <w:tcPr>
            <w:tcW w:w="3400" w:type="dxa"/>
            <w:vAlign w:val="bottom"/>
          </w:tcPr>
          <w:p>
            <w:pPr>
              <w:spacing w:after="0"/>
              <w:rPr>
                <w:sz w:val="24"/>
                <w:szCs w:val="24"/>
                <w:color w:val="auto"/>
              </w:rPr>
            </w:pPr>
          </w:p>
        </w:tc>
        <w:tc>
          <w:tcPr>
            <w:tcW w:w="7960" w:type="dxa"/>
            <w:vAlign w:val="bottom"/>
            <w:gridSpan w:val="2"/>
          </w:tcPr>
          <w:p>
            <w:pPr>
              <w:ind w:left="1600"/>
              <w:spacing w:after="0"/>
              <w:rPr>
                <w:sz w:val="20"/>
                <w:szCs w:val="20"/>
                <w:color w:val="auto"/>
              </w:rPr>
            </w:pPr>
            <w:r>
              <w:rPr>
                <w:rFonts w:ascii="Arial" w:cs="Arial" w:eastAsia="Arial" w:hAnsi="Arial"/>
                <w:sz w:val="18"/>
                <w:szCs w:val="18"/>
                <w:color w:val="auto"/>
              </w:rPr>
              <w:t>By:/</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r>
      <w:tr>
        <w:trPr>
          <w:trHeight w:val="27"/>
        </w:trPr>
        <w:tc>
          <w:tcPr>
            <w:tcW w:w="3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6"/>
        </w:trPr>
        <w:tc>
          <w:tcPr>
            <w:tcW w:w="3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8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Vishal Chhibbar</w:t>
            </w:r>
          </w:p>
        </w:tc>
      </w:tr>
      <w:tr>
        <w:trPr>
          <w:trHeight w:val="149"/>
        </w:trPr>
        <w:tc>
          <w:tcPr>
            <w:tcW w:w="34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Chief Financial Officer</w:t>
            </w:r>
          </w:p>
        </w:tc>
      </w:tr>
      <w:tr>
        <w:trPr>
          <w:trHeight w:val="186"/>
        </w:trPr>
        <w:tc>
          <w:tcPr>
            <w:tcW w:w="3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tc>
      </w:tr>
      <w:tr>
        <w:trPr>
          <w:trHeight w:val="687"/>
        </w:trPr>
        <w:tc>
          <w:tcPr>
            <w:tcW w:w="3400" w:type="dxa"/>
            <w:vAlign w:val="bottom"/>
          </w:tcPr>
          <w:p>
            <w:pPr>
              <w:spacing w:after="0"/>
              <w:rPr>
                <w:sz w:val="24"/>
                <w:szCs w:val="24"/>
                <w:color w:val="auto"/>
              </w:rPr>
            </w:pPr>
          </w:p>
        </w:tc>
        <w:tc>
          <w:tcPr>
            <w:tcW w:w="7960" w:type="dxa"/>
            <w:vAlign w:val="bottom"/>
            <w:gridSpan w:val="2"/>
          </w:tcPr>
          <w:p>
            <w:pPr>
              <w:ind w:left="218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400"/>
          </w:cols>
          <w:pgMar w:left="240" w:top="337" w:right="2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hanging="412"/>
        <w:spacing w:after="0" w:line="342"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hanging="412"/>
        <w:spacing w:after="0" w:line="277"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20" w:hanging="412"/>
        <w:spacing w:after="0" w:line="264"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hanging="412"/>
        <w:spacing w:after="0" w:line="308"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25" w:lineRule="exact"/>
        <w:rPr>
          <w:rFonts w:ascii="Arial" w:cs="Arial" w:eastAsia="Arial" w:hAnsi="Arial"/>
          <w:sz w:val="18"/>
          <w:szCs w:val="18"/>
          <w:color w:val="auto"/>
        </w:rPr>
      </w:pPr>
    </w:p>
    <w:p>
      <w:pPr>
        <w:jc w:val="both"/>
        <w:ind w:left="420" w:hanging="412"/>
        <w:spacing w:after="0" w:line="342"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hanging="412"/>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20" w:hanging="412"/>
        <w:spacing w:after="0" w:line="26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740" w:hanging="327"/>
        <w:spacing w:after="0" w:line="308" w:lineRule="auto"/>
        <w:tabs>
          <w:tab w:leader="none" w:pos="7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hanging="412"/>
        <w:spacing w:after="0" w:line="308" w:lineRule="auto"/>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hanging="32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hanging="32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9" w:name="page60"/>
    <w:bookmarkEnd w:id="5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2018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1, 2018</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ended September 30, 2018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Roman"/>
      <w:start w:val="1"/>
    </w:lvl>
    <w:lvl w:ilvl="1">
      <w:lvlJc w:val="left"/>
      <w:lvlText w:val="%2)"/>
      <w:numFmt w:val="lowerLetter"/>
      <w:start w:val="2"/>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lvl w:ilvl="1">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1" Type="http://schemas.openxmlformats.org/officeDocument/2006/relationships/hyperlink" Target="http://www.sec.gov/Archives/edgar/data/1297989/000119312506214684/dex31.htm" TargetMode="External"/><Relationship Id="rId52" Type="http://schemas.openxmlformats.org/officeDocument/2006/relationships/hyperlink" Target="http://www.sec.gov/Archives/edgar/data/1297989/000114420417011696/v4607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2019-12-28T18:22:29Z</dcterms:created>
  <dcterms:modified xsi:type="dcterms:W3CDTF">2019-12-28T18:22:29Z</dcterms:modified>
</cp:coreProperties>
</file>