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07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07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274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900" w:type="dxa"/>
            <w:vAlign w:val="bottom"/>
          </w:tcPr>
          <w:p>
            <w:pPr>
              <w:ind w:left="68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700" w:type="dxa"/>
            <w:vAlign w:val="bottom"/>
            <w:gridSpan w:val="2"/>
            <w:vMerge w:val="restart"/>
          </w:tcPr>
          <w:p>
            <w:pPr>
              <w:spacing w:after="0"/>
              <w:rPr>
                <w:rFonts w:ascii="Arial" w:cs="Arial" w:eastAsia="Arial" w:hAnsi="Arial"/>
                <w:sz w:val="22"/>
                <w:szCs w:val="22"/>
                <w:color w:val="0000EE"/>
                <w:w w:val="97"/>
              </w:rPr>
            </w:pPr>
            <w:hyperlink r:id="rId11">
              <w:r>
                <w:rPr>
                  <w:rFonts w:ascii="Arial" w:cs="Arial" w:eastAsia="Arial" w:hAnsi="Arial"/>
                  <w:sz w:val="22"/>
                  <w:szCs w:val="22"/>
                  <w:color w:val="0000EE"/>
                  <w:w w:val="97"/>
                </w:rPr>
                <w:t>FINANCIAL TECHNOLOGY</w:t>
              </w:r>
            </w:hyperlink>
          </w:p>
        </w:tc>
        <w:tc>
          <w:tcPr>
            <w:tcW w:w="1900" w:type="dxa"/>
            <w:vAlign w:val="bottom"/>
          </w:tcPr>
          <w:p>
            <w:pPr>
              <w:ind w:left="68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1"/>
                <w:szCs w:val="11"/>
                <w:color w:val="auto"/>
              </w:rPr>
            </w:pPr>
          </w:p>
        </w:tc>
        <w:tc>
          <w:tcPr>
            <w:tcW w:w="2700" w:type="dxa"/>
            <w:vAlign w:val="bottom"/>
            <w:tcBorders>
              <w:bottom w:val="single" w:sz="8" w:color="0000EE"/>
            </w:tcBorders>
            <w:gridSpan w:val="2"/>
            <w:vMerge w:val="continue"/>
          </w:tcPr>
          <w:p>
            <w:pPr>
              <w:spacing w:after="0"/>
              <w:rPr>
                <w:sz w:val="11"/>
                <w:szCs w:val="11"/>
                <w:color w:val="auto"/>
              </w:rPr>
            </w:pPr>
          </w:p>
        </w:tc>
        <w:tc>
          <w:tcPr>
            <w:tcW w:w="1900" w:type="dxa"/>
            <w:vAlign w:val="bottom"/>
          </w:tcPr>
          <w:p>
            <w:pPr>
              <w:ind w:left="68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700" w:type="dxa"/>
            <w:vAlign w:val="bottom"/>
            <w:gridSpan w:val="2"/>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MANAGEMENT II, LLC</w:t>
              </w:r>
            </w:hyperlink>
          </w:p>
        </w:tc>
        <w:tc>
          <w:tcPr>
            <w:tcW w:w="1900" w:type="dxa"/>
            <w:vAlign w:val="bottom"/>
          </w:tcPr>
          <w:p>
            <w:pPr>
              <w:ind w:left="680"/>
              <w:spacing w:after="0"/>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0"/>
          <w:szCs w:val="20"/>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7"/>
              </w:rPr>
              <w:t>555 CALIFORNIA STREET, SUITE 2900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94104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7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6" w:type="dxa"/>
        <w:tblCellMar>
          <w:top w:w="0" w:type="dxa"/>
          <w:left w:w="0" w:type="dxa"/>
          <w:bottom w:w="0" w:type="dxa"/>
          <w:right w:w="0" w:type="dxa"/>
        </w:tblCellMar>
      </w:tblPr>
      <w:tr>
        <w:trPr>
          <w:trHeight w:val="222"/>
        </w:trPr>
        <w:tc>
          <w:tcPr>
            <w:tcW w:w="1120" w:type="dxa"/>
            <w:vAlign w:val="bottom"/>
          </w:tcPr>
          <w:p>
            <w:pPr>
              <w:spacing w:after="0"/>
              <w:rPr>
                <w:sz w:val="20"/>
                <w:szCs w:val="20"/>
                <w:color w:val="auto"/>
              </w:rPr>
            </w:pPr>
            <w:r>
              <w:rPr>
                <w:rFonts w:ascii="Arial" w:cs="Arial" w:eastAsia="Arial" w:hAnsi="Arial"/>
                <w:sz w:val="14"/>
                <w:szCs w:val="14"/>
                <w:color w:val="auto"/>
              </w:rPr>
              <w:t>Director</w:t>
            </w:r>
          </w:p>
        </w:tc>
        <w:tc>
          <w:tcPr>
            <w:tcW w:w="400" w:type="dxa"/>
            <w:vAlign w:val="bottom"/>
          </w:tcPr>
          <w:p>
            <w:pPr>
              <w:ind w:left="160"/>
              <w:spacing w:after="0"/>
              <w:rPr>
                <w:sz w:val="20"/>
                <w:szCs w:val="20"/>
                <w:color w:val="auto"/>
              </w:rPr>
            </w:pPr>
            <w:r>
              <w:rPr>
                <w:rFonts w:ascii="Arial" w:cs="Arial" w:eastAsia="Arial" w:hAnsi="Arial"/>
                <w:sz w:val="18"/>
                <w:szCs w:val="18"/>
                <w:color w:val="0000FF"/>
              </w:rPr>
              <w:t>X</w:t>
            </w: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20" w:type="dxa"/>
            <w:vAlign w:val="bottom"/>
          </w:tcPr>
          <w:p>
            <w:pPr>
              <w:spacing w:after="0"/>
              <w:rPr>
                <w:sz w:val="20"/>
                <w:szCs w:val="20"/>
                <w:color w:val="auto"/>
              </w:rPr>
            </w:pPr>
            <w:r>
              <w:rPr>
                <w:rFonts w:ascii="Arial" w:cs="Arial" w:eastAsia="Arial" w:hAnsi="Arial"/>
                <w:sz w:val="14"/>
                <w:szCs w:val="14"/>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2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106"/>
        <w:spacing w:after="0"/>
        <w:rPr>
          <w:sz w:val="20"/>
          <w:szCs w:val="20"/>
          <w:color w:val="auto"/>
        </w:rPr>
      </w:pPr>
      <w:r>
        <w:rPr>
          <w:rFonts w:ascii="Arial" w:cs="Arial" w:eastAsia="Arial" w:hAnsi="Arial"/>
          <w:sz w:val="18"/>
          <w:szCs w:val="18"/>
          <w:color w:val="0000FF"/>
        </w:rPr>
        <w:t>See Footnote 2</w:t>
      </w:r>
    </w:p>
    <w:p>
      <w:pPr>
        <w:spacing w:after="0" w:line="20" w:lineRule="exact"/>
        <w:rPr>
          <w:sz w:val="20"/>
          <w:szCs w:val="20"/>
          <w:color w:val="auto"/>
        </w:rPr>
      </w:pPr>
      <w:r>
        <w:rPr>
          <w:sz w:val="20"/>
          <w:szCs w:val="20"/>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0"/>
          <w:szCs w:val="20"/>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80" w:lineRule="exact"/>
        <w:rPr>
          <w:sz w:val="20"/>
          <w:szCs w:val="20"/>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00" w:type="dxa"/>
            <w:vAlign w:val="bottom"/>
            <w:vMerge w:val="restart"/>
          </w:tcPr>
          <w:p>
            <w:pPr>
              <w:jc w:val="right"/>
              <w:ind w:right="526"/>
              <w:spacing w:after="0"/>
              <w:rPr>
                <w:sz w:val="20"/>
                <w:szCs w:val="20"/>
                <w:color w:val="auto"/>
              </w:rPr>
            </w:pPr>
            <w:r>
              <w:rPr>
                <w:rFonts w:ascii="Arial" w:cs="Arial" w:eastAsia="Arial" w:hAnsi="Arial"/>
                <w:sz w:val="18"/>
                <w:szCs w:val="18"/>
                <w:color w:val="0000FF"/>
              </w:rPr>
              <w:t>1,746,708</w:t>
            </w:r>
          </w:p>
        </w:tc>
        <w:tc>
          <w:tcPr>
            <w:tcW w:w="920" w:type="dxa"/>
            <w:vAlign w:val="bottom"/>
            <w:vMerge w:val="restart"/>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w w:val="99"/>
              </w:rPr>
              <w:t>By Financial Technology Ventures II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8"/>
                <w:szCs w:val="18"/>
                <w:color w:val="0000FF"/>
              </w:rPr>
              <w:t>(Q), L.P.</w:t>
            </w:r>
            <w:r>
              <w:rPr>
                <w:rFonts w:ascii="Arial" w:cs="Arial" w:eastAsia="Arial" w:hAnsi="Arial"/>
                <w:sz w:val="22"/>
                <w:szCs w:val="22"/>
                <w:color w:val="008000"/>
                <w:vertAlign w:val="superscript"/>
              </w:rPr>
              <w:t>(2)</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vMerge w:val="continue"/>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00" w:type="dxa"/>
            <w:vAlign w:val="bottom"/>
            <w:vMerge w:val="restart"/>
          </w:tcPr>
          <w:p>
            <w:pPr>
              <w:jc w:val="right"/>
              <w:ind w:right="646"/>
              <w:spacing w:after="0"/>
              <w:rPr>
                <w:sz w:val="20"/>
                <w:szCs w:val="20"/>
                <w:color w:val="auto"/>
              </w:rPr>
            </w:pPr>
            <w:r>
              <w:rPr>
                <w:rFonts w:ascii="Arial" w:cs="Arial" w:eastAsia="Arial" w:hAnsi="Arial"/>
                <w:sz w:val="18"/>
                <w:szCs w:val="18"/>
                <w:color w:val="0000FF"/>
              </w:rPr>
              <w:t>10,376</w:t>
            </w:r>
          </w:p>
        </w:tc>
        <w:tc>
          <w:tcPr>
            <w:tcW w:w="920" w:type="dxa"/>
            <w:vAlign w:val="bottom"/>
            <w:vMerge w:val="restart"/>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w w:val="98"/>
              </w:rPr>
              <w:t>By Financial Technology Ventures II,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w w:val="79"/>
              </w:rPr>
              <w:t>L.P.</w:t>
            </w:r>
            <w:r>
              <w:rPr>
                <w:rFonts w:ascii="Arial" w:cs="Arial" w:eastAsia="Arial" w:hAnsi="Arial"/>
                <w:sz w:val="22"/>
                <w:szCs w:val="22"/>
                <w:color w:val="008000"/>
                <w:w w:val="79"/>
                <w:vertAlign w:val="superscript"/>
              </w:rPr>
              <w:t>(2)</w:t>
            </w: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32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vMerge w:val="continue"/>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12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20" w:type="dxa"/>
            <w:vAlign w:val="bottom"/>
          </w:tcPr>
          <w:p>
            <w:pPr>
              <w:spacing w:after="0"/>
              <w:rPr>
                <w:sz w:val="16"/>
                <w:szCs w:val="16"/>
                <w:color w:val="auto"/>
              </w:rPr>
            </w:pPr>
          </w:p>
        </w:tc>
        <w:tc>
          <w:tcPr>
            <w:tcW w:w="440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   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4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302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4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2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100" w:type="dxa"/>
            <w:vAlign w:val="bottom"/>
          </w:tcPr>
          <w:p>
            <w:pPr>
              <w:ind w:left="3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40" w:right="6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Financial Technology Management II, LLC ("FTM") is the general partner of Financial Technology Ventures II (Q), L.P. ("FTVQ") and Financial Technology Ventures II, L.P. ("FTV"). Pursuant to Rule 16a-1(a)(2)(ii)(B) under the Securities Exchange Act of 1934, as amended (the "Act"), FTM is deemed to be a beneficial owner of the securities owned by FTVQ and FTV only to the extent of the greater of its respective direct or indirect interest in the profits or capital account of FTVQ and FTV. Pursuant to Rule 16a-1(a)(4) under the Act, this filing shall not be deemed an admission that FTM is, for purposes of Section 16 of the Act or otherwise, the beneficial owner of any securities owned by FTVQ or FTV in excess of such amount.</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8"/>
              </w:rPr>
              <w:t>/s/ Richard N. Garman</w:t>
            </w:r>
          </w:p>
        </w:tc>
        <w:tc>
          <w:tcPr>
            <w:tcW w:w="5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7913"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2019-12-16T13:24:26Z</dcterms:created>
  <dcterms:modified xsi:type="dcterms:W3CDTF">2019-12-16T13:24:26Z</dcterms:modified>
</cp:coreProperties>
</file>