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ExlService Holdings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#302081104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#302081104</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4,269,075</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4,269,075</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15.000%</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#302081104</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4,269,075</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4,269,075</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15.000%</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ExlService Holdings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350 Park Avenue</w:t>
      </w:r>
    </w:p>
    <w:p>
      <w:pPr>
        <w:ind w:left="1700"/>
        <w:spacing w:after="0" w:line="238" w:lineRule="auto"/>
        <w:rPr>
          <w:sz w:val="20"/>
          <w:szCs w:val="20"/>
          <w:color w:val="auto"/>
        </w:rPr>
      </w:pPr>
      <w:r>
        <w:rPr>
          <w:rFonts w:ascii="Courier New" w:cs="Courier New" w:eastAsia="Courier New" w:hAnsi="Courier New"/>
          <w:sz w:val="18"/>
          <w:szCs w:val="18"/>
          <w:color w:val="auto"/>
        </w:rPr>
        <w:t>10th Floor</w:t>
      </w:r>
    </w:p>
    <w:p>
      <w:pPr>
        <w:ind w:left="1700"/>
        <w:spacing w:after="0"/>
        <w:tabs>
          <w:tab w:leader="none" w:pos="3140" w:val="left"/>
        </w:tabs>
        <w:rPr>
          <w:sz w:val="20"/>
          <w:szCs w:val="20"/>
          <w:color w:val="auto"/>
        </w:rPr>
      </w:pPr>
      <w:r>
        <w:rPr>
          <w:rFonts w:ascii="Courier New" w:cs="Courier New" w:eastAsia="Courier New" w:hAnsi="Courier New"/>
          <w:sz w:val="18"/>
          <w:szCs w:val="18"/>
          <w:color w:val="auto"/>
        </w:rPr>
        <w:t>New York, NY</w:t>
        <w:tab/>
        <w:t>10022</w:t>
      </w:r>
    </w:p>
    <w:p>
      <w:pPr>
        <w:spacing w:after="0" w:line="200" w:lineRule="exact"/>
        <w:rPr>
          <w:sz w:val="24"/>
          <w:szCs w:val="24"/>
          <w:color w:val="auto"/>
        </w:rPr>
      </w:pP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302081104</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ectPr>
          <w:pgSz w:w="11900" w:h="16838" w:orient="portrait"/>
          <w:cols w:equalWidth="0" w:num="1">
            <w:col w:w="10219"/>
          </w:cols>
          <w:pgMar w:left="240" w:top="244" w:right="1440" w:bottom="0" w:gutter="0" w:footer="0" w:header="0"/>
        </w:sectPr>
      </w:pPr>
    </w:p>
    <w:bookmarkStart w:id="1" w:name="page2"/>
    <w:bookmarkEnd w:id="1"/>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4,269,075</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15.000%</w:t>
            </w:r>
          </w:p>
        </w:tc>
        <w:tc>
          <w:tcPr>
            <w:tcW w:w="100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ectPr>
          <w:pgSz w:w="11900" w:h="16838" w:orient="portrait"/>
          <w:cols w:equalWidth="0" w:num="2">
            <w:col w:w="1160" w:space="540"/>
            <w:col w:w="8519"/>
          </w:cols>
          <w:pgMar w:left="240" w:top="136"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4,269,075</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ExlService Holdings Inc. No</w:t>
      </w:r>
    </w:p>
    <w:p>
      <w:pPr>
        <w:spacing w:after="0" w:line="6"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one person's interest in the Common Stock of ExlService Holdings Inc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11, 2007</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dated December 30, 1997 by and on behalf of FMR Corp. and its direct and indirect subsidiaries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w:t>
      </w:r>
    </w:p>
    <w:p>
      <w:pPr>
        <w:spacing w:after="0" w:line="6"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6"/>
          <w:szCs w:val="16"/>
          <w:color w:val="auto"/>
        </w:rPr>
        <w:t>of 1940, is the beneficial owner of 4,269,075 shares or 15.000% of the Common Stock outstanding of ExlService Holdings Inc ("the Company") as a result of acting as investment adviser to various investment companies registered under Section 8 of the Investment Company Act of 1940.</w:t>
      </w:r>
    </w:p>
    <w:p>
      <w:pPr>
        <w:spacing w:after="0" w:line="185"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Corp., through its control of Fidelity, and the funds each has sole power to dispose of the 4,269,075 shares owned by the Funds.</w:t>
      </w:r>
    </w:p>
    <w:p>
      <w:pPr>
        <w:spacing w:after="0" w:line="209" w:lineRule="exact"/>
        <w:rPr>
          <w:sz w:val="20"/>
          <w:szCs w:val="20"/>
          <w:color w:val="auto"/>
        </w:rPr>
      </w:pPr>
    </w:p>
    <w:p>
      <w:pPr>
        <w:ind w:right="3679" w:firstLine="843"/>
        <w:spacing w:after="0" w:line="238" w:lineRule="auto"/>
        <w:rPr>
          <w:sz w:val="20"/>
          <w:szCs w:val="20"/>
          <w:color w:val="auto"/>
        </w:rPr>
      </w:pPr>
      <w:r>
        <w:rPr>
          <w:rFonts w:ascii="Courier New" w:cs="Courier New" w:eastAsia="Courier New" w:hAnsi="Courier New"/>
          <w:sz w:val="18"/>
          <w:szCs w:val="18"/>
          <w:color w:val="auto"/>
        </w:rPr>
        <w:t>Members of the family of Edward C. Johnson 3d, Chairman of FMR Corp., are the predominant owners, directly or through trusts, of Series B shares of common stock of FMR Corp., representing 49% of the voting power of FMR Corp. The Johnson family group and all other Series B shareholders have entered into a shareholders' voting agreement under which all Series B shares will be voted in accordance with the majority vote of Series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7"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June 11, 2007, agree and consent to the joint filing on their behalf of this Schedule 13G in connection with their beneficial ownership of the Common Stock of ExlService Holdings Inc at May 31, 2007.</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31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dated December 30, 1997, by and on behalf of FMR Corp.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31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dated December 30, 1997, by and on behalf of Edward C. Johnson 3d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ectPr>
          <w:pgSz w:w="11900" w:h="16838" w:orient="portrait"/>
          <w:cols w:equalWidth="0" w:num="1">
            <w:col w:w="10219"/>
          </w:cols>
          <w:pgMar w:left="240" w:top="136" w:right="1440"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2019-12-15T10:52:45Z</dcterms:created>
  <dcterms:modified xsi:type="dcterms:W3CDTF">2019-12-15T10:52:45Z</dcterms:modified>
</cp:coreProperties>
</file>