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45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455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5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58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58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right"/>
              <w:ind w:right="378"/>
              <w:spacing w:after="0"/>
              <w:rPr>
                <w:sz w:val="20"/>
                <w:szCs w:val="20"/>
                <w:color w:val="auto"/>
              </w:rPr>
            </w:pPr>
            <w:r>
              <w:rPr>
                <w:rFonts w:ascii="Arial" w:cs="Arial" w:eastAsia="Arial" w:hAnsi="Arial"/>
                <w:sz w:val="18"/>
                <w:szCs w:val="18"/>
                <w:color w:val="0000FF"/>
              </w:rPr>
              <w:t>8,835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5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1,125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02/13/2014</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1,125</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02/13/2024</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1,125</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02/13/2014</w:t>
            </w:r>
          </w:p>
        </w:tc>
        <w:tc>
          <w:tcPr>
            <w:tcW w:w="114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0000FF"/>
              </w:rPr>
              <w:t>7,000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0000FF"/>
                <w:w w:val="96"/>
              </w:rPr>
              <w:t>02/13/2024</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3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7,000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02/13/2014</w:t>
            </w:r>
          </w:p>
        </w:tc>
        <w:tc>
          <w:tcPr>
            <w:tcW w:w="114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0000FF"/>
              </w:rPr>
              <w:t>7,000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0000FF"/>
                <w:w w:val="96"/>
              </w:rPr>
              <w:t>02/13/2014</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3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7,000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33.3% of the restricted stock will vest on February 13, 2015; an additional 33.3% will vest on February 13, 2016; and the remaining balance of the restricted stock will vest on February 13, 2017. Vesting of some or all of the restricted stock may be accelerated upon or in connection with the occurrence of a "Change in Control," as such term is defined in the agreement governing the grant of the restricted stock.</w:t>
      </w: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restricted stock units will vest on February 13, 2015; an additional 20 percent will vest on February 13, 2016; an additional 30 percent will vest on February 13, 2017; and the remaining 40 percent will vest on February 13, 2018. Vesting will be accelerated upon certain terminations of employment and upon a "Change in Control" (as such term is defined in the ExlService Holdings, Inc. 2006 Omnibus Award Plan (the "Omnibus Award Plan") and in the agreement governing the grant of the restricted stock units).</w:t>
      </w:r>
    </w:p>
    <w:p>
      <w:pPr>
        <w:spacing w:after="0" w:line="30"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performance restricted stock units will vest on December 31, 2016, if applicable performance targets, which are set out in the agreement governing the grant of the performance restricted stock units, are met. Vesting of some or all of the performance restricted stock units may be accelerated upon or in connection with the occurrence of a "Change in Control," as such term is defined in the Omnibus Award Plan and the agreement governing the grant of the performance restricted stock units.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2019-12-16T15:41:01Z</dcterms:created>
  <dcterms:modified xsi:type="dcterms:W3CDTF">2019-12-16T15:41:01Z</dcterms:modified>
</cp:coreProperties>
</file>