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001-33089</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5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(Commission</w:t>
            </w: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5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File Number)</w:t>
            </w:r>
          </w:p>
        </w:tc>
        <w:tc>
          <w:tcPr>
            <w:tcW w:w="1660" w:type="dxa"/>
            <w:vAlign w:val="bottom"/>
          </w:tcPr>
          <w:p>
            <w:pPr>
              <w:ind w:left="260"/>
              <w:spacing w:after="0"/>
              <w:rPr>
                <w:sz w:val="20"/>
                <w:szCs w:val="20"/>
                <w:color w:val="auto"/>
              </w:rPr>
            </w:pPr>
            <w:r>
              <w:rPr>
                <w:rFonts w:ascii="Arial" w:cs="Arial" w:eastAsia="Arial" w:hAnsi="Arial"/>
                <w:sz w:val="18"/>
                <w:szCs w:val="18"/>
                <w:b w:val="1"/>
                <w:bCs w:val="1"/>
                <w:color w:val="auto"/>
                <w:w w:val="90"/>
              </w:rPr>
              <w:t>Identification No.)</w:t>
            </w:r>
          </w:p>
        </w:tc>
      </w:tr>
      <w:tr>
        <w:trPr>
          <w:trHeight w:val="414"/>
        </w:trPr>
        <w:tc>
          <w:tcPr>
            <w:tcW w:w="218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320 Park Avenue, 29th Floor</w:t>
            </w:r>
          </w:p>
        </w:tc>
        <w:tc>
          <w:tcPr>
            <w:tcW w:w="166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10022</w:t>
            </w:r>
          </w:p>
        </w:tc>
        <w:tc>
          <w:tcPr>
            <w:tcW w:w="166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6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66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280 Park Avenue, 38th Floor</w:t>
            </w:r>
          </w:p>
        </w:tc>
        <w:tc>
          <w:tcPr>
            <w:tcW w:w="166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10017</w:t>
            </w:r>
          </w:p>
        </w:tc>
        <w:tc>
          <w:tcPr>
            <w:tcW w:w="166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(Former name or address, if changed since last report)</w:t>
            </w:r>
          </w:p>
        </w:tc>
        <w:tc>
          <w:tcPr>
            <w:tcW w:w="1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EXLS</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contained in Item 5.03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Effective June 17, 2019, the Board of Directors (the “Board”) of ExlService Holdings, Inc. (the “Company”), in accordance with Section 7.7 of the Company’s Fourth Amended and Restated By-laws (the “Existing By-laws”), adopted the Fifth Amended and Restated By-laws of ExlService Holdings, Inc. (the “Fifth Amended and Restated By-Laws), which reflect an amendment (the “Amendment”) to Section 3.2 of the Existing By-laws to declassify the Board over a three-year phase out period, which when completed will allow for the election of all directors on an annual basis.</w:t>
      </w:r>
    </w:p>
    <w:p>
      <w:pPr>
        <w:spacing w:after="0" w:line="17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Fifth Amended and Restated Bylaws containing the Amendment conforms the Existing By-Laws to the amendment to the Company’s amended and restated certificate of incorporation (the “Charter Amendment”) approved by the stockholders at the 2019 Annual Meeting of Stockholders (the “2019 Annual Meeting”), as described in Item 5.07 of this Current Report on Form 8-K and in the Company’s definitive proxy statement for the 2019 Annual Meeting filed with the Securities and Exchange Commission.</w:t>
      </w:r>
    </w:p>
    <w:p>
      <w:pPr>
        <w:spacing w:after="0" w:line="187"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The foregoing description of the Amendment does not purport to be complete and is qualified in its entirety by reference to the text of the Amendment, which is included as Exhibit 3.1 to this report. In addition, the complete Fifth Amended and Restated By-laws is included as Exhibit 3.2 to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On June 17, 2019, at the Annual Meeting, the Company’s stockholders voted on the following items: (1) the approval of the Charter Amendment, (2) the election of three Class I members of the Board, (3) the ratification of the selection of Deloitte &amp; Touche LLP as the independent registered public accounting firm of the Company for fiscal year 2019, and (4) the approval, on a non-binding advisory basis, of the compensation of the named executive officers of the Company (“Say-on-Pay”).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The Charter Amendment was approved. The final results of the voting were as follows: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1760" w:type="dxa"/>
            <w:vAlign w:val="bottom"/>
            <w:gridSpan w:val="2"/>
          </w:tcPr>
          <w:p>
            <w:pPr>
              <w:ind w:left="480"/>
              <w:spacing w:after="0"/>
              <w:rPr>
                <w:sz w:val="20"/>
                <w:szCs w:val="20"/>
                <w:color w:val="auto"/>
              </w:rPr>
            </w:pPr>
            <w:r>
              <w:rPr>
                <w:rFonts w:ascii="Arial" w:cs="Arial" w:eastAsia="Arial" w:hAnsi="Arial"/>
                <w:sz w:val="18"/>
                <w:szCs w:val="18"/>
                <w:b w:val="1"/>
                <w:bCs w:val="1"/>
                <w:color w:val="auto"/>
              </w:rPr>
              <w:t>Against</w:t>
            </w:r>
          </w:p>
        </w:tc>
        <w:tc>
          <w:tcPr>
            <w:tcW w:w="1720" w:type="dxa"/>
            <w:vAlign w:val="bottom"/>
            <w:gridSpan w:val="2"/>
          </w:tcPr>
          <w:p>
            <w:pPr>
              <w:ind w:left="460"/>
              <w:spacing w:after="0"/>
              <w:rPr>
                <w:sz w:val="20"/>
                <w:szCs w:val="20"/>
                <w:color w:val="auto"/>
              </w:rPr>
            </w:pPr>
            <w:r>
              <w:rPr>
                <w:rFonts w:ascii="Arial" w:cs="Arial" w:eastAsia="Arial" w:hAnsi="Arial"/>
                <w:sz w:val="18"/>
                <w:szCs w:val="18"/>
                <w:b w:val="1"/>
                <w:bCs w:val="1"/>
                <w:color w:val="auto"/>
              </w:rPr>
              <w:t>Abstain</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Non-Votes</w:t>
            </w:r>
          </w:p>
        </w:tc>
      </w:tr>
      <w:tr>
        <w:trPr>
          <w:trHeight w:val="210"/>
        </w:trPr>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31,361,985</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32,395</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1,468,064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Each of the three nominees for election to the board of directors was duly elected to serve as a director until the 2020 annual meeting of stockholders or until his or her successor is duly elected and qualified in accordance with the by-laws of the Company. The final results of the voting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Nominees</w:t>
            </w:r>
          </w:p>
        </w:tc>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For</w:t>
            </w:r>
          </w:p>
        </w:tc>
        <w:tc>
          <w:tcPr>
            <w:tcW w:w="1620" w:type="dxa"/>
            <w:vAlign w:val="bottom"/>
            <w:gridSpan w:val="2"/>
          </w:tcPr>
          <w:p>
            <w:pPr>
              <w:ind w:left="340"/>
              <w:spacing w:after="0"/>
              <w:rPr>
                <w:sz w:val="20"/>
                <w:szCs w:val="20"/>
                <w:color w:val="auto"/>
              </w:rPr>
            </w:pPr>
            <w:r>
              <w:rPr>
                <w:rFonts w:ascii="Arial" w:cs="Arial" w:eastAsia="Arial" w:hAnsi="Arial"/>
                <w:sz w:val="18"/>
                <w:szCs w:val="18"/>
                <w:b w:val="1"/>
                <w:bCs w:val="1"/>
                <w:color w:val="auto"/>
              </w:rPr>
              <w:t>Against</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Abstain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Non-Votes</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Rohit Kapoor</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31,270,371</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111,185</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1,468,064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Anne Minto</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31,292,577</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89,979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12,375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1,468,064</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Jaynie Studenmund</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31,307,529</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75,027</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12,375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1,468,064</w:t>
            </w:r>
          </w:p>
        </w:tc>
      </w:tr>
    </w:tbl>
    <w:p>
      <w:pPr>
        <w:spacing w:after="0" w:line="202"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proposal to ratify the selection of Deloitte &amp; Touche LLP as the independent registered public accounting firm of the Company for fiscal year 2019 was approved. The final results of the voting were as follows:</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1760" w:type="dxa"/>
            <w:vAlign w:val="bottom"/>
            <w:gridSpan w:val="2"/>
          </w:tcPr>
          <w:p>
            <w:pPr>
              <w:ind w:left="480"/>
              <w:spacing w:after="0"/>
              <w:rPr>
                <w:sz w:val="20"/>
                <w:szCs w:val="20"/>
                <w:color w:val="auto"/>
              </w:rPr>
            </w:pPr>
            <w:r>
              <w:rPr>
                <w:rFonts w:ascii="Arial" w:cs="Arial" w:eastAsia="Arial" w:hAnsi="Arial"/>
                <w:sz w:val="18"/>
                <w:szCs w:val="18"/>
                <w:b w:val="1"/>
                <w:bCs w:val="1"/>
                <w:color w:val="auto"/>
              </w:rPr>
              <w:t>Against</w:t>
            </w:r>
          </w:p>
        </w:tc>
        <w:tc>
          <w:tcPr>
            <w:tcW w:w="1720" w:type="dxa"/>
            <w:vAlign w:val="bottom"/>
            <w:gridSpan w:val="2"/>
          </w:tcPr>
          <w:p>
            <w:pPr>
              <w:ind w:left="460"/>
              <w:spacing w:after="0"/>
              <w:rPr>
                <w:sz w:val="20"/>
                <w:szCs w:val="20"/>
                <w:color w:val="auto"/>
              </w:rPr>
            </w:pPr>
            <w:r>
              <w:rPr>
                <w:rFonts w:ascii="Arial" w:cs="Arial" w:eastAsia="Arial" w:hAnsi="Arial"/>
                <w:sz w:val="18"/>
                <w:szCs w:val="18"/>
                <w:b w:val="1"/>
                <w:bCs w:val="1"/>
                <w:color w:val="auto"/>
              </w:rPr>
              <w:t>Abstain</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Non-Votes</w:t>
            </w:r>
          </w:p>
        </w:tc>
      </w:tr>
      <w:tr>
        <w:trPr>
          <w:trHeight w:val="210"/>
        </w:trPr>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32,090,627</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701,044</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71,324</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9"/>
              </w:rPr>
              <w:t>N/A</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 The Say-on-Pay proposal was approved. The final results of the voting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6"/>
              </w:rPr>
              <w:t>Broker</w:t>
            </w:r>
          </w:p>
        </w:tc>
        <w:tc>
          <w:tcPr>
            <w:tcW w:w="2280" w:type="dxa"/>
            <w:vAlign w:val="bottom"/>
          </w:tcPr>
          <w:p>
            <w:pPr>
              <w:spacing w:after="0"/>
              <w:rPr>
                <w:sz w:val="18"/>
                <w:szCs w:val="18"/>
                <w:color w:val="auto"/>
              </w:rPr>
            </w:pPr>
          </w:p>
        </w:tc>
      </w:tr>
      <w:tr>
        <w:trPr>
          <w:trHeight w:val="234"/>
        </w:trPr>
        <w:tc>
          <w:tcPr>
            <w:tcW w:w="4100" w:type="dxa"/>
            <w:vAlign w:val="bottom"/>
            <w:gridSpan w:val="3"/>
          </w:tcPr>
          <w:p>
            <w:pPr>
              <w:ind w:left="2300"/>
              <w:spacing w:after="0"/>
              <w:rPr>
                <w:sz w:val="20"/>
                <w:szCs w:val="20"/>
                <w:color w:val="auto"/>
              </w:rPr>
            </w:pPr>
            <w:r>
              <w:rPr>
                <w:rFonts w:ascii="Arial" w:cs="Arial" w:eastAsia="Arial" w:hAnsi="Arial"/>
                <w:sz w:val="18"/>
                <w:szCs w:val="18"/>
                <w:b w:val="1"/>
                <w:bCs w:val="1"/>
                <w:color w:val="auto"/>
              </w:rPr>
              <w:t>For</w:t>
            </w:r>
          </w:p>
        </w:tc>
        <w:tc>
          <w:tcPr>
            <w:tcW w:w="1760" w:type="dxa"/>
            <w:vAlign w:val="bottom"/>
            <w:gridSpan w:val="2"/>
          </w:tcPr>
          <w:p>
            <w:pPr>
              <w:ind w:left="480"/>
              <w:spacing w:after="0"/>
              <w:rPr>
                <w:sz w:val="20"/>
                <w:szCs w:val="20"/>
                <w:color w:val="auto"/>
              </w:rPr>
            </w:pPr>
            <w:r>
              <w:rPr>
                <w:rFonts w:ascii="Arial" w:cs="Arial" w:eastAsia="Arial" w:hAnsi="Arial"/>
                <w:sz w:val="18"/>
                <w:szCs w:val="18"/>
                <w:b w:val="1"/>
                <w:bCs w:val="1"/>
                <w:color w:val="auto"/>
              </w:rPr>
              <w:t>Against</w:t>
            </w:r>
          </w:p>
        </w:tc>
        <w:tc>
          <w:tcPr>
            <w:tcW w:w="1720" w:type="dxa"/>
            <w:vAlign w:val="bottom"/>
            <w:gridSpan w:val="2"/>
          </w:tcPr>
          <w:p>
            <w:pPr>
              <w:ind w:left="460"/>
              <w:spacing w:after="0"/>
              <w:rPr>
                <w:sz w:val="20"/>
                <w:szCs w:val="20"/>
                <w:color w:val="auto"/>
              </w:rPr>
            </w:pPr>
            <w:r>
              <w:rPr>
                <w:rFonts w:ascii="Arial" w:cs="Arial" w:eastAsia="Arial" w:hAnsi="Arial"/>
                <w:sz w:val="18"/>
                <w:szCs w:val="18"/>
                <w:b w:val="1"/>
                <w:bCs w:val="1"/>
                <w:color w:val="auto"/>
              </w:rPr>
              <w:t>Abstain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30,306,983</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1,054,552</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33,396</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1,468,064</w:t>
            </w:r>
          </w:p>
        </w:tc>
        <w:tc>
          <w:tcPr>
            <w:tcW w:w="2280" w:type="dxa"/>
            <w:vAlign w:val="bottom"/>
          </w:tcPr>
          <w:p>
            <w:pPr>
              <w:spacing w:after="0"/>
              <w:rPr>
                <w:sz w:val="18"/>
                <w:szCs w:val="18"/>
                <w:color w:val="auto"/>
              </w:rPr>
            </w:pPr>
          </w:p>
        </w:tc>
      </w:tr>
      <w:tr>
        <w:trPr>
          <w:trHeight w:val="675"/>
        </w:trPr>
        <w:tc>
          <w:tcPr>
            <w:tcW w:w="2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gridSpan w:val="3"/>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0000EE"/>
            </w:tcBorders>
          </w:tcPr>
          <w:p>
            <w:pPr>
              <w:jc w:val="right"/>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20" w:type="dxa"/>
            <w:vAlign w:val="bottom"/>
            <w:tcBorders>
              <w:top w:val="single" w:sz="8" w:color="auto"/>
              <w:bottom w:val="single" w:sz="8" w:color="0000EE"/>
            </w:tcBorders>
            <w:gridSpan w:val="2"/>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Amendment to the Company’s Fourth Amended and Restated By-laws effective June 17, 2019</w:t>
              </w:r>
            </w:hyperlink>
          </w:p>
        </w:tc>
        <w:tc>
          <w:tcPr>
            <w:tcW w:w="3560" w:type="dxa"/>
            <w:vAlign w:val="bottom"/>
            <w:tcBorders>
              <w:top w:val="single" w:sz="8" w:color="auto"/>
            </w:tcBorders>
          </w:tcPr>
          <w:p>
            <w:pPr>
              <w:spacing w:after="0"/>
              <w:rPr>
                <w:sz w:val="15"/>
                <w:szCs w:val="15"/>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tcBorders>
              <w:bottom w:val="single" w:sz="8" w:color="0000EE"/>
            </w:tcBorders>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Fifth Amended and Restated By-laws of ExlService Holdings, Inc.</w:t>
              </w:r>
            </w:hyperlink>
          </w:p>
        </w:tc>
        <w:tc>
          <w:tcPr>
            <w:tcW w:w="556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June 19, 2019</w:t>
            </w:r>
          </w:p>
        </w:tc>
        <w:tc>
          <w:tcPr>
            <w:tcW w:w="280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Ajay Ayyappan</w:t>
            </w:r>
          </w:p>
        </w:tc>
      </w:tr>
      <w:tr>
        <w:trPr>
          <w:trHeight w:val="195"/>
        </w:trPr>
        <w:tc>
          <w:tcPr>
            <w:tcW w:w="3600" w:type="dxa"/>
            <w:vAlign w:val="bottom"/>
          </w:tcPr>
          <w:p>
            <w:pPr>
              <w:spacing w:after="0"/>
              <w:rPr>
                <w:sz w:val="16"/>
                <w:szCs w:val="16"/>
                <w:color w:val="auto"/>
              </w:rPr>
            </w:pPr>
          </w:p>
        </w:tc>
        <w:tc>
          <w:tcPr>
            <w:tcW w:w="28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ind w:left="120"/>
              <w:spacing w:after="0" w:line="195" w:lineRule="exact"/>
              <w:rPr>
                <w:sz w:val="20"/>
                <w:szCs w:val="20"/>
                <w:color w:val="auto"/>
              </w:rPr>
            </w:pPr>
            <w:r>
              <w:rPr>
                <w:rFonts w:ascii="Arial" w:cs="Arial" w:eastAsia="Arial" w:hAnsi="Arial"/>
                <w:sz w:val="18"/>
                <w:szCs w:val="18"/>
                <w:color w:val="auto"/>
              </w:rPr>
              <w:t>Ajay Ayyappan</w:t>
            </w:r>
          </w:p>
        </w:tc>
      </w:tr>
      <w:tr>
        <w:trPr>
          <w:trHeight w:val="216"/>
        </w:trPr>
        <w:tc>
          <w:tcPr>
            <w:tcW w:w="3600" w:type="dxa"/>
            <w:vAlign w:val="bottom"/>
          </w:tcPr>
          <w:p>
            <w:pPr>
              <w:spacing w:after="0"/>
              <w:rPr>
                <w:sz w:val="18"/>
                <w:szCs w:val="18"/>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30"/>
        </w:trPr>
        <w:tc>
          <w:tcPr>
            <w:tcW w:w="3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General Counsel and Secretary</w:t>
            </w:r>
          </w:p>
        </w:tc>
      </w:tr>
      <w:tr>
        <w:trPr>
          <w:trHeight w:val="675"/>
        </w:trPr>
        <w:tc>
          <w:tcPr>
            <w:tcW w:w="36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By-Laws of ExlService Holdings, Inc.</w:t>
      </w:r>
    </w:p>
    <w:p>
      <w:pPr>
        <w:spacing w:after="0" w:line="211" w:lineRule="exact"/>
        <w:rPr>
          <w:sz w:val="20"/>
          <w:szCs w:val="20"/>
          <w:color w:val="auto"/>
        </w:rPr>
      </w:pPr>
    </w:p>
    <w:p>
      <w:pPr>
        <w:ind w:right="520" w:firstLine="42"/>
        <w:spacing w:after="0" w:line="277" w:lineRule="auto"/>
        <w:rPr>
          <w:sz w:val="20"/>
          <w:szCs w:val="20"/>
          <w:color w:val="auto"/>
        </w:rPr>
      </w:pPr>
      <w:r>
        <w:rPr>
          <w:rFonts w:ascii="Arial" w:cs="Arial" w:eastAsia="Arial" w:hAnsi="Arial"/>
          <w:sz w:val="18"/>
          <w:szCs w:val="18"/>
          <w:color w:val="auto"/>
        </w:rPr>
        <w:t>The text below reflects modifications to be reflected in the Fifth Amended and Restated By-Laws of ExlService Holdings, Inc., with additions (in blue underline) and deletions (in red strikethrough):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Number; Qualification; Term of Office</w:t>
      </w:r>
      <w:r>
        <w:rPr>
          <w:rFonts w:ascii="Arial" w:cs="Arial" w:eastAsia="Arial" w:hAnsi="Arial"/>
          <w:sz w:val="16"/>
          <w:szCs w:val="16"/>
          <w:color w:val="auto"/>
        </w:rPr>
        <w:t xml:space="preserve">. Except as otherwise provided in the Certificate of Incorporation, the Board shall consist of no fewer than 6 nor more than 12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 </w:t>
      </w:r>
      <w:r>
        <w:rPr>
          <w:rFonts w:ascii="Arial" w:cs="Arial" w:eastAsia="Arial" w:hAnsi="Arial"/>
          <w:sz w:val="16"/>
          <w:szCs w:val="16"/>
          <w:color w:val="FF0000"/>
          <w:strike w:val="1"/>
        </w:rPr>
        <w:t>The</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Board (other than those Directors elected by the holders of any series of Preferred Stock provided for or fixed pursuant to the provisions of the Certificate of Incorporation (the “Preferred Stock Directors”)) shall be divided into three classes, as nearly equal in number as possible, designated Class I, Class II and Class III. At each annual meeting of Stockholders, Directors of each class the term of which shall then expire shall be elected to hold office for a term expiring at the third succeeding annual meeting of Stockholders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 </w:t>
      </w:r>
      <w:r>
        <w:rPr>
          <w:rFonts w:ascii="Arial" w:cs="Arial" w:eastAsia="Arial" w:hAnsi="Arial"/>
          <w:sz w:val="16"/>
          <w:szCs w:val="16"/>
          <w:u w:val="single" w:color="auto"/>
          <w:color w:val="0070C0"/>
          <w:strike w:val="1"/>
        </w:rPr>
        <w:t>Subject to the provisions of the Certificate of Incorporation relating to Directors elected by the holders of one or more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70C0"/>
          <w:strike w:val="1"/>
        </w:rPr>
        <w:t>series of Preferred Stock, voting as a separate series or with one or more other series of Preferred Stock, at each annual meeting of stockholders commencing with the 2019 annual meeting of stockholders, Directors of the corporation other than those in the 2020 Class and 2021 Class (each as defined below) shall be elected for a term of one year, expiring at the next succeeding annual meeting of stockholders. Each Director of the corporation who was elected at the 2017 annual meeting of stockholders for a three-year term expiring in 2020 (the “2020 Class”), and each Director of the corporation who was elected at the 2018 annual meeting of stockholders for a three-year term expiring in 2021 (the “2021 Class”), including any person appointed to fill any vacancy occurring with respect to any Director in the 2020 Class or the 2021 Class (each of whom shall be deemed to be a member of the class of Directors in which the vacancy occurred), shall continue to hold office until the end of the term for which such Director was elected or appointed, as applicable. Subject to the provisions of the Certificate of Incorporation relating to Directors elected by the holders of one or more series of Preferred Stock, voting as a separate series or with one or more other series of Preferred Stock, (a) commencing with the 2020 annual meeting of stockholders, all Directors of the corporation other than those in the 2021 Class will be elected for a term of one year, and (b) commencing with the 2021 annual meeting of stockholders, all Directors of the corporation will be elected for a term of one year. In all cases, each Director shall serve until such Director’s successor has been duly elected and qualified or until such Director’s earlier death, disqualification, resignation or removal</w:t>
      </w:r>
      <w:r>
        <w:rPr>
          <w:rFonts w:ascii="Arial" w:cs="Arial" w:eastAsia="Arial" w:hAnsi="Arial"/>
          <w:sz w:val="16"/>
          <w:szCs w:val="16"/>
          <w:color w:val="0070C0"/>
          <w:strike w:val="1"/>
        </w:rPr>
        <w:t>.</w:t>
      </w: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approved by the Board of Directors as of June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used in these By-laws, unless the context otherwise requires, the term: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means an Assistant Secretary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Assistant Treasurer</w:t>
      </w:r>
      <w:r>
        <w:rPr>
          <w:rFonts w:ascii="Arial" w:cs="Arial" w:eastAsia="Arial" w:hAnsi="Arial"/>
          <w:sz w:val="18"/>
          <w:szCs w:val="18"/>
          <w:color w:val="auto"/>
        </w:rPr>
        <w:t>” means an Assistant Treasurer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By-laws</w:t>
      </w:r>
      <w:r>
        <w:rPr>
          <w:rFonts w:ascii="Arial" w:cs="Arial" w:eastAsia="Arial" w:hAnsi="Arial"/>
          <w:sz w:val="18"/>
          <w:szCs w:val="18"/>
          <w:color w:val="auto"/>
        </w:rPr>
        <w:t>” means these Fourth Amended and Restated By-Laws of the Corporation, as further amended from time to time.</w:t>
      </w:r>
    </w:p>
    <w:p>
      <w:pPr>
        <w:spacing w:after="0" w:line="225" w:lineRule="exact"/>
        <w:rPr>
          <w:sz w:val="20"/>
          <w:szCs w:val="20"/>
          <w:color w:val="auto"/>
        </w:rPr>
      </w:pPr>
    </w:p>
    <w:p>
      <w:pPr>
        <w:ind w:right="720" w:firstLine="881"/>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Corporation, as further amended, supplemented or restated from time to time.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Chairman</w:t>
      </w:r>
      <w:r>
        <w:rPr>
          <w:rFonts w:ascii="Arial" w:cs="Arial" w:eastAsia="Arial" w:hAnsi="Arial"/>
          <w:sz w:val="18"/>
          <w:szCs w:val="18"/>
          <w:color w:val="auto"/>
        </w:rPr>
        <w:t>” means the Chairman of the Board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means the Chief Financial Officer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Controller</w:t>
      </w:r>
      <w:r>
        <w:rPr>
          <w:rFonts w:ascii="Arial" w:cs="Arial" w:eastAsia="Arial" w:hAnsi="Arial"/>
          <w:sz w:val="18"/>
          <w:szCs w:val="18"/>
          <w:color w:val="auto"/>
        </w:rPr>
        <w:t>” means the Controller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Corporation</w:t>
      </w:r>
      <w:r>
        <w:rPr>
          <w:rFonts w:ascii="Arial" w:cs="Arial" w:eastAsia="Arial" w:hAnsi="Arial"/>
          <w:sz w:val="18"/>
          <w:szCs w:val="18"/>
          <w:color w:val="auto"/>
        </w:rPr>
        <w:t>” means ExlService Holdings, Inc.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Directors</w:t>
      </w:r>
      <w:r>
        <w:rPr>
          <w:rFonts w:ascii="Arial" w:cs="Arial" w:eastAsia="Arial" w:hAnsi="Arial"/>
          <w:sz w:val="18"/>
          <w:szCs w:val="18"/>
          <w:color w:val="auto"/>
        </w:rPr>
        <w:t>” means directors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Entire Board</w:t>
      </w:r>
      <w:r>
        <w:rPr>
          <w:rFonts w:ascii="Arial" w:cs="Arial" w:eastAsia="Arial" w:hAnsi="Arial"/>
          <w:sz w:val="18"/>
          <w:szCs w:val="18"/>
          <w:color w:val="auto"/>
        </w:rPr>
        <w:t>” means all then authorized directors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statute thereto.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means the General Corporation Law of the State of Delaware, as amended from time to time.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Lead Director</w:t>
      </w:r>
      <w:r>
        <w:rPr>
          <w:rFonts w:ascii="Arial" w:cs="Arial" w:eastAsia="Arial" w:hAnsi="Arial"/>
          <w:sz w:val="18"/>
          <w:szCs w:val="18"/>
          <w:color w:val="auto"/>
        </w:rPr>
        <w:t>” means the Lead Director of the Corporation.</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Office of the Corporation</w:t>
      </w:r>
      <w:r>
        <w:rPr>
          <w:rFonts w:ascii="Arial" w:cs="Arial" w:eastAsia="Arial" w:hAnsi="Arial"/>
          <w:sz w:val="18"/>
          <w:szCs w:val="18"/>
          <w:color w:val="auto"/>
        </w:rPr>
        <w:t>” means the executive office of the Corporation, anything in Section 131 of the General Corporation Law to the contrary notwithstanding.</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President</w:t>
      </w:r>
      <w:r>
        <w:rPr>
          <w:rFonts w:ascii="Arial" w:cs="Arial" w:eastAsia="Arial" w:hAnsi="Arial"/>
          <w:sz w:val="18"/>
          <w:szCs w:val="18"/>
          <w:color w:val="auto"/>
        </w:rPr>
        <w:t>” means the President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Secretary</w:t>
      </w:r>
      <w:r>
        <w:rPr>
          <w:rFonts w:ascii="Arial" w:cs="Arial" w:eastAsia="Arial" w:hAnsi="Arial"/>
          <w:sz w:val="18"/>
          <w:szCs w:val="18"/>
          <w:color w:val="auto"/>
        </w:rPr>
        <w:t>” means the Secretary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statute thereto.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Stockholders</w:t>
      </w:r>
      <w:r>
        <w:rPr>
          <w:rFonts w:ascii="Arial" w:cs="Arial" w:eastAsia="Arial" w:hAnsi="Arial"/>
          <w:sz w:val="18"/>
          <w:szCs w:val="18"/>
          <w:color w:val="auto"/>
        </w:rPr>
        <w:t>” means stockholders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Treasurer</w:t>
      </w:r>
      <w:r>
        <w:rPr>
          <w:rFonts w:ascii="Arial" w:cs="Arial" w:eastAsia="Arial" w:hAnsi="Arial"/>
          <w:sz w:val="18"/>
          <w:szCs w:val="18"/>
          <w:color w:val="auto"/>
        </w:rPr>
        <w:t>” means the Treasurer of the Corporation.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Vice President</w:t>
      </w:r>
      <w:r>
        <w:rPr>
          <w:rFonts w:ascii="Arial" w:cs="Arial" w:eastAsia="Arial" w:hAnsi="Arial"/>
          <w:sz w:val="18"/>
          <w:szCs w:val="18"/>
          <w:color w:val="auto"/>
        </w:rPr>
        <w:t>” means a Vice President of the Corporation.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Every meeting of Stockholders may be held at such place, within or without the State of Delaware, as may be designated by resolution of the Board from time to time. The Board may, in its sole discretion, determine that the meeting of Stockholders shall not be held at any place, but may instead be held solely by means of remote communication in accordance with Delaware law.</w:t>
      </w:r>
    </w:p>
    <w:p>
      <w:pPr>
        <w:spacing w:after="0" w:line="181"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r>
        <w:rPr>
          <w:rFonts w:ascii="Arial" w:cs="Arial" w:eastAsia="Arial" w:hAnsi="Arial"/>
          <w:sz w:val="18"/>
          <w:szCs w:val="18"/>
          <w:color w:val="auto"/>
        </w:rPr>
        <w:t>. If required by applicable law, a meeting of Stockholders shall be held annually for the election of Directors at such date and time as may be designated by resolution of the Board from time to time. Any other business may be transacted at the annual meeting as shall have been properly brought before the meeting.</w:t>
      </w:r>
    </w:p>
    <w:p>
      <w:pPr>
        <w:spacing w:after="0" w:line="181" w:lineRule="exact"/>
        <w:rPr>
          <w:sz w:val="20"/>
          <w:szCs w:val="20"/>
          <w:color w:val="auto"/>
        </w:rPr>
      </w:pPr>
    </w:p>
    <w:p>
      <w:pPr>
        <w:jc w:val="both"/>
        <w:ind w:right="160" w:firstLine="881"/>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Special Meetings</w:t>
      </w:r>
      <w:r>
        <w:rPr>
          <w:rFonts w:ascii="Arial" w:cs="Arial" w:eastAsia="Arial" w:hAnsi="Arial"/>
          <w:sz w:val="17"/>
          <w:szCs w:val="17"/>
          <w:color w:val="auto"/>
        </w:rPr>
        <w:t>. Unless otherwise prescribed by applicable law and subject to the express terms of any series of shares of preferred stock, special meetings of Stockholders may be called only by (a) the Chairman or (b) a majority of the members of the Board, and may not be called by any other person or persons. Business transacted at any special meeting of Stockholders shall be limited to the purpose stated in the notice.</w:t>
      </w:r>
    </w:p>
    <w:p>
      <w:pPr>
        <w:spacing w:after="0" w:line="166" w:lineRule="exact"/>
        <w:rPr>
          <w:sz w:val="20"/>
          <w:szCs w:val="20"/>
          <w:color w:val="auto"/>
        </w:rPr>
      </w:pPr>
    </w:p>
    <w:p>
      <w:pPr>
        <w:jc w:val="both"/>
        <w:ind w:right="80" w:firstLine="881"/>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Fixing Record Date</w:t>
      </w:r>
      <w:r>
        <w:rPr>
          <w:rFonts w:ascii="Arial" w:cs="Arial" w:eastAsia="Arial" w:hAnsi="Arial"/>
          <w:sz w:val="16"/>
          <w:szCs w:val="16"/>
          <w:color w:val="auto"/>
        </w:rPr>
        <w:t>. For the purpose of (a) determining the Stockholders entitled (i) to notice of or to vote at any meeting of Stockholders or any adjournment thereof or (ii) to receive payment of any dividend or other distribution or allotment of any rights, or entitled to exercise any rights in respect of any change, conversion or exchange of stock; or (b) any other lawful action, the Board may fix a record date, which record date shall not precede the date upon which the resolution fixing the record date was adopted by the Board and which record date, unless otherwise required by applicable law, shall not be</w:t>
      </w:r>
    </w:p>
    <w:p>
      <w:pPr>
        <w:spacing w:after="0" w:line="2" w:lineRule="exact"/>
        <w:rPr>
          <w:sz w:val="20"/>
          <w:szCs w:val="20"/>
          <w:color w:val="auto"/>
        </w:rPr>
      </w:pPr>
    </w:p>
    <w:p>
      <w:pPr>
        <w:ind w:firstLine="8"/>
        <w:spacing w:after="0" w:line="26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clause (a)(i) above, more than 60 nor less than 10 days before the date of such meeting and (z) in the case of clause (a)(ii) or (b) above, more than 60 days prior to such action. If no such record date is fixed:</w:t>
      </w:r>
    </w:p>
    <w:p>
      <w:pPr>
        <w:spacing w:after="0" w:line="184" w:lineRule="exact"/>
        <w:rPr>
          <w:sz w:val="20"/>
          <w:szCs w:val="20"/>
          <w:color w:val="auto"/>
        </w:rPr>
      </w:pPr>
    </w:p>
    <w:p>
      <w:pPr>
        <w:ind w:right="100" w:firstLine="1432"/>
        <w:spacing w:after="0" w:line="264" w:lineRule="auto"/>
        <w:rPr>
          <w:sz w:val="20"/>
          <w:szCs w:val="20"/>
          <w:color w:val="auto"/>
        </w:rPr>
      </w:pPr>
      <w:r>
        <w:rPr>
          <w:rFonts w:ascii="Arial" w:cs="Arial" w:eastAsia="Arial" w:hAnsi="Arial"/>
          <w:sz w:val="18"/>
          <w:szCs w:val="18"/>
          <w:color w:val="auto"/>
        </w:rPr>
        <w:t>2.4.1 the record date for determining Stockholders entitled to notice of or to vote at a meeting of Stockholders shall be the close of business on the day next preceding the day on which notice is given, or, if notice is waived, the close of business on the day next preceding the day on which the meeting is held; and</w:t>
      </w:r>
    </w:p>
    <w:p>
      <w:pPr>
        <w:spacing w:after="0" w:line="181" w:lineRule="exact"/>
        <w:rPr>
          <w:sz w:val="20"/>
          <w:szCs w:val="20"/>
          <w:color w:val="auto"/>
        </w:rPr>
      </w:pPr>
    </w:p>
    <w:p>
      <w:pPr>
        <w:ind w:right="80" w:firstLine="1432"/>
        <w:spacing w:after="0" w:line="259" w:lineRule="auto"/>
        <w:rPr>
          <w:sz w:val="20"/>
          <w:szCs w:val="20"/>
          <w:color w:val="auto"/>
        </w:rPr>
      </w:pPr>
      <w:r>
        <w:rPr>
          <w:rFonts w:ascii="Arial" w:cs="Arial" w:eastAsia="Arial" w:hAnsi="Arial"/>
          <w:sz w:val="18"/>
          <w:szCs w:val="18"/>
          <w:color w:val="auto"/>
        </w:rPr>
        <w:t>2.4.2 the record date for determining Stockholders for any purpose other than those specified in Section 2.4.1 hereof shall be the close of business on the day on which the Board adopts the resolution relating thereto. When a determination of Stockholders of record entitled to notice of or to vote at any meeting of Stockholders has been made as provided in this Section 2.4, such determination shall apply to any adjournment thereof unless the Board fixes a new record date for the adjourned meeting.</w:t>
      </w:r>
    </w:p>
    <w:p>
      <w:pPr>
        <w:spacing w:after="0" w:line="187"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Notice of Meetings of Stockholders</w:t>
      </w:r>
      <w:r>
        <w:rPr>
          <w:rFonts w:ascii="Arial" w:cs="Arial" w:eastAsia="Arial" w:hAnsi="Arial"/>
          <w:sz w:val="16"/>
          <w:szCs w:val="16"/>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Unless otherwise provided by applicable law, the Certificate of Incorporation or these By-laws, notice of any meeting shall be given, not less than 10 nor more than 60 days before the date of the meeting, to each Stockholder entitled to vote at such meeting. If mailed, such notice shall be deemed to be given when deposited in the United States mail, with postage prepaid, directed to the Stockholder at his or her address as it appears on the records of the Corporation. An affidavit of the Secretary or an Assistant Secretary or of the transfer agent of the Corporation that the notice required by this Section 2.5 has been given shall, in the absence of fraud, be prima facie evidence of the facts stated therein. Any meeting of Stockholders, annual or special, may adjourn from time to time to reconvene at the same or some other place. When a meeting is adjourned to another time or place, notice need not be given of the adjourned meeting if the time and place thereof are announced at the meeting at which the adjournment is taken, and at the adjourned meeting any business may be transacted that might have been transacted at the meeting as originally called. If, however, the adjournment is for more than 30 days, or if after the adjournment a new record date is fixed for the adjourned meeting, a notice of the adjourned meeting shall be given to each Stockholder of record entitled to vote at the meeting.</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ind w:right="20" w:firstLine="881"/>
        <w:spacing w:after="0" w:line="273"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Waivers of Notice</w:t>
      </w:r>
      <w:r>
        <w:rPr>
          <w:rFonts w:ascii="Arial" w:cs="Arial" w:eastAsia="Arial" w:hAnsi="Arial"/>
          <w:sz w:val="17"/>
          <w:szCs w:val="17"/>
          <w:color w:val="auto"/>
        </w:rPr>
        <w:t>. Whenever giving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Stockholders need be specified in any waiver of notice unless so required by applicable law, the Certificate of Incorporation or these By-laws.</w:t>
      </w:r>
    </w:p>
    <w:p>
      <w:pPr>
        <w:spacing w:after="0" w:line="178" w:lineRule="exact"/>
        <w:rPr>
          <w:sz w:val="20"/>
          <w:szCs w:val="20"/>
          <w:color w:val="auto"/>
        </w:rPr>
      </w:pPr>
    </w:p>
    <w:p>
      <w:pPr>
        <w:ind w:right="20" w:firstLine="881"/>
        <w:spacing w:after="0" w:line="288"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Secretary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the Stockholder’s agent, or attorney, at the Stockholder’s expense, for any purpose germane to the meeting, for a period of at least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examination as provided by applicable law. Upon the willful neglect or refusal of the Directors to produce such a list at any meeting for the election of Directors, they shall be ineligible for election to any office at such meeting. Except as provided by applicable law, the stock ledger shall be the only evidence as to who are the Stockholders entitled to examine the stock ledger, the list of Stockholders or the books of the Corporation, or to vote in person or by proxy at any meeting of Stockholders.</w:t>
      </w:r>
    </w:p>
    <w:p>
      <w:pPr>
        <w:spacing w:after="0" w:line="169"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Quorum of Stockholders; Adjournment</w:t>
      </w:r>
      <w:r>
        <w:rPr>
          <w:rFonts w:ascii="Arial" w:cs="Arial" w:eastAsia="Arial" w:hAnsi="Arial"/>
          <w:sz w:val="17"/>
          <w:szCs w:val="17"/>
          <w:color w:val="auto"/>
        </w:rPr>
        <w:t xml:space="preserve">. Except as otherwise provided by applicable law, the Certificate of Incorporation or these By-laws, at each meeting of Stockholders, the presence in person or by proxy of the holders of a majority in voting power of all outstanding shares of stock entitled to vote at the meeting of Stockholders, shall constitute a quorum for the transaction of any business at such meeting, except that, where a separate vote by a class or series of classes is required, a quorum shall consist of no less than a majority in voting power of the shares of such classes or series of classes. When a quorum is present to organize a meeting of Stockholders and for purposes of voting on any matter, the quorum for such meeting or matter is not broken by the subsequent withdrawal of any Stockholder. In the absence of a quorum, the person presiding over the meeting or the holders of a majority in voting power of the shares of stock present in person or represented by proxy at any meeting of Stockholders, including an adjourned meeting, whether or not a quorum is present,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limit the right of the Corporation to vote stock, including but not limited to its own stock, held by it in a fiduciary capacity.</w:t>
      </w:r>
    </w:p>
    <w:p>
      <w:pPr>
        <w:spacing w:after="0" w:line="183" w:lineRule="exact"/>
        <w:rPr>
          <w:sz w:val="20"/>
          <w:szCs w:val="20"/>
          <w:color w:val="auto"/>
        </w:rPr>
      </w:pPr>
    </w:p>
    <w:p>
      <w:pPr>
        <w:ind w:right="60" w:firstLine="881"/>
        <w:spacing w:after="0" w:line="288"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Voting; Proxies</w:t>
      </w:r>
      <w:r>
        <w:rPr>
          <w:rFonts w:ascii="Arial" w:cs="Arial" w:eastAsia="Arial" w:hAnsi="Arial"/>
          <w:sz w:val="16"/>
          <w:szCs w:val="16"/>
          <w:color w:val="auto"/>
        </w:rPr>
        <w:t>. Unless otherwise provided in the Certificate of Incorporation, every Stockholder entitled to vote at any meeting of Stockholders shall be entitled to one vote for each share of stock held by such Stockholder which has voting power upon the matter in question. At any meeting of Stockholders, all matters, except as otherwise provided by the Certificate of Incorporation, these By-laws, the rules and regulations of any stock exchange applicable to the Corporation, applicable law or pursuant to any rules or regulations applicable to the Corporation or its securities, shall be decided by the affirmative vote of a majority in voting power of shares of stock present in person or represented by proxy and entitled to vote thereon. At all meetings of Stockholders for the election of Directors, Directors shall be elected as provided under Section 3.3.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right="40" w:firstLine="881"/>
        <w:spacing w:after="0" w:line="284"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Voting Procedures and Inspectors of Election at Meetings of Stockholders</w:t>
      </w:r>
      <w:r>
        <w:rPr>
          <w:rFonts w:ascii="Arial" w:cs="Arial" w:eastAsia="Arial" w:hAnsi="Arial"/>
          <w:sz w:val="16"/>
          <w:szCs w:val="16"/>
          <w:color w:val="auto"/>
        </w:rPr>
        <w:t>. The Board, in advance of any meeting of Stockholders, may, and shall if required by applicable law,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and shall if required by applicable law,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w:t>
      </w:r>
    </w:p>
    <w:p>
      <w:pPr>
        <w:spacing w:after="0" w:line="5" w:lineRule="exact"/>
        <w:rPr>
          <w:sz w:val="20"/>
          <w:szCs w:val="20"/>
          <w:color w:val="auto"/>
        </w:rPr>
      </w:pPr>
    </w:p>
    <w:p>
      <w:pPr>
        <w:ind w:right="100" w:firstLine="8"/>
        <w:spacing w:after="0" w:line="268"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or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Conduct of Meetings; Director Nominations; Meeting Business and Other Stockholder Proposals</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may adopt by resolution such rules and regulations for the conduct of the meeting of Stockholders as it shall deem appropriate. At each meeting of Stockholders, the Chairman, or if there is no Chairman or if there be one and the Chairman is absent, the CEO, or in the absence of the CEO, the Lead Director, or in the absence of the Lead Director, the President, or in the absence of the President, a Vice President, and in case more than one Vice President shall be present, that Vice President designated by the Board (or in the absence of any such designation, the most senior Vice President, based on age, present), shall preside over the meeting. Except to the extent inconsistent with such rules and regulations as are adopted by the Board, the person presiding over any meeting of Stockholders shall have the right and authority to convene and to adjourn the meeting, to prescribe such rules, regulations and procedures and to do all such acts as, in the judgment of such person,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applicable to Stockholders of record of the Corporation,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In case none of the officers above designated to act as the person presiding over the meeting or as secretary of the meeting, respectively, shall be present, a person presiding over the meeting or a secretary of the meeting, as the case may be, shall be designated by the Board, and in case the Board has not so acted, in the case of the designation of a person to act as secretary of the meeting, designated by the person presiding over the meeting.</w:t>
      </w: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right="100" w:firstLine="1432"/>
        <w:spacing w:after="0" w:line="255" w:lineRule="auto"/>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u w:val="single" w:color="auto"/>
          <w:color w:val="auto"/>
        </w:rPr>
        <w:t>Director Nominations</w:t>
      </w:r>
      <w:r>
        <w:rPr>
          <w:rFonts w:ascii="Arial" w:cs="Arial" w:eastAsia="Arial" w:hAnsi="Arial"/>
          <w:sz w:val="18"/>
          <w:szCs w:val="18"/>
          <w:color w:val="auto"/>
        </w:rPr>
        <w:t>: Only persons who are nominated in accordance with the following procedures shall be eligible for election as Directors. Nominations of persons for election to the Board may be made at an annual meeting or special meeting of Stockholders only (i) by or at the direction of the Board, (ii) by any nominating committee designated by the Board or (iii) by any Stockholder of the Corporation who was a Stockholder of record of the Corporation at the time the notice provided for in this Section 2.11 is delivered to the Secretary, who is entitled to vote for the election of Directors at the meeting and who complies with the applicable provisions of Section 2.11.4 hereof (persons nominated in accordance with (iii) above are referred to herein as “Stockholder nominees”).</w:t>
      </w:r>
    </w:p>
    <w:p>
      <w:pPr>
        <w:spacing w:after="0" w:line="193" w:lineRule="exact"/>
        <w:rPr>
          <w:sz w:val="20"/>
          <w:szCs w:val="20"/>
          <w:color w:val="auto"/>
        </w:rPr>
      </w:pPr>
    </w:p>
    <w:p>
      <w:pPr>
        <w:ind w:right="120" w:firstLine="1432"/>
        <w:spacing w:after="0" w:line="288" w:lineRule="auto"/>
        <w:rPr>
          <w:sz w:val="20"/>
          <w:szCs w:val="20"/>
          <w:color w:val="auto"/>
        </w:rPr>
      </w:pPr>
      <w:r>
        <w:rPr>
          <w:rFonts w:ascii="Arial" w:cs="Arial" w:eastAsia="Arial" w:hAnsi="Arial"/>
          <w:sz w:val="16"/>
          <w:szCs w:val="16"/>
          <w:color w:val="auto"/>
        </w:rPr>
        <w:t xml:space="preserve">2.11.3. </w:t>
      </w:r>
      <w:r>
        <w:rPr>
          <w:rFonts w:ascii="Arial" w:cs="Arial" w:eastAsia="Arial" w:hAnsi="Arial"/>
          <w:sz w:val="16"/>
          <w:szCs w:val="16"/>
          <w:u w:val="single" w:color="auto"/>
          <w:color w:val="auto"/>
        </w:rPr>
        <w:t>Meeting Business</w:t>
      </w:r>
      <w:r>
        <w:rPr>
          <w:rFonts w:ascii="Arial" w:cs="Arial" w:eastAsia="Arial" w:hAnsi="Arial"/>
          <w:sz w:val="16"/>
          <w:szCs w:val="16"/>
          <w:color w:val="auto"/>
        </w:rPr>
        <w:t>: At any annual meeting of Stockholders, only such business shall be conducted as shall have been properly brought before the meeting. To be properly brought before an annual meeting of Stockholders, (i) business must be specified in the notice of meeting (or any supplement thereto) given by or at the direction of the Board, (ii) otherwise properly brought before the meeting by or at the direction of the Board or</w:t>
      </w:r>
    </w:p>
    <w:p>
      <w:pPr>
        <w:ind w:firstLine="8"/>
        <w:spacing w:after="0" w:line="277"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otherwise properly brought before the meeting by a Stockholder who was a Stockholder of record of the Corporation at the time the notice provided for in this Section 2.11 is delivered to the Secretary, who is entitled to vote at the meeting and who complies with the applicable provisions of Section 2.11.4 hereof (business brought before the meeting in accordance with (iii) above is referred to as “Stockholder business”).</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2.11.4. </w:t>
      </w:r>
      <w:r>
        <w:rPr>
          <w:rFonts w:ascii="Arial" w:cs="Arial" w:eastAsia="Arial" w:hAnsi="Arial"/>
          <w:sz w:val="16"/>
          <w:szCs w:val="16"/>
          <w:u w:val="single" w:color="auto"/>
          <w:color w:val="auto"/>
        </w:rPr>
        <w:t>Other Stockholder Proposals</w:t>
      </w:r>
      <w:r>
        <w:rPr>
          <w:rFonts w:ascii="Arial" w:cs="Arial" w:eastAsia="Arial" w:hAnsi="Arial"/>
          <w:sz w:val="16"/>
          <w:szCs w:val="16"/>
          <w:color w:val="auto"/>
        </w:rPr>
        <w:t>: In addition to any other applicable requirements, at any annual or special meeting of Stockholders</w:t>
      </w:r>
    </w:p>
    <w:p>
      <w:pPr>
        <w:spacing w:after="0" w:line="46" w:lineRule="exact"/>
        <w:rPr>
          <w:sz w:val="20"/>
          <w:szCs w:val="20"/>
          <w:color w:val="auto"/>
        </w:rPr>
      </w:pPr>
    </w:p>
    <w:p>
      <w:pPr>
        <w:ind w:right="40" w:firstLine="8"/>
        <w:spacing w:after="0" w:line="281"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nominations of Stockholder nominees must be made by timely written notice given by or on behalf of a Stockholder of record of the Corporation (the “Notice of Nomination”) and (ii) all proposals of Stockholder business must be made by timely written notice given by or on behalf of a Stockholder of record of the Corporation (the “Notice of Business”). To be timely, the Notice of Nomination or the Notice of Business, as the case may be, must be delivered personally to, or mailed to, and received at the Office of the Corporation, addressed to the attention of the Secretary, (i) in the case of the nomination of a person for election to the Board or business to be conducted, at an annual meeting of Stockholders, not less than ninety (90) days nor more than one hundred and twenty (120) days prior to the first anniversary of the date of the prior year’s annual meeting of Stockholders or (ii) in the case of the nomination of a person for election to the Board at a special meeting of Stockholders, not more than one hundred and twenty (120) days prior to and not less than the later of</w:t>
      </w:r>
    </w:p>
    <w:p>
      <w:pPr>
        <w:spacing w:after="0" w:line="4" w:lineRule="exact"/>
        <w:rPr>
          <w:rFonts w:ascii="Arial" w:cs="Arial" w:eastAsia="Arial" w:hAnsi="Arial"/>
          <w:sz w:val="16"/>
          <w:szCs w:val="16"/>
          <w:color w:val="auto"/>
        </w:rPr>
      </w:pPr>
    </w:p>
    <w:p>
      <w:pPr>
        <w:ind w:right="60" w:firstLine="8"/>
        <w:spacing w:after="0" w:line="268"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ninety (90) days prior to such special meeting or (b) the tenth (10th) day following the day on which the notice of such special meeting was made by mail or Public Disclosure (as defined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either (i) the annual meeting of Stockholders is advanced by more than thirty (30) days, or delayed by more than seventy (70) days, from the first anniversary of the prior year’s annual meeting of Stockholders or (ii) no annual meeting was held during the prior year, notice by the Stockholder to be timely must be received (i) no earlier than one hundred and twenty (120) days prior to such annual meeting and (ii) no later than the later of ninety (90) days prior to such annual meeting or ten (10) days following the day the notice of such annual meeting was made by mail or Public Disclosure, regardless of any postponement, deferral or adjournment of the meeting to a later date. In no event shall the Public Disclosure of an adjournment or postponement of an annual or special meeting commence a new time period (or extend any time period) for the giving of the Notice of Nomination or Notice of Business, as applicable.</w:t>
      </w:r>
    </w:p>
    <w:p>
      <w:pPr>
        <w:spacing w:after="0" w:line="184" w:lineRule="exact"/>
        <w:rPr>
          <w:sz w:val="20"/>
          <w:szCs w:val="20"/>
          <w:color w:val="auto"/>
        </w:rPr>
      </w:pPr>
    </w:p>
    <w:p>
      <w:pPr>
        <w:ind w:right="60" w:firstLine="881"/>
        <w:spacing w:after="0" w:line="297" w:lineRule="auto"/>
        <w:rPr>
          <w:sz w:val="20"/>
          <w:szCs w:val="20"/>
          <w:color w:val="auto"/>
        </w:rPr>
      </w:pPr>
      <w:r>
        <w:rPr>
          <w:rFonts w:ascii="Arial" w:cs="Arial" w:eastAsia="Arial" w:hAnsi="Arial"/>
          <w:sz w:val="16"/>
          <w:szCs w:val="16"/>
          <w:color w:val="auto"/>
        </w:rPr>
        <w:t>Notwithstanding anything in the immediately preceding paragraph to the contrary, in the event that the number of directors to be elected to the Board at an annual meeting is increased and there is no public announcement by the Corporation naming the nominees for the additional directorships at least one hundred (100) days prior to the first anniversary of the preceding year’s annual meeting, a Notice of Nomination shall also be considered timely, but only with respect to nominees for the additional directorships, if it shall be delivered at the Office of the Corporation, addressed to the attention of the Secretary, not later than the close of business on the tenth (10th) day following the day on which such public announcement is first made by the Corporation.</w:t>
      </w:r>
    </w:p>
    <w:p>
      <w:pPr>
        <w:spacing w:after="0" w:line="158"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The Notice of Nomination shall set forth (i) the name and record address of the Stockholder and/or beneficial owner proposing to make nominations,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nomination, (iv) all information regarding each Stockholder nominee that would be required to be set forth in a definitive proxy statement filed with the Securities and Exchange Commission pursuant to Section 14 of the Exchange Act and the written consent of each such Stockholder nominee to being named in a proxy statement as a nominee and to serve if elected and (v) all other information that would be required to be filed with the Securities and Exchange Commission if the person proposing such nominations were a participant in a solicitation subject to Section 14 of the Exchange Act or any successor statute thereto. The Corporation may require any Stockholder nominee to furnish such other information as it may reasonably require to determine the eligibility of such Stockholder nominee to serve as a Director of the Corporation. The person presiding over the meeting shall, if the facts warrant, determine and declare to the meeting that any proposed nomination of a Stockholder nominee was not made in accordance with the foregoing procedures and, if he or she should so determine, shall so declare to the meeting, and the defective nomination shall be disregarded.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right="40" w:firstLine="881"/>
        <w:spacing w:after="0" w:line="284" w:lineRule="auto"/>
        <w:rPr>
          <w:sz w:val="20"/>
          <w:szCs w:val="20"/>
          <w:color w:val="auto"/>
        </w:rPr>
      </w:pPr>
      <w:r>
        <w:rPr>
          <w:rFonts w:ascii="Arial" w:cs="Arial" w:eastAsia="Arial" w:hAnsi="Arial"/>
          <w:sz w:val="16"/>
          <w:szCs w:val="16"/>
          <w:color w:val="auto"/>
        </w:rPr>
        <w:t>The Notice of Business shall set forth (i) the name and record address of the Stockholder and/or beneficial owner proposing such Stockholder business,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the By-laws, the language of the proposed amendment, and the reasons for conducting such Stockholder business at the annual meeting,</w:t>
      </w:r>
    </w:p>
    <w:p>
      <w:pPr>
        <w:spacing w:after="0" w:line="5" w:lineRule="exact"/>
        <w:rPr>
          <w:sz w:val="20"/>
          <w:szCs w:val="20"/>
          <w:color w:val="auto"/>
        </w:rPr>
      </w:pPr>
    </w:p>
    <w:p>
      <w:pPr>
        <w:ind w:right="200" w:firstLine="8"/>
        <w:spacing w:after="0" w:line="28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any material interest of the Stockholder and/or beneficial owner in such Stockholder business and (vi) all other information that would be required to be filed with the Securities and Exchange Commission if the person proposing such Stockholder business were a participant in a solicitation subject to Section 14 of the Exchange Act. Notwithstanding anything in these By-laws to the contrary, no business shall be conducted at the annual meeting of Stockholders except in accordance with the procedures set forth in Section 2.11.3 and this Section 2.11.4,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Section 2.11.4 shall be deemed to preclude discussion by any Stockholder of any business properly brought before the annual meeting in accordance with said procedures. Notwithstanding anything else to the contrary in these By-laws, any Stockholder business may be excluded if the exclusion of such Stockholder business is permitted by the applicable regulations of the Securities and Exchange Commission. Only such business shall be conducted at a special meeting of Stockholders as shall have been brought before the special meeting pursuant to the Corporation’s notice of meeting. The person presiding over the meeting shall, if the facts warrant, determine and declare to the meeting, that business was not properly brought before the meeting in accordance with the foregoing procedures and, if he or she should so determine, shall so declare to the meeting, and any such business not properly brought before the meeting shall not be transacted.</w:t>
      </w:r>
    </w:p>
    <w:p>
      <w:pPr>
        <w:spacing w:after="0" w:line="193" w:lineRule="exact"/>
        <w:rPr>
          <w:sz w:val="20"/>
          <w:szCs w:val="20"/>
          <w:color w:val="auto"/>
        </w:rPr>
      </w:pPr>
    </w:p>
    <w:p>
      <w:pPr>
        <w:ind w:right="260" w:firstLine="881"/>
        <w:spacing w:after="0" w:line="259" w:lineRule="auto"/>
        <w:rPr>
          <w:sz w:val="20"/>
          <w:szCs w:val="20"/>
          <w:color w:val="auto"/>
        </w:rPr>
      </w:pPr>
      <w:r>
        <w:rPr>
          <w:rFonts w:ascii="Arial" w:cs="Arial" w:eastAsia="Arial" w:hAnsi="Arial"/>
          <w:sz w:val="18"/>
          <w:szCs w:val="18"/>
          <w:color w:val="auto"/>
        </w:rPr>
        <w:t>Notwithstanding the foregoing provisions of this Section 2.11, if the Stockholder (or a qualified representative of the Stockholder) does not appear at the annual or special meeting of Stockholders to present the Stockholder nomination or the Stockholder business, as applicable, such nomination shall be disregarded and such business shall not be transacted, notwithstanding that proxies in respect of such vote may have been received by the Corporation.</w:t>
      </w:r>
    </w:p>
    <w:p>
      <w:pPr>
        <w:spacing w:after="0" w:line="187"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For purposes of this Section 2.11, “Public Disclosure” shall be deemed to be first made when disclosure of such date of the annual or special meeting of Stockholders, as the case may be, is first made in a press release reported by the Dow Jones News Services, Associated Press or comparable national news service, or in a document publicly filed by the Corporation with the Securities and Exchange Commission pursuant to Sections 13, 14 or 15(d) of the Exchange Act.</w:t>
      </w:r>
    </w:p>
    <w:p>
      <w:pPr>
        <w:spacing w:after="0" w:line="187"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Notwithstanding the foregoing, a Stockholder shall also comply with all applicable requirements of the Exchange Act and the rules and regulations thereunder with respect to the matters set forth in this Section 2.11. Nothing in this Section 2.11 shall be deemed to affect any rights of the holders of any series of preferred stock of the Corporation pursuant to any applicable provision of the Certificate of Incorporation.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Order of Business</w:t>
      </w:r>
      <w:r>
        <w:rPr>
          <w:rFonts w:ascii="Arial" w:cs="Arial" w:eastAsia="Arial" w:hAnsi="Arial"/>
          <w:sz w:val="16"/>
          <w:szCs w:val="16"/>
          <w:color w:val="auto"/>
        </w:rPr>
        <w:t>. The order of business at all meetings of Stockholders shall be as determined by the person presiding over the meeting.</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right="300" w:firstLine="881"/>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 Powers</w:t>
      </w:r>
      <w:r>
        <w:rPr>
          <w:rFonts w:ascii="Arial" w:cs="Arial" w:eastAsia="Arial" w:hAnsi="Arial"/>
          <w:sz w:val="17"/>
          <w:szCs w:val="17"/>
          <w:color w:val="auto"/>
        </w:rPr>
        <w:t>. Except as otherwise provided in the Certificate of Incorporation, the business and affairs of the Corporation shall be managed by or under the direction of the Board. The Board may adopt such rules and regulations, not inconsistent with the Certificate of Incorporation or these By-laws or applicable law, as it may deem proper for the conduct of its meetings and the management of the Corporation.</w:t>
      </w:r>
    </w:p>
    <w:p>
      <w:pPr>
        <w:spacing w:after="0" w:line="166" w:lineRule="exact"/>
        <w:rPr>
          <w:sz w:val="20"/>
          <w:szCs w:val="20"/>
          <w:color w:val="auto"/>
        </w:rPr>
      </w:pPr>
    </w:p>
    <w:p>
      <w:pPr>
        <w:ind w:right="20" w:firstLine="881"/>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Number; Qualification; Term of Office</w:t>
      </w:r>
      <w:r>
        <w:rPr>
          <w:rFonts w:ascii="Arial" w:cs="Arial" w:eastAsia="Arial" w:hAnsi="Arial"/>
          <w:sz w:val="17"/>
          <w:szCs w:val="17"/>
          <w:color w:val="auto"/>
        </w:rPr>
        <w:t>. Except as otherwise provided in the Certificate of Incorporation, the Board shall consist of no fewer than 6 nor more than 12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 Subject to the provisions of the Certificate of Incorporation relating to Directors elected by the holders of one or more series of Preferred Stock, voting as a separate series or with one or more other series of Preferred Stock, at each annual meeting of stockholders commencing with the 2019 annual meeting of stockholders, Directors of the corporation other than those in the 2020 Class and 2021 Class (each as defined below) shall be elected for a term of one year, expiring at the next succeeding annual meeting of stockholders. Each Director of the corporation who was elected at the 2017 annual meeting of stockholders for a three-year term expiring in 2020 (the “</w:t>
      </w:r>
      <w:r>
        <w:rPr>
          <w:rFonts w:ascii="Arial" w:cs="Arial" w:eastAsia="Arial" w:hAnsi="Arial"/>
          <w:sz w:val="17"/>
          <w:szCs w:val="17"/>
          <w:u w:val="single" w:color="auto"/>
          <w:color w:val="auto"/>
        </w:rPr>
        <w:t>2020 Class</w:t>
      </w:r>
      <w:r>
        <w:rPr>
          <w:rFonts w:ascii="Arial" w:cs="Arial" w:eastAsia="Arial" w:hAnsi="Arial"/>
          <w:sz w:val="17"/>
          <w:szCs w:val="17"/>
          <w:color w:val="auto"/>
        </w:rPr>
        <w:t>”), and each Director of the corporation who was elected at the 2018 annual meeting of stockholders for a three-year term expiring in 2021 (the “</w:t>
      </w:r>
      <w:r>
        <w:rPr>
          <w:rFonts w:ascii="Arial" w:cs="Arial" w:eastAsia="Arial" w:hAnsi="Arial"/>
          <w:sz w:val="17"/>
          <w:szCs w:val="17"/>
          <w:u w:val="single" w:color="auto"/>
          <w:color w:val="auto"/>
        </w:rPr>
        <w:t>2021 Class</w:t>
      </w:r>
      <w:r>
        <w:rPr>
          <w:rFonts w:ascii="Arial" w:cs="Arial" w:eastAsia="Arial" w:hAnsi="Arial"/>
          <w:sz w:val="17"/>
          <w:szCs w:val="17"/>
          <w:color w:val="auto"/>
        </w:rPr>
        <w:t>”), including any person appointed to fill any vacancy occurring with respect to any Director in the 2020 Class or the 2021 Class (each of whom shall be deemed to be a member of the class of Directors in which the vacancy occurred), shall continue to hold office until the end of the term for which such Director was elected or appointed, as applicable. Subject to the provisions of the Certificate of Incorporation relating to Directors elected by the holders of one or more series of Preferred Stock, voting as a separate series or with one or more other series of Preferred Stock, (a) commencing with the 2020 annual meeting of stockholders, all Directors of the corporation other than those in the 2021 Class will be elected for a term of one year, and (b) commencing with the 2021 annual meeting of stockholders, all Directors of the corporation will be elected for a term of one year. In all cases, each Director shall serve until such Director’s successor has been duly elected and qualified or until such Director’s earlier death, disqualification, resignation or removal.</w:t>
      </w:r>
    </w:p>
    <w:p>
      <w:pPr>
        <w:spacing w:after="0" w:line="181"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Election</w:t>
      </w:r>
      <w:r>
        <w:rPr>
          <w:rFonts w:ascii="Arial" w:cs="Arial" w:eastAsia="Arial" w:hAnsi="Arial"/>
          <w:sz w:val="17"/>
          <w:szCs w:val="17"/>
          <w:color w:val="auto"/>
        </w:rPr>
        <w:t>. Except as otherwise required by applicable law or by the Certificate of Incorporation, (a) at a meeting of Stockholders in which there is an uncontested election, each Director shall be elected by the affirmative vote of a majority of the votes cast (meaning the number of shares voted “for” a nominee must exceed the number of shares voted “against” such nominee, with “abstentions” and “broker non-votes” not counted as a vote cast either “for or “against” that Director’s election) by the holders of shares present in person or represented by proxy at the meeting and entitled to vote in the election, and (b) at a meeting of Stockholders in which there is a contested election, Directors shall be elected by a plurality of the votes cast (instead of by votes cast for or against a nominee) by the holders of shares present in person or represented by proxy at the meeting and entitled to vote in the election. As used in these By-laws, an “uncontested election” means an election in which the number of nominees for Director is not greater than the number to be elected and (ii) a “contested election” is an election in which the number of nominees (including nominees proposed by the Board and any Stockholder nominee properly submitted pursuant to these By-laws, including Section 2.11.4) exceeds the number of Directors to be elected, and any such proposed Stockholder nominee has not been withdrawn by the proponent Stockholder on or prior to the tenth day preceding the date the Corporation first mails or otherwise transmits its notice of meeting for such meeting to the Stockholders.</w:t>
      </w:r>
    </w:p>
    <w:p>
      <w:pPr>
        <w:spacing w:after="0" w:line="183" w:lineRule="exact"/>
        <w:rPr>
          <w:sz w:val="20"/>
          <w:szCs w:val="20"/>
          <w:color w:val="auto"/>
        </w:rPr>
      </w:pPr>
    </w:p>
    <w:p>
      <w:pPr>
        <w:ind w:right="100" w:firstLine="881"/>
        <w:spacing w:after="0" w:line="29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Unless otherwise provided by applicable law or the Certificate of Incorporation and subject to the rights of the holders of any series of Preferred Stock then outstanding, any newly created Directorships resulting from any increase in the authorized number of Directors or any vacancies in the Board resulting from death, resignation, retirement, disqualification, removal from office or other cause shall be filled solely by the affirmative vote of a majority of the remaining Directors then in office although less than a quorum, or by a sole remaining Director, and Directors so chosen shall hold office until the expiration of the term of office of the Director whom he or she has replaced and until his or her successor is duly elected and qualified or until such Director’s earlier death, disqualification, resignation or removal. No decrease in the number of Directors constituting the Board shall shorten the term of any incumbent Director. When any Director shall give notice of resignation effective at a future date, the Board may fill such vacancy to take effect when such resignation shall become effective in accordance with the General Corporation Law.</w:t>
      </w:r>
    </w:p>
    <w:p>
      <w:pPr>
        <w:spacing w:after="0" w:line="166"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Resignation</w:t>
      </w:r>
      <w:r>
        <w:rPr>
          <w:rFonts w:ascii="Arial" w:cs="Arial" w:eastAsia="Arial" w:hAnsi="Arial"/>
          <w:sz w:val="16"/>
          <w:szCs w:val="16"/>
          <w:color w:val="auto"/>
        </w:rPr>
        <w:t>. Any Director may resign at any time upon notice given in writing or by electronic transmission to the Corporation. In an uncontested election of Directors, any incumbent nominee for Director who does not receive the affirmative vote of a majority of the votes cast in such Director’s election shall promptly tender to the Board his or her resignation after such election. The Board (without the participation of the Director tendering such resignation), giving due consideration to the best interests of the Corporation and its stockholders, shall evaluate the relevant facts and circumstances, and shall make a decision within a reasonable time period thereafter as to whether to accept the tendered resignation. If the Board rejects such tendered resignation, the Board will publicly disclose its reasons for doing so. Except as set forth above, any resignation shall take effect at the time therein specified, and, unless otherwise specified in such resignation, the acceptance of such resignation shall not be necessary to make it effective.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1" w:name="page12"/>
    <w:bookmarkEnd w:id="11"/>
    <w:p>
      <w:pPr>
        <w:jc w:val="both"/>
        <w:ind w:firstLine="881"/>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Removal</w:t>
      </w:r>
      <w:r>
        <w:rPr>
          <w:rFonts w:ascii="Arial" w:cs="Arial" w:eastAsia="Arial" w:hAnsi="Arial"/>
          <w:sz w:val="18"/>
          <w:szCs w:val="18"/>
          <w:color w:val="auto"/>
        </w:rPr>
        <w:t>. Except for Preferred Stock Directors, any Director, or the Entire Board, may be removed from office at any time, but only for cause and only by the affirmative vote of at least 66-2/3% of the total voting power of the outstanding shares of stock of the Corporation entitled to vote generally in the election of Directors, voting together as a single class.</w:t>
      </w:r>
    </w:p>
    <w:p>
      <w:pPr>
        <w:spacing w:after="0" w:line="181" w:lineRule="exact"/>
        <w:rPr>
          <w:sz w:val="20"/>
          <w:szCs w:val="20"/>
          <w:color w:val="auto"/>
        </w:rPr>
      </w:pPr>
    </w:p>
    <w:p>
      <w:pPr>
        <w:ind w:right="40" w:firstLine="881"/>
        <w:spacing w:after="0" w:line="291"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Compensation</w:t>
      </w:r>
      <w:r>
        <w:rPr>
          <w:rFonts w:ascii="Arial" w:cs="Arial" w:eastAsia="Arial" w:hAnsi="Arial"/>
          <w:sz w:val="16"/>
          <w:szCs w:val="16"/>
          <w:color w:val="auto"/>
        </w:rPr>
        <w:t>.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3.7 shall preclude any Director from serving the Corporation or its subsidiaries in any other capacity and receiving proper compensation therefor.</w:t>
      </w:r>
    </w:p>
    <w:p>
      <w:pPr>
        <w:spacing w:after="0" w:line="167" w:lineRule="exact"/>
        <w:rPr>
          <w:sz w:val="20"/>
          <w:szCs w:val="20"/>
          <w:color w:val="auto"/>
        </w:rPr>
      </w:pPr>
    </w:p>
    <w:p>
      <w:pPr>
        <w:jc w:val="both"/>
        <w:ind w:right="180" w:firstLine="881"/>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may be held without notice at such times and at such places within or without the State of Delaware as shall from time to time be determined by the Board.</w:t>
      </w:r>
    </w:p>
    <w:p>
      <w:pPr>
        <w:spacing w:after="0" w:line="170" w:lineRule="exact"/>
        <w:rPr>
          <w:sz w:val="20"/>
          <w:szCs w:val="20"/>
          <w:color w:val="auto"/>
        </w:rPr>
      </w:pPr>
    </w:p>
    <w:p>
      <w:pPr>
        <w:jc w:val="both"/>
        <w:ind w:right="160" w:firstLine="881"/>
        <w:spacing w:after="0" w:line="31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may be held at any time or place, within or without the State of Delaware, whenever called by the Chairman, the Lead Director, the CEO, the President or the Secretary or by any two or more Directors then serving as Directors on at least 24 hours’ notice to each Director given by one of the means specified in Section 3.12 hereof other than by mail, or on at least three days’ notice if given by mail.</w:t>
      </w:r>
    </w:p>
    <w:p>
      <w:pPr>
        <w:spacing w:after="0" w:line="147" w:lineRule="exact"/>
        <w:rPr>
          <w:sz w:val="20"/>
          <w:szCs w:val="20"/>
          <w:color w:val="auto"/>
        </w:rPr>
      </w:pPr>
    </w:p>
    <w:p>
      <w:pPr>
        <w:jc w:val="both"/>
        <w:ind w:right="160" w:firstLine="881"/>
        <w:spacing w:after="0" w:line="286"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Telephone Meetings</w:t>
      </w:r>
      <w:r>
        <w:rPr>
          <w:rFonts w:ascii="Arial" w:cs="Arial" w:eastAsia="Arial" w:hAnsi="Arial"/>
          <w:sz w:val="17"/>
          <w:szCs w:val="17"/>
          <w:color w:val="auto"/>
        </w:rPr>
        <w:t>. Directors or members of any committee designated by the Board may participate in a meeting of the Board or of such committee by means of conference telephone or other communications equipment by means of which all persons participating in the meeting can hear each other, and participation in a meeting pursuant to this Section 3.10 shall constitute presence in person at such meeting.</w:t>
      </w:r>
    </w:p>
    <w:p>
      <w:pPr>
        <w:spacing w:after="0" w:line="166" w:lineRule="exact"/>
        <w:rPr>
          <w:sz w:val="20"/>
          <w:szCs w:val="20"/>
          <w:color w:val="auto"/>
        </w:rPr>
      </w:pPr>
    </w:p>
    <w:p>
      <w:pPr>
        <w:ind w:right="220" w:firstLine="881"/>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Adjourned Meetings</w:t>
      </w:r>
      <w:r>
        <w:rPr>
          <w:rFonts w:ascii="Arial" w:cs="Arial" w:eastAsia="Arial" w:hAnsi="Arial"/>
          <w:sz w:val="18"/>
          <w:szCs w:val="18"/>
          <w:color w:val="auto"/>
        </w:rPr>
        <w:t>. A majority of the Directors present at any meeting of the Board, including an adjourned meeting, whether or not a quorum is present, may adjourn such meeting to another time and place. At least 24 hours’ notice of any adjourned meeting of the Board shall be given to each Director whether or not present at the time of the adjournment, if such notice shall be given by one of the means specified in Section 3.12 hereof other than by mail, or at least three (3) days’ notice if by mail. Any business may be transacted at an adjourned meeting that might have been transacted at the meeting as originally called.</w:t>
      </w:r>
    </w:p>
    <w:p>
      <w:pPr>
        <w:spacing w:after="0" w:line="188"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Notice Procedure</w:t>
      </w:r>
      <w:r>
        <w:rPr>
          <w:rFonts w:ascii="Arial" w:cs="Arial" w:eastAsia="Arial" w:hAnsi="Arial"/>
          <w:sz w:val="18"/>
          <w:szCs w:val="18"/>
          <w:color w:val="auto"/>
        </w:rPr>
        <w:t>. Subject to Sections 3.9 and 3.10 hereof, whenever, under the provisions of applicable law, the Certificate of Incorporation or these By-laws, notice is required to be given to any Director, such notice shall be deemed given effectively if given in person or by telephone, by mail addressed to such Director at such Director’s address as it appears on the records of the Corporation, with postage thereon prepaid, or by telegram, telex, telecopy or other means of electronic transmission.</w:t>
      </w:r>
    </w:p>
    <w:p>
      <w:pPr>
        <w:spacing w:after="0" w:line="187" w:lineRule="exact"/>
        <w:rPr>
          <w:sz w:val="20"/>
          <w:szCs w:val="20"/>
          <w:color w:val="auto"/>
        </w:rPr>
      </w:pPr>
    </w:p>
    <w:p>
      <w:pPr>
        <w:ind w:right="60" w:firstLine="881"/>
        <w:spacing w:after="0" w:line="255"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the giving of any notice to Directors is required by applicable law, the Certificate of Incorporation or these By-laws, a waiver thereof, in writing, signed by the person or persons entitled to said notice, whether before or after the event as to which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Directors or a committee of Directors need be specified in any written waiver of notice unless so required by applicable law, the Certificate of Incorporation or these By-laws.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right="60" w:firstLine="881"/>
        <w:spacing w:after="0" w:line="25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the Chairman, or in the absence of the Chairman, the Lead Director, or, in the absence of the Lead Director, the CEO or, in the absence of the CEO, a chairman chosen by a majority of the Directors present, shall preside.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188"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Quorum of Directors</w:t>
      </w:r>
      <w:r>
        <w:rPr>
          <w:rFonts w:ascii="Arial" w:cs="Arial" w:eastAsia="Arial" w:hAnsi="Arial"/>
          <w:sz w:val="18"/>
          <w:szCs w:val="18"/>
          <w:color w:val="auto"/>
        </w:rPr>
        <w:t>. The presence in person of a majority of the Entire Board shall be necessary and sufficient to constitute a quorum for the transaction of business at any meeting of the Board.</w:t>
      </w:r>
    </w:p>
    <w:p>
      <w:pPr>
        <w:spacing w:after="0" w:line="170"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Action by Majority Vote</w:t>
      </w:r>
      <w:r>
        <w:rPr>
          <w:rFonts w:ascii="Arial" w:cs="Arial" w:eastAsia="Arial" w:hAnsi="Arial"/>
          <w:sz w:val="18"/>
          <w:szCs w:val="18"/>
          <w:color w:val="auto"/>
        </w:rPr>
        <w:t>. Except as otherwise expressly required by applicable law, the Certificate of Incorporation or these By-laws, the act of a majority of the Directors present at a meeting at which a quorum is present shall be the act of the Board.</w:t>
      </w:r>
    </w:p>
    <w:p>
      <w:pPr>
        <w:spacing w:after="0" w:line="170"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COMMITTEES OF THE BOARD</w:t>
      </w:r>
    </w:p>
    <w:p>
      <w:pPr>
        <w:spacing w:after="0" w:line="229" w:lineRule="exact"/>
        <w:rPr>
          <w:sz w:val="20"/>
          <w:szCs w:val="20"/>
          <w:color w:val="auto"/>
        </w:rPr>
      </w:pPr>
    </w:p>
    <w:p>
      <w:pPr>
        <w:ind w:right="20" w:firstLine="881"/>
        <w:spacing w:after="0" w:line="268" w:lineRule="auto"/>
        <w:rPr>
          <w:sz w:val="20"/>
          <w:szCs w:val="20"/>
          <w:color w:val="auto"/>
        </w:rPr>
      </w:pPr>
      <w:r>
        <w:rPr>
          <w:rFonts w:ascii="Arial" w:cs="Arial" w:eastAsia="Arial" w:hAnsi="Arial"/>
          <w:sz w:val="17"/>
          <w:szCs w:val="17"/>
          <w:color w:val="auto"/>
        </w:rPr>
        <w:t>The Board may, by resolution, designate one or more committees, each committee to consist of one or more of the Directors of the Corporation. The Board may 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(including Section 141(c)(2) of the General Corporation Law as it exists now or may hereafter be amended)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The Board may remove any Director from any committee at any time, with or without cause. Unless otherwise specified in the resolution of the Board designating a committee or the charter for such committee,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3 of these By-laws.</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Positions</w:t>
      </w:r>
      <w:r>
        <w:rPr>
          <w:rFonts w:ascii="Arial" w:cs="Arial" w:eastAsia="Arial" w:hAnsi="Arial"/>
          <w:sz w:val="18"/>
          <w:szCs w:val="18"/>
          <w:color w:val="auto"/>
        </w:rPr>
        <w:t>. The officers of the Corporation shall be a CEO, a President, a Secretary, a Treasurer and such other officers as the Board may elect, including a Chairman, a Chief Financial Officer, a Controller, one or more Vice Presidents and one or more Assistant Secretaries and Assistant Treasurers, who shall exercise such powers and perform such duties as shall be determined from time to time by resolution of the Board. The Board may elect one or more Vice Presidents as Executive Vice Presidents and may use descriptive words or phrases to designate the standing, seniority or areas of special competence of the Vice Presidents elected or appointed by it. Any number of offices may be held by the same person unless the Certificate of Incorporation or these By-laws otherwise provide.</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Election</w:t>
      </w:r>
      <w:r>
        <w:rPr>
          <w:rFonts w:ascii="Arial" w:cs="Arial" w:eastAsia="Arial" w:hAnsi="Arial"/>
          <w:sz w:val="16"/>
          <w:szCs w:val="16"/>
          <w:color w:val="auto"/>
        </w:rPr>
        <w:t>. The officers of the Corporation shall be elected by the Board at its annual meeting or at such other time or times as the Board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determine.</w:t>
      </w:r>
    </w:p>
    <w:p>
      <w:pPr>
        <w:spacing w:after="0" w:line="211" w:lineRule="exact"/>
        <w:rPr>
          <w:sz w:val="20"/>
          <w:szCs w:val="20"/>
          <w:color w:val="auto"/>
        </w:rPr>
      </w:pPr>
    </w:p>
    <w:p>
      <w:pPr>
        <w:ind w:right="60" w:firstLine="881"/>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of the Corporation shall hold office for the term for which he or she is elected and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Any vacancy occurring in any office of the Corporation may be filled by the Board. The removal of an officer, with or without cause, shall be without prejudice to the officer’s contract rights, if any. The election or appointment of an officer shall not of itself create contract rights.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Fidelity Bonds</w:t>
      </w:r>
      <w:r>
        <w:rPr>
          <w:rFonts w:ascii="Arial" w:cs="Arial" w:eastAsia="Arial" w:hAnsi="Arial"/>
          <w:sz w:val="18"/>
          <w:szCs w:val="18"/>
          <w:color w:val="auto"/>
        </w:rPr>
        <w:t>. The Corporation may secure the fidelity of any or all of its officers or agents by bond or otherwise.</w:t>
      </w:r>
    </w:p>
    <w:p>
      <w:pPr>
        <w:spacing w:after="0" w:line="225"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if one shall have been appointed, shall preside at all meetings of the Board and shall exercise such powers and perform such other duties as shall be determined from time to time by resolution of the Board.</w:t>
      </w:r>
    </w:p>
    <w:p>
      <w:pPr>
        <w:spacing w:after="0" w:line="17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CEO shall have general supervision over, and direction of, the business and affairs of the Corporation, subject, however, to the control of the Board and of any duly authorized committee of the Board. The CEO shall preside at all meetings of the Stockholders and at all meetings of the Board at which the Chairman (if there be one) is not present. The CEO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CEO shall perform all duties incident to the office of CEO of a corporation and such other duties as may from time to time be assigned to the CEO by resolution of the Board.</w:t>
      </w:r>
    </w:p>
    <w:p>
      <w:pPr>
        <w:spacing w:after="0" w:line="189"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have general supervision over, and direction of, the business and affairs of the Corporation, subject, however to the control of the CEO and the Board and any duly authorized committee of the Board. In the absence of the CEO, the President shall preside at meetings of the Stockholders and at meetings of the Board at which the Chairman (if there be one) and the Lead Director are not present. The President may sign and execute in the name of the Corporation deeds, mortgages, bonds, contracts and other instruments, except in cases in which the signing and execution thereof shall be expressly delegated by resolution of the Board or by these By-laws to the CEO or some other officer or agent of the Corporation, or shall be required by applicable law otherwise to be signed or executed and, in general, the President shall perform all duties incident to the office of President of a corporation and such other duties as may from time to time be assigned to the President by resolution of the Board.</w:t>
      </w:r>
    </w:p>
    <w:p>
      <w:pPr>
        <w:spacing w:after="0" w:line="167" w:lineRule="exact"/>
        <w:rPr>
          <w:sz w:val="20"/>
          <w:szCs w:val="20"/>
          <w:color w:val="auto"/>
        </w:rPr>
      </w:pPr>
    </w:p>
    <w:p>
      <w:pPr>
        <w:ind w:right="320" w:firstLine="88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have overall supervision of the financial operations of the Corporation and shall perform all duties incident to the office of chief financial officer of a corporation and such other duties as may from time to time be assigned the Chief Financial Officer by the CEO or resolution of the Board.</w:t>
      </w:r>
    </w:p>
    <w:p>
      <w:pPr>
        <w:spacing w:after="0" w:line="181"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Controller</w:t>
      </w:r>
      <w:r>
        <w:rPr>
          <w:rFonts w:ascii="Arial" w:cs="Arial" w:eastAsia="Arial" w:hAnsi="Arial"/>
          <w:sz w:val="18"/>
          <w:szCs w:val="18"/>
          <w:color w:val="auto"/>
        </w:rPr>
        <w:t>. The Controller shall be the chief accounting officer of the Corporation and shall perform all duties incident to the office of controller of a corporation and such other duties as may from time to time be assigned the Controller by the CEO, the Chief Financial Officer or resolution of the Board.</w:t>
      </w:r>
    </w:p>
    <w:p>
      <w:pPr>
        <w:spacing w:after="0" w:line="181" w:lineRule="exact"/>
        <w:rPr>
          <w:sz w:val="20"/>
          <w:szCs w:val="20"/>
          <w:color w:val="auto"/>
        </w:rPr>
      </w:pPr>
    </w:p>
    <w:p>
      <w:pPr>
        <w:ind w:right="180" w:firstLine="926"/>
        <w:spacing w:after="0" w:line="272"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Vice Presidents</w:t>
      </w:r>
      <w:r>
        <w:rPr>
          <w:rFonts w:ascii="Arial" w:cs="Arial" w:eastAsia="Arial" w:hAnsi="Arial"/>
          <w:sz w:val="17"/>
          <w:szCs w:val="17"/>
          <w:color w:val="auto"/>
        </w:rPr>
        <w:t>. The Vice-Presidents shall perform such duties as may from time to time be assigned to such Vice Presidents by the CEO, the President or resolution of the Board. At the request of the CEO or, in the absence of the CEO, the President, or, in the President’s absence, at the request of the Board, the Vice Presidents shall (in such order as may be designated by the Board, or, in the absence of any such designation, in order of seniority based on age) perform all of the duties of the President and, in so performing, shall have all the powers of, and be subject to all restrictions upon, the President. Any Vice President may sign and execute in the name of the Corporation deeds, mortgages, bonds, contracts or other instruments, except in cases in which the signing and execution thereof shall be expressly delegated by resolution of the Board or by these By-laws to some other officer or agent of the Corporation, or shall be required by applicable law otherwise to be signed or executed.</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right="80" w:firstLine="881"/>
        <w:spacing w:after="0" w:line="26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meetings of the Board and of the Stockholders and shall record all the proceedings of the meetings of the Board and of the Stockholders in a book to be kept for that purpose, and shall perform like duties for committees of the Board, when required. The Secretary shall give, or cause to be given, notice of all special meetings of the Board and of the Stockholders and shall perform such other duties as may be prescribed by the Board, the CEO or the President, under whose supervision the Secretary shall be. The Secretary shall have custody of the corporate seal of the Corporation, and the Secretary, or an Assistant Secretary, shall have authority to affix the same on any instrument requiring it, and when so affixed, the seal may be attested by the signature of the Secretary or by the signature of such Assistant Secretary. The Board may, by resolution, give general authority to any other officer to affix the seal of the Corporation and to attest the same by such officer’s signature. The Secretary or an Assistant Secretary may also attest all instruments signed by the CEO, the President or any Vice President. The Secretary shall have charge of all the books, records and papers of the Corporation relating to its organization and management, shall see that the reports, statements and other documents required by applicable law are properly kept and filed and, in general, shall perform all duties incident to the office of Secretary of a corporation and such other duties as may from time to time be assigned to the Secretary by resolution of the Board, by the CEO or by the President.</w:t>
      </w:r>
    </w:p>
    <w:p>
      <w:pPr>
        <w:spacing w:after="0" w:line="183"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CEO, the President or the Board, whenever the CEO,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resolution of the Board, by the CEO or by the President.</w:t>
      </w:r>
    </w:p>
    <w:p>
      <w:pPr>
        <w:spacing w:after="0" w:line="183"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Assistant Secretaries and Assistant Treasurers shall perform such duties as shall be assigned to them by the Secretary or by the Treasurer, respectively, or by resolution of the Board, by the CEO or by the President.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right="20" w:firstLine="881"/>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in connection with such Proceeding.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right="140" w:firstLine="881"/>
        <w:spacing w:after="0" w:line="27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Prepayment of Expenses</w:t>
      </w:r>
      <w:r>
        <w:rPr>
          <w:rFonts w:ascii="Arial" w:cs="Arial" w:eastAsia="Arial" w:hAnsi="Arial"/>
          <w:sz w:val="17"/>
          <w:szCs w:val="17"/>
          <w:color w:val="auto"/>
        </w:rPr>
        <w:t xml:space="preserve">. The Corporation shall pay the expenses (including attorneys’ fees) incurred by a Covered Person in defending any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spacing w:after="0" w:line="171"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Claims</w:t>
      </w:r>
      <w:r>
        <w:rPr>
          <w:rFonts w:ascii="Arial" w:cs="Arial" w:eastAsia="Arial" w:hAnsi="Arial"/>
          <w:sz w:val="17"/>
          <w:szCs w:val="17"/>
          <w:color w:val="auto"/>
        </w:rPr>
        <w:t>. If a claim for indemnification or advancement of expenses under this Article 6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71"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6 shall not be exclusive of any other rights that such Covered Person may have or hereafter acquire under any statute, provision of the Certificate of Incorporation, these By-laws, agreement, vote of stockholders or disinterested directors or otherwise.</w:t>
      </w:r>
    </w:p>
    <w:p>
      <w:pPr>
        <w:spacing w:after="0" w:line="181"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 Other Entity shall be reduced by any amount such Covered Person collects as indemnification or advancement of expenses from such Other Entity.</w:t>
      </w:r>
    </w:p>
    <w:p>
      <w:pPr>
        <w:spacing w:after="0" w:line="181" w:lineRule="exact"/>
        <w:rPr>
          <w:sz w:val="20"/>
          <w:szCs w:val="20"/>
          <w:color w:val="auto"/>
        </w:rPr>
      </w:pPr>
    </w:p>
    <w:p>
      <w:pPr>
        <w:ind w:right="660" w:firstLine="881"/>
        <w:spacing w:after="0" w:line="30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foregoing provisions of this Article 6 shall not adversely affect any right or protection hereunder of any Covered Person in respect of any act or omission occurring prior to the time of such repeal or modification.</w:t>
      </w:r>
    </w:p>
    <w:p>
      <w:pPr>
        <w:spacing w:after="0" w:line="147" w:lineRule="exact"/>
        <w:rPr>
          <w:sz w:val="20"/>
          <w:szCs w:val="20"/>
          <w:color w:val="auto"/>
        </w:rPr>
      </w:pPr>
    </w:p>
    <w:p>
      <w:pPr>
        <w:ind w:right="20" w:firstLine="881"/>
        <w:spacing w:after="0" w:line="34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Other Indemnification and Prepayment of Expenses</w:t>
      </w:r>
      <w:r>
        <w:rPr>
          <w:rFonts w:ascii="Arial" w:cs="Arial" w:eastAsia="Arial" w:hAnsi="Arial"/>
          <w:sz w:val="16"/>
          <w:szCs w:val="16"/>
          <w:color w:val="auto"/>
        </w:rPr>
        <w:t>. This Article 6 shall not limit the right of the Corporation, to the extent and in the manner permitted by law, to indemnify and to advance expenses to persons other than Covered Persons when and as authorized by appropriate corporate action.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firstLine="881"/>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Certificates Representing Shares</w:t>
      </w:r>
      <w:r>
        <w:rPr>
          <w:rFonts w:ascii="Arial" w:cs="Arial" w:eastAsia="Arial" w:hAnsi="Arial"/>
          <w:sz w:val="16"/>
          <w:szCs w:val="16"/>
          <w:color w:val="auto"/>
        </w:rPr>
        <w:t>. The shares of stock of the Corporation shall be represented by certificates, or shall be uncertificated shares that may be evidenced by a book-entry system maintained by the registrar of such stock, or a combination of both. To the extent that shares are represented by certificates, such certificates shall be in such form as shall be approved by the Board. Every holder of stock, upon such holder’s request therefor, shall be entitled to have a certificate signed by or in the name of the Corporation by the Chairman, if any, the CEO, the President or a Vice President and by the Secretary or an Assistant Secretary or the Treasurer or an Assistant Treasurer, certifying the number of shares owned by such Stockholder in the Corporation. Any or all of the signatures upon a certificate may be facsimiles. In case any officer, transfer agent or registrar who has signed or whose facsimile signature has been placed upon any certificate shall have ceased to be such officer, transfer agent or registrar before such certificate is issued, such certificate may be issued by the Corporation with the same effect as if such person were such officer, transfer agent or registrar at the date of issue.</w:t>
      </w:r>
    </w:p>
    <w:p>
      <w:pPr>
        <w:spacing w:after="0" w:line="166"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ind w:right="80" w:firstLine="881"/>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87"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187" w:lineRule="exact"/>
        <w:rPr>
          <w:sz w:val="20"/>
          <w:szCs w:val="20"/>
          <w:color w:val="auto"/>
        </w:rPr>
      </w:pPr>
    </w:p>
    <w:p>
      <w:pPr>
        <w:ind w:right="40" w:firstLine="881"/>
        <w:spacing w:after="0" w:line="308"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resolution of the Board.</w:t>
      </w:r>
    </w:p>
    <w:p>
      <w:pPr>
        <w:spacing w:after="0" w:line="225"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provisions of the Certificate of Incorporation, these By-laws may be altered, amended or repealed and new By-laws may be adopted either (i) by the Board or (ii) by the affirmative vote of at least 66-2/3% of the voting power of shares of stock present in person or represented by proxy and entitled to vote thereon. The power of the Board to alter, amend or repeal By-laws or to adopt new By-laws shall not divest or limit the power of Stockholders to alter, amend or repeal By-laws or to adopt new By-laws.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9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25"/>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Roman"/>
      <w:start w:val="3"/>
    </w:lvl>
  </w:abstractNum>
  <w:abstractNum w:abstractNumId="4">
    <w:nsid w:val="507ED7AB"/>
    <w:multiLevelType w:val="hybridMultilevel"/>
    <w:lvl w:ilvl="0">
      <w:lvlJc w:val="left"/>
      <w:lvlText w:val="(%1)"/>
      <w:numFmt w:val="lowerLetter"/>
      <w:start w:val="9"/>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2019-12-28T11:08:22Z</dcterms:created>
  <dcterms:modified xsi:type="dcterms:W3CDTF">2019-12-28T11:08:22Z</dcterms:modified>
</cp:coreProperties>
</file>