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457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4573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Miglani Nalin Kumar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02/23/2018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83"/>
        <w:spacing w:after="0"/>
        <w:rPr>
          <w:sz w:val="20"/>
          <w:szCs w:val="20"/>
          <w:color w:val="auto"/>
        </w:rPr>
      </w:pPr>
      <w:r>
        <w:rPr>
          <w:rFonts w:ascii="Arial" w:cs="Arial" w:eastAsia="Arial" w:hAnsi="Arial"/>
          <w:sz w:val="18"/>
          <w:szCs w:val="18"/>
          <w:color w:val="0000FF"/>
        </w:rPr>
        <w:t>EVP and Chief HR Officer</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10017</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2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60" w:type="dxa"/>
            <w:vAlign w:val="bottom"/>
          </w:tcPr>
          <w:p>
            <w:pPr>
              <w:ind w:left="1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32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32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1,787</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6,944</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02/23/2018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683</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60.89</w:t>
            </w:r>
            <w:r>
              <w:rPr>
                <w:rFonts w:ascii="Arial" w:cs="Arial" w:eastAsia="Arial" w:hAnsi="Arial"/>
                <w:sz w:val="22"/>
                <w:szCs w:val="22"/>
                <w:color w:val="008000"/>
                <w:w w:val="84"/>
                <w:vertAlign w:val="superscript"/>
              </w:rPr>
              <w:t>(2)</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6,261</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20" w:type="dxa"/>
            <w:vAlign w:val="bottom"/>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Pr>
          <w:p>
            <w:pPr>
              <w:spacing w:after="0"/>
              <w:rPr>
                <w:sz w:val="23"/>
                <w:szCs w:val="23"/>
                <w:color w:val="auto"/>
              </w:rPr>
            </w:pPr>
          </w:p>
        </w:tc>
        <w:tc>
          <w:tcPr>
            <w:tcW w:w="800" w:type="dxa"/>
            <w:vAlign w:val="bottom"/>
          </w:tcPr>
          <w:p>
            <w:pPr>
              <w:jc w:val="center"/>
              <w:ind w:right="296"/>
              <w:spacing w:after="0"/>
              <w:rPr>
                <w:sz w:val="20"/>
                <w:szCs w:val="20"/>
                <w:color w:val="auto"/>
              </w:rPr>
            </w:pPr>
            <w:r>
              <w:rPr>
                <w:rFonts w:ascii="Arial" w:cs="Arial" w:eastAsia="Arial" w:hAnsi="Arial"/>
                <w:sz w:val="14"/>
                <w:szCs w:val="14"/>
                <w:color w:val="0000FF"/>
              </w:rPr>
              <w:t>M</w:t>
            </w:r>
          </w:p>
        </w:tc>
        <w:tc>
          <w:tcPr>
            <w:tcW w:w="760" w:type="dxa"/>
            <w:vAlign w:val="bottom"/>
          </w:tcPr>
          <w:p>
            <w:pPr>
              <w:jc w:val="center"/>
              <w:ind w:left="4"/>
              <w:spacing w:after="0"/>
              <w:rPr>
                <w:sz w:val="20"/>
                <w:szCs w:val="20"/>
                <w:color w:val="auto"/>
              </w:rPr>
            </w:pPr>
            <w:r>
              <w:rPr>
                <w:rFonts w:ascii="Arial" w:cs="Arial" w:eastAsia="Arial" w:hAnsi="Arial"/>
                <w:sz w:val="18"/>
                <w:szCs w:val="18"/>
                <w:color w:val="0000FF"/>
                <w:w w:val="88"/>
              </w:rPr>
              <w:t>1,500</w:t>
            </w:r>
          </w:p>
        </w:tc>
        <w:tc>
          <w:tcPr>
            <w:tcW w:w="560" w:type="dxa"/>
            <w:vAlign w:val="bottom"/>
          </w:tcPr>
          <w:p>
            <w:pPr>
              <w:ind w:left="280"/>
              <w:spacing w:after="0"/>
              <w:rPr>
                <w:sz w:val="20"/>
                <w:szCs w:val="20"/>
                <w:color w:val="auto"/>
              </w:rPr>
            </w:pPr>
            <w:r>
              <w:rPr>
                <w:rFonts w:ascii="Arial" w:cs="Arial" w:eastAsia="Arial" w:hAnsi="Arial"/>
                <w:sz w:val="18"/>
                <w:szCs w:val="18"/>
                <w:color w:val="0000FF"/>
              </w:rPr>
              <w:t>A</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1160" w:type="dxa"/>
            <w:vAlign w:val="bottom"/>
          </w:tcPr>
          <w:p>
            <w:pPr>
              <w:ind w:left="400"/>
              <w:spacing w:after="0"/>
              <w:rPr>
                <w:sz w:val="20"/>
                <w:szCs w:val="20"/>
                <w:color w:val="auto"/>
              </w:rPr>
            </w:pPr>
            <w:r>
              <w:rPr>
                <w:rFonts w:ascii="Arial" w:cs="Arial" w:eastAsia="Arial" w:hAnsi="Arial"/>
                <w:sz w:val="18"/>
                <w:szCs w:val="18"/>
                <w:color w:val="0000FF"/>
              </w:rPr>
              <w:t>7,761</w:t>
            </w:r>
          </w:p>
        </w:tc>
        <w:tc>
          <w:tcPr>
            <w:tcW w:w="980" w:type="dxa"/>
            <w:vAlign w:val="bottom"/>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w w:val="90"/>
              </w:rPr>
              <w:t>Common Stock, par value $0.001 per share</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02/24/2018</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6"/>
              <w:spacing w:after="0"/>
              <w:rPr>
                <w:sz w:val="20"/>
                <w:szCs w:val="20"/>
                <w:color w:val="auto"/>
              </w:rPr>
            </w:pPr>
            <w:r>
              <w:rPr>
                <w:rFonts w:ascii="Arial" w:cs="Arial" w:eastAsia="Arial" w:hAnsi="Arial"/>
                <w:sz w:val="14"/>
                <w:szCs w:val="14"/>
                <w:color w:val="0000FF"/>
                <w:w w:val="92"/>
              </w:rPr>
              <w:t>F</w:t>
            </w:r>
          </w:p>
        </w:tc>
        <w:tc>
          <w:tcPr>
            <w:tcW w:w="760" w:type="dxa"/>
            <w:vAlign w:val="bottom"/>
            <w:tcBorders>
              <w:bottom w:val="single" w:sz="8" w:color="2C2C2C"/>
            </w:tcBorders>
          </w:tcPr>
          <w:p>
            <w:pPr>
              <w:jc w:val="center"/>
              <w:ind w:left="4"/>
              <w:spacing w:after="0"/>
              <w:rPr>
                <w:sz w:val="20"/>
                <w:szCs w:val="20"/>
                <w:color w:val="auto"/>
              </w:rPr>
            </w:pPr>
            <w:r>
              <w:rPr>
                <w:rFonts w:ascii="Arial" w:cs="Arial" w:eastAsia="Arial" w:hAnsi="Arial"/>
                <w:sz w:val="18"/>
                <w:szCs w:val="18"/>
                <w:color w:val="0000FF"/>
                <w:w w:val="93"/>
              </w:rPr>
              <w:t>574</w:t>
            </w:r>
          </w:p>
        </w:tc>
        <w:tc>
          <w:tcPr>
            <w:tcW w:w="56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61.86</w:t>
            </w:r>
            <w:r>
              <w:rPr>
                <w:rFonts w:ascii="Arial" w:cs="Arial" w:eastAsia="Arial" w:hAnsi="Arial"/>
                <w:sz w:val="22"/>
                <w:szCs w:val="22"/>
                <w:color w:val="008000"/>
                <w:w w:val="84"/>
                <w:vertAlign w:val="superscript"/>
              </w:rPr>
              <w:t>(3)</w:t>
            </w:r>
          </w:p>
        </w:tc>
        <w:tc>
          <w:tcPr>
            <w:tcW w:w="116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7,187</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22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56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(4)</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(4)</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1,787</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02/23/2018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1,787</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5,363</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Common</w:t>
            </w: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(5)</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72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1,500</w:t>
            </w: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12"/>
                <w:szCs w:val="12"/>
                <w:color w:val="auto"/>
              </w:rPr>
            </w:pPr>
          </w:p>
        </w:tc>
        <w:tc>
          <w:tcPr>
            <w:tcW w:w="1140" w:type="dxa"/>
            <w:vAlign w:val="bottom"/>
          </w:tcPr>
          <w:p>
            <w:pPr>
              <w:jc w:val="right"/>
              <w:ind w:right="197"/>
              <w:spacing w:after="0" w:line="149" w:lineRule="exact"/>
              <w:rPr>
                <w:sz w:val="20"/>
                <w:szCs w:val="20"/>
                <w:color w:val="auto"/>
              </w:rPr>
            </w:pPr>
            <w:r>
              <w:rPr>
                <w:rFonts w:ascii="Arial" w:cs="Arial" w:eastAsia="Arial" w:hAnsi="Arial"/>
                <w:sz w:val="14"/>
                <w:szCs w:val="14"/>
                <w:color w:val="0000FF"/>
              </w:rPr>
              <w:t>02/24/2018</w:t>
            </w:r>
          </w:p>
        </w:tc>
        <w:tc>
          <w:tcPr>
            <w:tcW w:w="1140" w:type="dxa"/>
            <w:vAlign w:val="bottom"/>
          </w:tcPr>
          <w:p>
            <w:pPr>
              <w:spacing w:after="0"/>
              <w:rPr>
                <w:sz w:val="12"/>
                <w:szCs w:val="12"/>
                <w:color w:val="auto"/>
              </w:rPr>
            </w:pPr>
          </w:p>
        </w:tc>
        <w:tc>
          <w:tcPr>
            <w:tcW w:w="820" w:type="dxa"/>
            <w:vAlign w:val="bottom"/>
          </w:tcPr>
          <w:p>
            <w:pPr>
              <w:ind w:left="160"/>
              <w:spacing w:after="0" w:line="149" w:lineRule="exact"/>
              <w:rPr>
                <w:sz w:val="20"/>
                <w:szCs w:val="20"/>
                <w:color w:val="auto"/>
              </w:rPr>
            </w:pPr>
            <w:r>
              <w:rPr>
                <w:rFonts w:ascii="Arial" w:cs="Arial" w:eastAsia="Arial" w:hAnsi="Arial"/>
                <w:sz w:val="14"/>
                <w:szCs w:val="14"/>
                <w:color w:val="0000FF"/>
              </w:rPr>
              <w:t>M</w:t>
            </w:r>
          </w:p>
        </w:tc>
        <w:tc>
          <w:tcPr>
            <w:tcW w:w="780" w:type="dxa"/>
            <w:vAlign w:val="bottom"/>
          </w:tcPr>
          <w:p>
            <w:pPr>
              <w:ind w:left="400"/>
              <w:spacing w:after="0" w:line="149" w:lineRule="exact"/>
              <w:rPr>
                <w:sz w:val="20"/>
                <w:szCs w:val="20"/>
                <w:color w:val="auto"/>
              </w:rPr>
            </w:pPr>
            <w:r>
              <w:rPr>
                <w:rFonts w:ascii="Arial" w:cs="Arial" w:eastAsia="Arial" w:hAnsi="Arial"/>
                <w:sz w:val="14"/>
                <w:szCs w:val="14"/>
                <w:color w:val="0000FF"/>
              </w:rPr>
              <w:t>1,500</w:t>
            </w:r>
          </w:p>
        </w:tc>
        <w:tc>
          <w:tcPr>
            <w:tcW w:w="82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20" w:type="dxa"/>
            <w:vAlign w:val="bottom"/>
          </w:tcPr>
          <w:p>
            <w:pPr>
              <w:ind w:left="80"/>
              <w:spacing w:after="0" w:line="149" w:lineRule="exact"/>
              <w:rPr>
                <w:sz w:val="20"/>
                <w:szCs w:val="20"/>
                <w:color w:val="auto"/>
              </w:rPr>
            </w:pPr>
            <w:r>
              <w:rPr>
                <w:rFonts w:ascii="Arial" w:cs="Arial" w:eastAsia="Arial" w:hAnsi="Arial"/>
                <w:sz w:val="14"/>
                <w:szCs w:val="14"/>
                <w:color w:val="0000FF"/>
              </w:rPr>
              <w:t>par value</w:t>
            </w:r>
          </w:p>
        </w:tc>
        <w:tc>
          <w:tcPr>
            <w:tcW w:w="540" w:type="dxa"/>
            <w:vAlign w:val="bottom"/>
            <w:vMerge w:val="continue"/>
          </w:tcPr>
          <w:p>
            <w:pPr>
              <w:spacing w:after="0"/>
              <w:rPr>
                <w:sz w:val="12"/>
                <w:szCs w:val="12"/>
                <w:color w:val="auto"/>
              </w:rPr>
            </w:pP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80" w:type="dxa"/>
            <w:vAlign w:val="bottom"/>
          </w:tcPr>
          <w:p>
            <w:pPr>
              <w:ind w:left="340"/>
              <w:spacing w:after="0" w:line="149" w:lineRule="exact"/>
              <w:rPr>
                <w:sz w:val="20"/>
                <w:szCs w:val="20"/>
                <w:color w:val="auto"/>
              </w:rPr>
            </w:pPr>
            <w:r>
              <w:rPr>
                <w:rFonts w:ascii="Arial" w:cs="Arial" w:eastAsia="Arial" w:hAnsi="Arial"/>
                <w:sz w:val="14"/>
                <w:szCs w:val="14"/>
                <w:color w:val="0000FF"/>
              </w:rPr>
              <w:t>3,000</w:t>
            </w:r>
          </w:p>
        </w:tc>
        <w:tc>
          <w:tcPr>
            <w:tcW w:w="760" w:type="dxa"/>
            <w:vAlign w:val="bottom"/>
          </w:tcPr>
          <w:p>
            <w:pPr>
              <w:ind w:left="340"/>
              <w:spacing w:after="0" w:line="149" w:lineRule="exact"/>
              <w:rPr>
                <w:sz w:val="20"/>
                <w:szCs w:val="20"/>
                <w:color w:val="auto"/>
              </w:rPr>
            </w:pPr>
            <w:r>
              <w:rPr>
                <w:rFonts w:ascii="Arial" w:cs="Arial" w:eastAsia="Arial" w:hAnsi="Arial"/>
                <w:sz w:val="14"/>
                <w:szCs w:val="14"/>
                <w:color w:val="0000FF"/>
              </w:rPr>
              <w:t>D</w:t>
            </w: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20" w:type="dxa"/>
            <w:vAlign w:val="bottom"/>
          </w:tcPr>
          <w:p>
            <w:pPr>
              <w:ind w:left="140"/>
              <w:spacing w:after="0" w:line="149" w:lineRule="exact"/>
              <w:rPr>
                <w:sz w:val="20"/>
                <w:szCs w:val="20"/>
                <w:color w:val="auto"/>
              </w:rPr>
            </w:pPr>
            <w:r>
              <w:rPr>
                <w:rFonts w:ascii="Arial" w:cs="Arial" w:eastAsia="Arial" w:hAnsi="Arial"/>
                <w:sz w:val="14"/>
                <w:szCs w:val="14"/>
                <w:color w:val="0000FF"/>
              </w:rPr>
              <w:t>$0.001</w:t>
            </w:r>
          </w:p>
        </w:tc>
        <w:tc>
          <w:tcPr>
            <w:tcW w:w="5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4"/>
                <w:szCs w:val="14"/>
                <w:color w:val="0000FF"/>
              </w:rPr>
              <w:t>per share</w:t>
            </w: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Restricted stock units of ExlService Holdings, Inc. (the "Company") convert into common stock, par value $0.001 per share (the "Common Stock") on a one-for-one basis.</w:t>
      </w:r>
    </w:p>
    <w:p>
      <w:pPr>
        <w:spacing w:after="0" w:line="41"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23,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reporting person's restricted stock units reported in this report vested on February 24, 2018. Pursuant to the Company's 2015 Amendment and Restatement of the 2006 Omnibus Award Plan, pursuant to which such restricted stock units were granted, the closing price of the Common Stock on the Nasdaq Global Select Market on the preceding day is used for purposes of computing tax reporting and withholding.</w:t>
      </w:r>
    </w:p>
    <w:p>
      <w:pPr>
        <w:spacing w:after="0" w:line="30" w:lineRule="exact"/>
        <w:rPr>
          <w:rFonts w:ascii="Arial" w:cs="Arial" w:eastAsia="Arial" w:hAnsi="Arial"/>
          <w:sz w:val="14"/>
          <w:szCs w:val="14"/>
          <w:color w:val="008000"/>
        </w:rPr>
      </w:pPr>
    </w:p>
    <w:p>
      <w:pPr>
        <w:ind w:left="40" w:right="28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23, 2017, the reporting person was granted 7,150 restricted stock units, vesting in four annual installments beginning on the first anniversary of the grant date. 25 percent of the restricted stock units became vested on February 23, 2018, an additional 25 percent of the restricted stock units will vest on February 23, 2019, an additional 25 percent of the restricted stock units will vest on February 23, 2020, and the remaining balance of 1,789 shares of the restricted stock units will vest on February 23, 2021.</w:t>
      </w:r>
    </w:p>
    <w:p>
      <w:pPr>
        <w:spacing w:after="0" w:line="30"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24, 2016, the reporting person was granted 6,000 restricted stock units, vesting in four equal annual installments beginning on the first anniversary of the grant date. 25 percent of the restricted stock units became vested on February 24, 2017, an additional 25 percent of the restricted stock units became vested on February 24, 2018, an additional 25 percent of the restricted stock units will vest on February 24, 2019, and the remaining balance of 25 percent of the restricted stock units will vest on February 24, 2020.</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02/27/2018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83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27017"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2019-12-04T02:01:03Z</dcterms:created>
  <dcterms:modified xsi:type="dcterms:W3CDTF">2019-12-04T02:01:03Z</dcterms:modified>
</cp:coreProperties>
</file>