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51454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514540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34290"/>
                    </a:xfrm>
                    <a:prstGeom prst="rect">
                      <a:avLst/>
                    </a:prstGeom>
                    <a:noFill/>
                  </pic:spPr>
                </pic:pic>
              </a:graphicData>
            </a:graphic>
          </wp:anchor>
        </w:drawing>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27" w:lineRule="exact"/>
        <w:rPr>
          <w:sz w:val="24"/>
          <w:szCs w:val="24"/>
          <w:color w:val="auto"/>
        </w:rPr>
      </w:pPr>
    </w:p>
    <w:p>
      <w:pPr>
        <w:jc w:val="center"/>
        <w:ind w:right="2099"/>
        <w:spacing w:after="0"/>
        <w:rPr>
          <w:sz w:val="20"/>
          <w:szCs w:val="20"/>
          <w:color w:val="auto"/>
        </w:rPr>
      </w:pPr>
      <w:r>
        <w:rPr>
          <w:rFonts w:ascii="Arial" w:cs="Arial" w:eastAsia="Arial" w:hAnsi="Arial"/>
          <w:sz w:val="22"/>
          <w:szCs w:val="22"/>
          <w:b w:val="1"/>
          <w:bCs w:val="1"/>
          <w:color w:val="auto"/>
        </w:rPr>
        <w:t>FORM 8-K</w:t>
      </w:r>
    </w:p>
    <w:p>
      <w:pPr>
        <w:spacing w:after="0" w:line="246"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CURRENT REPORT PURSUANT</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TO SECTION 13 OR 15(D) OF THE</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240" w:lineRule="exact"/>
        <w:rPr>
          <w:sz w:val="24"/>
          <w:szCs w:val="24"/>
          <w:color w:val="auto"/>
        </w:rPr>
      </w:pPr>
    </w:p>
    <w:p>
      <w:pPr>
        <w:ind w:left="1780"/>
        <w:spacing w:after="0"/>
        <w:tabs>
          <w:tab w:leader="none" w:pos="53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b w:val="1"/>
          <w:bCs w:val="1"/>
          <w:color w:val="auto"/>
        </w:rPr>
        <w:t>April 1, 2009</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2280"/>
        <w:spacing w:after="0"/>
        <w:rPr>
          <w:sz w:val="20"/>
          <w:szCs w:val="20"/>
          <w:color w:val="auto"/>
        </w:rPr>
      </w:pPr>
      <w:r>
        <w:rPr>
          <w:rFonts w:ascii="Arial" w:cs="Arial" w:eastAsia="Arial" w:hAnsi="Arial"/>
          <w:sz w:val="24"/>
          <w:szCs w:val="24"/>
          <w:b w:val="1"/>
          <w:bCs w:val="1"/>
          <w:color w:val="auto"/>
        </w:rPr>
        <w:t>EXLSERVICE HOLDINGS, INC.</w:t>
      </w:r>
    </w:p>
    <w:p>
      <w:pPr>
        <w:spacing w:after="0" w:line="41" w:lineRule="exact"/>
        <w:rPr>
          <w:sz w:val="24"/>
          <w:szCs w:val="24"/>
          <w:color w:val="auto"/>
        </w:rPr>
      </w:pPr>
    </w:p>
    <w:p>
      <w:pPr>
        <w:ind w:left="22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4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(State or other jurisdiction of incorporation)</w:t>
      </w:r>
    </w:p>
    <w:p>
      <w:pPr>
        <w:spacing w:after="0" w:line="240" w:lineRule="exact"/>
        <w:rPr>
          <w:sz w:val="24"/>
          <w:szCs w:val="24"/>
          <w:color w:val="auto"/>
        </w:rPr>
      </w:pPr>
    </w:p>
    <w:tbl>
      <w:tblPr>
        <w:tblLayout w:type="fixed"/>
        <w:tblInd w:w="60" w:type="dxa"/>
        <w:tblCellMar>
          <w:top w:w="0" w:type="dxa"/>
          <w:left w:w="0" w:type="dxa"/>
          <w:bottom w:w="0" w:type="dxa"/>
          <w:right w:w="0" w:type="dxa"/>
        </w:tblCellMar>
      </w:tblPr>
      <w:tr>
        <w:trPr>
          <w:trHeight w:val="228"/>
        </w:trPr>
        <w:tc>
          <w:tcPr>
            <w:tcW w:w="4220" w:type="dxa"/>
            <w:vAlign w:val="bottom"/>
          </w:tcPr>
          <w:p>
            <w:pPr>
              <w:jc w:val="center"/>
              <w:ind w:left="12"/>
              <w:spacing w:after="0"/>
              <w:rPr>
                <w:sz w:val="20"/>
                <w:szCs w:val="20"/>
                <w:color w:val="auto"/>
              </w:rPr>
            </w:pPr>
            <w:r>
              <w:rPr>
                <w:rFonts w:ascii="Arial" w:cs="Arial" w:eastAsia="Arial" w:hAnsi="Arial"/>
                <w:sz w:val="18"/>
                <w:szCs w:val="18"/>
                <w:b w:val="1"/>
                <w:bCs w:val="1"/>
                <w:color w:val="auto"/>
                <w:w w:val="88"/>
              </w:rPr>
              <w:t>001-33089</w:t>
            </w:r>
          </w:p>
        </w:tc>
        <w:tc>
          <w:tcPr>
            <w:tcW w:w="3780" w:type="dxa"/>
            <w:vAlign w:val="bottom"/>
          </w:tcPr>
          <w:p>
            <w:pPr>
              <w:jc w:val="right"/>
              <w:ind w:right="1332"/>
              <w:spacing w:after="0"/>
              <w:rPr>
                <w:sz w:val="20"/>
                <w:szCs w:val="20"/>
                <w:color w:val="auto"/>
              </w:rPr>
            </w:pPr>
            <w:r>
              <w:rPr>
                <w:rFonts w:ascii="Arial" w:cs="Arial" w:eastAsia="Arial" w:hAnsi="Arial"/>
                <w:sz w:val="18"/>
                <w:szCs w:val="18"/>
                <w:b w:val="1"/>
                <w:bCs w:val="1"/>
                <w:color w:val="auto"/>
              </w:rPr>
              <w:t>82-0572194</w:t>
            </w:r>
          </w:p>
        </w:tc>
      </w:tr>
      <w:tr>
        <w:trPr>
          <w:trHeight w:val="97"/>
        </w:trPr>
        <w:tc>
          <w:tcPr>
            <w:tcW w:w="4220" w:type="dxa"/>
            <w:vAlign w:val="bottom"/>
            <w:tcBorders>
              <w:bottom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r>
      <w:tr>
        <w:trPr>
          <w:trHeight w:val="216"/>
        </w:trPr>
        <w:tc>
          <w:tcPr>
            <w:tcW w:w="4220" w:type="dxa"/>
            <w:vAlign w:val="bottom"/>
          </w:tcPr>
          <w:p>
            <w:pPr>
              <w:jc w:val="center"/>
              <w:spacing w:after="0"/>
              <w:rPr>
                <w:sz w:val="20"/>
                <w:szCs w:val="20"/>
                <w:color w:val="auto"/>
              </w:rPr>
            </w:pPr>
            <w:r>
              <w:rPr>
                <w:rFonts w:ascii="Arial" w:cs="Arial" w:eastAsia="Arial" w:hAnsi="Arial"/>
                <w:sz w:val="18"/>
                <w:szCs w:val="18"/>
                <w:color w:val="auto"/>
                <w:w w:val="90"/>
              </w:rPr>
              <w:t>(Commission File Number)</w:t>
            </w:r>
          </w:p>
        </w:tc>
        <w:tc>
          <w:tcPr>
            <w:tcW w:w="3780" w:type="dxa"/>
            <w:vAlign w:val="bottom"/>
          </w:tcPr>
          <w:p>
            <w:pPr>
              <w:jc w:val="center"/>
              <w:spacing w:after="0"/>
              <w:rPr>
                <w:sz w:val="20"/>
                <w:szCs w:val="20"/>
                <w:color w:val="auto"/>
              </w:rPr>
            </w:pPr>
            <w:r>
              <w:rPr>
                <w:rFonts w:ascii="Arial" w:cs="Arial" w:eastAsia="Arial" w:hAnsi="Arial"/>
                <w:sz w:val="18"/>
                <w:szCs w:val="18"/>
                <w:color w:val="auto"/>
                <w:w w:val="91"/>
              </w:rPr>
              <w:t>(I.R.S. Employer Identification No.)</w:t>
            </w:r>
          </w:p>
        </w:tc>
      </w:tr>
      <w:tr>
        <w:trPr>
          <w:trHeight w:val="628"/>
        </w:trPr>
        <w:tc>
          <w:tcPr>
            <w:tcW w:w="4220" w:type="dxa"/>
            <w:vAlign w:val="bottom"/>
          </w:tcPr>
          <w:p>
            <w:pPr>
              <w:jc w:val="center"/>
              <w:ind w:left="12"/>
              <w:spacing w:after="0"/>
              <w:rPr>
                <w:sz w:val="20"/>
                <w:szCs w:val="20"/>
                <w:color w:val="auto"/>
              </w:rPr>
            </w:pPr>
            <w:r>
              <w:rPr>
                <w:rFonts w:ascii="Arial" w:cs="Arial" w:eastAsia="Arial" w:hAnsi="Arial"/>
                <w:sz w:val="18"/>
                <w:szCs w:val="18"/>
                <w:b w:val="1"/>
                <w:bCs w:val="1"/>
                <w:color w:val="auto"/>
                <w:w w:val="88"/>
              </w:rPr>
              <w:t>350 Park Avenue</w:t>
            </w:r>
          </w:p>
        </w:tc>
        <w:tc>
          <w:tcPr>
            <w:tcW w:w="3780" w:type="dxa"/>
            <w:vAlign w:val="bottom"/>
          </w:tcPr>
          <w:p>
            <w:pPr>
              <w:spacing w:after="0"/>
              <w:rPr>
                <w:sz w:val="24"/>
                <w:szCs w:val="24"/>
                <w:color w:val="auto"/>
              </w:rPr>
            </w:pPr>
          </w:p>
        </w:tc>
      </w:tr>
      <w:tr>
        <w:trPr>
          <w:trHeight w:val="255"/>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New York</w:t>
            </w:r>
          </w:p>
        </w:tc>
        <w:tc>
          <w:tcPr>
            <w:tcW w:w="3780" w:type="dxa"/>
            <w:vAlign w:val="bottom"/>
          </w:tcPr>
          <w:p>
            <w:pPr>
              <w:jc w:val="right"/>
              <w:ind w:right="1532"/>
              <w:spacing w:after="0"/>
              <w:rPr>
                <w:sz w:val="20"/>
                <w:szCs w:val="20"/>
                <w:color w:val="auto"/>
              </w:rPr>
            </w:pPr>
            <w:r>
              <w:rPr>
                <w:rFonts w:ascii="Arial" w:cs="Arial" w:eastAsia="Arial" w:hAnsi="Arial"/>
                <w:sz w:val="18"/>
                <w:szCs w:val="18"/>
                <w:b w:val="1"/>
                <w:bCs w:val="1"/>
                <w:color w:val="auto"/>
              </w:rPr>
              <w:t>10022</w:t>
            </w:r>
          </w:p>
        </w:tc>
      </w:tr>
      <w:tr>
        <w:trPr>
          <w:trHeight w:val="97"/>
        </w:trPr>
        <w:tc>
          <w:tcPr>
            <w:tcW w:w="4220" w:type="dxa"/>
            <w:vAlign w:val="bottom"/>
            <w:tcBorders>
              <w:bottom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r>
      <w:tr>
        <w:trPr>
          <w:trHeight w:val="216"/>
        </w:trPr>
        <w:tc>
          <w:tcPr>
            <w:tcW w:w="4220" w:type="dxa"/>
            <w:vAlign w:val="bottom"/>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378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317" w:lineRule="exact"/>
        <w:rPr>
          <w:sz w:val="24"/>
          <w:szCs w:val="24"/>
          <w:color w:val="auto"/>
        </w:rPr>
      </w:pPr>
    </w:p>
    <w:p>
      <w:pPr>
        <w:jc w:val="center"/>
        <w:ind w:right="2239"/>
        <w:spacing w:after="0"/>
        <w:rPr>
          <w:sz w:val="20"/>
          <w:szCs w:val="20"/>
          <w:color w:val="auto"/>
        </w:rPr>
      </w:pPr>
      <w:r>
        <w:rPr>
          <w:rFonts w:ascii="Arial" w:cs="Arial" w:eastAsia="Arial" w:hAnsi="Arial"/>
          <w:sz w:val="18"/>
          <w:szCs w:val="18"/>
          <w:b w:val="1"/>
          <w:bCs w:val="1"/>
          <w:color w:val="auto"/>
        </w:rPr>
        <w:t>(212) 277-7100</w:t>
      </w:r>
    </w:p>
    <w:p>
      <w:pPr>
        <w:spacing w:after="0" w:line="21" w:lineRule="exact"/>
        <w:rPr>
          <w:sz w:val="24"/>
          <w:szCs w:val="24"/>
          <w:color w:val="auto"/>
        </w:rPr>
      </w:pPr>
    </w:p>
    <w:p>
      <w:pPr>
        <w:jc w:val="center"/>
        <w:ind w:right="2239"/>
        <w:spacing w:after="0"/>
        <w:rPr>
          <w:sz w:val="20"/>
          <w:szCs w:val="20"/>
          <w:color w:val="auto"/>
        </w:rPr>
      </w:pPr>
      <w:r>
        <w:rPr>
          <w:rFonts w:ascii="Arial" w:cs="Arial" w:eastAsia="Arial" w:hAnsi="Arial"/>
          <w:sz w:val="18"/>
          <w:szCs w:val="18"/>
          <w:color w:val="auto"/>
        </w:rPr>
        <w:t>(Registrant’s Telephone Number, Including Area Code)</w:t>
      </w:r>
    </w:p>
    <w:p>
      <w:pPr>
        <w:spacing w:after="0" w:line="240" w:lineRule="exact"/>
        <w:rPr>
          <w:sz w:val="24"/>
          <w:szCs w:val="24"/>
          <w:color w:val="auto"/>
        </w:rPr>
      </w:pPr>
    </w:p>
    <w:p>
      <w:pPr>
        <w:jc w:val="center"/>
        <w:ind w:right="22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2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46" w:lineRule="exact"/>
        <w:rPr>
          <w:sz w:val="24"/>
          <w:szCs w:val="24"/>
          <w:color w:val="auto"/>
        </w:rPr>
      </w:pPr>
    </w:p>
    <w:p>
      <w:pPr>
        <w:ind w:right="2119" w:firstLine="285"/>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6" w:lineRule="exact"/>
        <w:rPr>
          <w:sz w:val="24"/>
          <w:szCs w:val="24"/>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50" w:lineRule="exact"/>
        <w:rPr>
          <w:rFonts w:ascii="Arial" w:cs="Arial" w:eastAsia="Arial" w:hAnsi="Arial"/>
          <w:sz w:val="22"/>
          <w:szCs w:val="22"/>
          <w:color w:val="auto"/>
        </w:rPr>
      </w:pPr>
    </w:p>
    <w:p>
      <w:pPr>
        <w:ind w:left="660" w:right="3359" w:hanging="328"/>
        <w:spacing w:after="0" w:line="246" w:lineRule="auto"/>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57" w:lineRule="exact"/>
        <w:rPr>
          <w:rFonts w:ascii="Arial" w:cs="Arial" w:eastAsia="Arial" w:hAnsi="Arial"/>
          <w:sz w:val="22"/>
          <w:szCs w:val="22"/>
          <w:color w:val="auto"/>
        </w:rPr>
      </w:pPr>
    </w:p>
    <w:p>
      <w:pPr>
        <w:ind w:left="660" w:right="3379" w:hanging="328"/>
        <w:spacing w:after="0" w:line="246" w:lineRule="auto"/>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514540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51454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516699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003" w:right="1440"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231" w:lineRule="exact"/>
        <w:rPr>
          <w:sz w:val="20"/>
          <w:szCs w:val="20"/>
          <w:color w:val="auto"/>
        </w:rPr>
      </w:pPr>
    </w:p>
    <w:p>
      <w:pPr>
        <w:jc w:val="both"/>
        <w:ind w:right="2119" w:firstLine="1297"/>
        <w:spacing w:after="0" w:line="255" w:lineRule="auto"/>
        <w:rPr>
          <w:sz w:val="20"/>
          <w:szCs w:val="20"/>
          <w:color w:val="auto"/>
        </w:rPr>
      </w:pPr>
      <w:r>
        <w:rPr>
          <w:rFonts w:ascii="Arial" w:cs="Arial" w:eastAsia="Arial" w:hAnsi="Arial"/>
          <w:sz w:val="18"/>
          <w:szCs w:val="18"/>
          <w:color w:val="auto"/>
        </w:rPr>
        <w:t>On April 1, 2009, ExlService Holdings, Inc. (the “Company”) entered into an amendment (the “Amendment”) to its Framework Agreement (the “Agreement”) among the Company, exlservice.com (India) Private Limited and Centrica plc. The Amendment amends the Agreement to, among other things, extend the initial term of the Agreement until April 2012 and provide that Centrica may thereafter extend the term of the Agreement for two additional one-year periods.</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Company issued the press release attached as Exhibit 99.1 hereto in connection with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Amendment.</w:t>
      </w:r>
    </w:p>
    <w:p>
      <w:pPr>
        <w:spacing w:after="0" w:line="200" w:lineRule="exact"/>
        <w:rPr>
          <w:sz w:val="20"/>
          <w:szCs w:val="20"/>
          <w:color w:val="auto"/>
        </w:rPr>
      </w:pPr>
    </w:p>
    <w:p>
      <w:pPr>
        <w:spacing w:after="0" w:line="25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6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(d)</w:t>
            </w: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900" w:type="dxa"/>
            <w:vAlign w:val="bottom"/>
          </w:tcPr>
          <w:p>
            <w:pPr>
              <w:spacing w:after="0"/>
              <w:rPr>
                <w:sz w:val="19"/>
                <w:szCs w:val="19"/>
                <w:color w:val="auto"/>
              </w:rPr>
            </w:pPr>
          </w:p>
        </w:tc>
      </w:tr>
      <w:tr>
        <w:trPr>
          <w:trHeight w:val="394"/>
        </w:trPr>
        <w:tc>
          <w:tcPr>
            <w:tcW w:w="86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5940" w:type="dxa"/>
            <w:vAlign w:val="bottom"/>
            <w:gridSpan w:val="3"/>
          </w:tcPr>
          <w:p>
            <w:pPr>
              <w:ind w:left="520"/>
              <w:spacing w:after="0"/>
              <w:rPr>
                <w:sz w:val="20"/>
                <w:szCs w:val="20"/>
                <w:color w:val="auto"/>
              </w:rPr>
            </w:pPr>
            <w:r>
              <w:rPr>
                <w:rFonts w:ascii="Arial" w:cs="Arial" w:eastAsia="Arial" w:hAnsi="Arial"/>
                <w:sz w:val="18"/>
                <w:szCs w:val="18"/>
                <w:color w:val="auto"/>
              </w:rPr>
              <w:t>Exhibit</w:t>
            </w:r>
          </w:p>
        </w:tc>
      </w:tr>
      <w:tr>
        <w:trPr>
          <w:trHeight w:val="20"/>
        </w:trPr>
        <w:tc>
          <w:tcPr>
            <w:tcW w:w="8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235"/>
        </w:trPr>
        <w:tc>
          <w:tcPr>
            <w:tcW w:w="1660" w:type="dxa"/>
            <w:vAlign w:val="bottom"/>
            <w:gridSpan w:val="2"/>
          </w:tcPr>
          <w:p>
            <w:pPr>
              <w:jc w:val="right"/>
              <w:ind w:right="412"/>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0"/>
                <w:szCs w:val="20"/>
                <w:color w:val="auto"/>
              </w:rPr>
            </w:pPr>
          </w:p>
        </w:tc>
        <w:tc>
          <w:tcPr>
            <w:tcW w:w="5940" w:type="dxa"/>
            <w:vAlign w:val="bottom"/>
            <w:gridSpan w:val="3"/>
          </w:tcPr>
          <w:p>
            <w:pPr>
              <w:ind w:left="520"/>
              <w:spacing w:after="0"/>
              <w:rPr>
                <w:sz w:val="20"/>
                <w:szCs w:val="20"/>
                <w:color w:val="auto"/>
              </w:rPr>
            </w:pPr>
            <w:r>
              <w:rPr>
                <w:rFonts w:ascii="Arial" w:cs="Arial" w:eastAsia="Arial" w:hAnsi="Arial"/>
                <w:sz w:val="18"/>
                <w:szCs w:val="18"/>
                <w:color w:val="auto"/>
              </w:rPr>
              <w:t>Press Release dated April 7, 2009</w:t>
            </w:r>
          </w:p>
        </w:tc>
      </w:tr>
      <w:tr>
        <w:trPr>
          <w:trHeight w:val="1646"/>
        </w:trPr>
        <w:tc>
          <w:tcPr>
            <w:tcW w:w="8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4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2" w:name="page3"/>
    <w:bookmarkEnd w:id="2"/>
    <w:p>
      <w:pPr>
        <w:ind w:left="350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119" w:firstLine="1297"/>
        <w:spacing w:after="0" w:line="332"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on Form 8-K to be signed on its behalf by the undersigned, thereunto duly authorized.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900" w:type="dxa"/>
            <w:vAlign w:val="bottom"/>
          </w:tcPr>
          <w:p>
            <w:pPr>
              <w:spacing w:after="0"/>
              <w:rPr>
                <w:sz w:val="19"/>
                <w:szCs w:val="19"/>
                <w:color w:val="auto"/>
              </w:rPr>
            </w:pPr>
          </w:p>
        </w:tc>
        <w:tc>
          <w:tcPr>
            <w:tcW w:w="5220" w:type="dxa"/>
            <w:vAlign w:val="bottom"/>
            <w:gridSpan w:val="2"/>
          </w:tcPr>
          <w:p>
            <w:pPr>
              <w:ind w:left="1460"/>
              <w:spacing w:after="0"/>
              <w:rPr>
                <w:sz w:val="20"/>
                <w:szCs w:val="20"/>
                <w:color w:val="auto"/>
              </w:rPr>
            </w:pPr>
            <w:r>
              <w:rPr>
                <w:rFonts w:ascii="Arial" w:cs="Arial" w:eastAsia="Arial" w:hAnsi="Arial"/>
                <w:sz w:val="18"/>
                <w:szCs w:val="18"/>
                <w:b w:val="1"/>
                <w:bCs w:val="1"/>
                <w:color w:val="auto"/>
              </w:rPr>
              <w:t>EXLSERVICE HOLDINGS, INC.</w:t>
            </w:r>
          </w:p>
        </w:tc>
      </w:tr>
      <w:tr>
        <w:trPr>
          <w:trHeight w:val="222"/>
        </w:trPr>
        <w:tc>
          <w:tcPr>
            <w:tcW w:w="29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400" w:type="dxa"/>
            <w:vAlign w:val="bottom"/>
          </w:tcPr>
          <w:p>
            <w:pPr>
              <w:ind w:left="40"/>
              <w:spacing w:after="0"/>
              <w:rPr>
                <w:sz w:val="20"/>
                <w:szCs w:val="20"/>
                <w:color w:val="auto"/>
              </w:rPr>
            </w:pPr>
            <w:r>
              <w:rPr>
                <w:rFonts w:ascii="Arial" w:cs="Arial" w:eastAsia="Arial" w:hAnsi="Arial"/>
                <w:sz w:val="18"/>
                <w:szCs w:val="18"/>
                <w:color w:val="auto"/>
              </w:rPr>
              <w:t>(Registrant)</w:t>
            </w:r>
          </w:p>
        </w:tc>
      </w:tr>
      <w:tr>
        <w:trPr>
          <w:trHeight w:val="703"/>
        </w:trPr>
        <w:tc>
          <w:tcPr>
            <w:tcW w:w="2900" w:type="dxa"/>
            <w:vAlign w:val="bottom"/>
          </w:tcPr>
          <w:p>
            <w:pPr>
              <w:spacing w:after="0"/>
              <w:rPr>
                <w:sz w:val="20"/>
                <w:szCs w:val="20"/>
                <w:color w:val="auto"/>
              </w:rPr>
            </w:pPr>
            <w:r>
              <w:rPr>
                <w:rFonts w:ascii="Arial" w:cs="Arial" w:eastAsia="Arial" w:hAnsi="Arial"/>
                <w:sz w:val="18"/>
                <w:szCs w:val="18"/>
                <w:color w:val="auto"/>
              </w:rPr>
              <w:t>Date:  April 7, 2009</w:t>
            </w:r>
          </w:p>
        </w:tc>
        <w:tc>
          <w:tcPr>
            <w:tcW w:w="5220" w:type="dxa"/>
            <w:vAlign w:val="bottom"/>
            <w:gridSpan w:val="2"/>
          </w:tcPr>
          <w:p>
            <w:pPr>
              <w:ind w:left="1460"/>
              <w:spacing w:after="0"/>
              <w:rPr>
                <w:sz w:val="20"/>
                <w:szCs w:val="20"/>
                <w:color w:val="auto"/>
              </w:rPr>
            </w:pPr>
            <w:r>
              <w:rPr>
                <w:rFonts w:ascii="Arial" w:cs="Arial" w:eastAsia="Arial" w:hAnsi="Arial"/>
                <w:sz w:val="18"/>
                <w:szCs w:val="18"/>
                <w:color w:val="auto"/>
              </w:rPr>
              <w:t>By: /s/ Amit Shashank</w:t>
            </w:r>
          </w:p>
        </w:tc>
      </w:tr>
      <w:tr>
        <w:trPr>
          <w:trHeight w:val="202"/>
        </w:trPr>
        <w:tc>
          <w:tcPr>
            <w:tcW w:w="29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40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Name: Amit Shashank</w:t>
            </w:r>
          </w:p>
        </w:tc>
      </w:tr>
      <w:tr>
        <w:trPr>
          <w:trHeight w:val="216"/>
        </w:trPr>
        <w:tc>
          <w:tcPr>
            <w:tcW w:w="29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Title:  Vice President, General Counsel</w:t>
            </w:r>
          </w:p>
        </w:tc>
      </w:tr>
      <w:tr>
        <w:trPr>
          <w:trHeight w:val="222"/>
        </w:trPr>
        <w:tc>
          <w:tcPr>
            <w:tcW w:w="29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400" w:type="dxa"/>
            <w:vAlign w:val="bottom"/>
          </w:tcPr>
          <w:p>
            <w:pPr>
              <w:ind w:left="540"/>
              <w:spacing w:after="0"/>
              <w:rPr>
                <w:sz w:val="20"/>
                <w:szCs w:val="20"/>
                <w:color w:val="auto"/>
              </w:rPr>
            </w:pPr>
            <w:r>
              <w:rPr>
                <w:rFonts w:ascii="Arial" w:cs="Arial" w:eastAsia="Arial" w:hAnsi="Arial"/>
                <w:sz w:val="18"/>
                <w:szCs w:val="18"/>
                <w:color w:val="auto"/>
              </w:rPr>
              <w:t>and Corporate Secretary</w:t>
            </w:r>
          </w:p>
        </w:tc>
      </w:tr>
    </w:tbl>
    <w:p>
      <w:pPr>
        <w:sectPr>
          <w:pgSz w:w="11900" w:h="16838" w:orient="portrait"/>
          <w:cols w:equalWidth="0" w:num="1">
            <w:col w:w="10219"/>
          </w:cols>
          <w:pgMar w:left="240" w:top="611" w:right="1440" w:bottom="1440" w:gutter="0" w:footer="0" w:header="0"/>
        </w:sectPr>
      </w:pPr>
    </w:p>
    <w:bookmarkStart w:id="3" w:name="page4"/>
    <w:bookmarkEnd w:id="3"/>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252095</wp:posOffset>
            </wp:positionH>
            <wp:positionV relativeFrom="page">
              <wp:posOffset>88900</wp:posOffset>
            </wp:positionV>
            <wp:extent cx="617220" cy="7200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17220" cy="7200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FOR IMMEDIATE RELEASE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EXL Renews its Strategic Outsourcing Contract with Centrica</w:t>
      </w:r>
    </w:p>
    <w:p>
      <w:pPr>
        <w:spacing w:after="0" w:line="231"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color w:val="auto"/>
        </w:rPr>
        <w:t>NEW YORK / New Delhi, April 7, 2008 - ExlService Holdings, Inc. (“EXL”) (NASDAQ: EXLS), a leading provider of outsourcing and transformation services, today announced the renewal of its strategic outsourcing relationship with Centrica, PLC (British Gas).</w:t>
      </w:r>
    </w:p>
    <w:p>
      <w:pPr>
        <w:spacing w:after="0" w:line="194"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Under the terms of the renewed contract, EXL will continue to provide comprehensive services including complex back office processes, debt management and analytics for an additional three year term through April 2012 and Centrica will have the option to extend the contract for two annual extension periods.</w:t>
      </w:r>
    </w:p>
    <w:p>
      <w:pPr>
        <w:spacing w:after="0" w:line="174" w:lineRule="exact"/>
        <w:rPr>
          <w:sz w:val="20"/>
          <w:szCs w:val="20"/>
          <w:color w:val="auto"/>
        </w:rPr>
      </w:pPr>
    </w:p>
    <w:p>
      <w:pPr>
        <w:jc w:val="both"/>
        <w:ind w:right="2119"/>
        <w:spacing w:after="0" w:line="342" w:lineRule="auto"/>
        <w:rPr>
          <w:sz w:val="20"/>
          <w:szCs w:val="20"/>
          <w:color w:val="auto"/>
        </w:rPr>
      </w:pPr>
      <w:r>
        <w:rPr>
          <w:rFonts w:ascii="Arial" w:cs="Arial" w:eastAsia="Arial" w:hAnsi="Arial"/>
          <w:sz w:val="16"/>
          <w:szCs w:val="16"/>
          <w:color w:val="auto"/>
        </w:rPr>
        <w:t>Phil Bentley, Managing Director of British Gas, stated: “In 2005 we selected EXL to help us drive down costs in back office functions. EXL has delivered a high quality service so extending the contract makes sense as we continue to manage our costs and maintain our competitive advantage in the market place.”</w:t>
      </w:r>
    </w:p>
    <w:p>
      <w:pPr>
        <w:spacing w:after="0" w:line="186" w:lineRule="exact"/>
        <w:rPr>
          <w:sz w:val="20"/>
          <w:szCs w:val="20"/>
          <w:color w:val="auto"/>
        </w:rPr>
      </w:pPr>
    </w:p>
    <w:p>
      <w:pPr>
        <w:jc w:val="both"/>
        <w:ind w:right="2099"/>
        <w:spacing w:after="0" w:line="327" w:lineRule="auto"/>
        <w:rPr>
          <w:sz w:val="20"/>
          <w:szCs w:val="20"/>
          <w:color w:val="auto"/>
        </w:rPr>
      </w:pPr>
      <w:r>
        <w:rPr>
          <w:rFonts w:ascii="Arial" w:cs="Arial" w:eastAsia="Arial" w:hAnsi="Arial"/>
          <w:sz w:val="16"/>
          <w:szCs w:val="16"/>
          <w:color w:val="auto"/>
        </w:rPr>
        <w:t>Rohit Kapoor, President and CEO of EXL stated: “The renewal of our contract with Centrica clearly demonstrates that EXL’s relentless focus on operational excellence in the utilities domain remains valuable to our clients. Over the past year, we have continued to enhance and extend our leadership position in this domain and expect to continue to make investments in our service capabilities and operational infrastructure to benefit our key strategic clients like Centrica. We look forward to continuing to grow and scale our business to meet Centrica’s requirements in the years to come.”</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Centrica, PLC.</w:t>
      </w:r>
    </w:p>
    <w:p>
      <w:pPr>
        <w:spacing w:after="0" w:line="258" w:lineRule="exact"/>
        <w:rPr>
          <w:sz w:val="20"/>
          <w:szCs w:val="20"/>
          <w:color w:val="auto"/>
        </w:rPr>
      </w:pPr>
    </w:p>
    <w:p>
      <w:pPr>
        <w:jc w:val="both"/>
        <w:ind w:right="2099"/>
        <w:spacing w:after="0" w:line="287" w:lineRule="auto"/>
        <w:rPr>
          <w:sz w:val="20"/>
          <w:szCs w:val="20"/>
          <w:color w:val="auto"/>
        </w:rPr>
      </w:pPr>
      <w:r>
        <w:rPr>
          <w:rFonts w:ascii="Arial" w:cs="Arial" w:eastAsia="Arial" w:hAnsi="Arial"/>
          <w:sz w:val="18"/>
          <w:szCs w:val="18"/>
          <w:color w:val="auto"/>
        </w:rPr>
        <w:t xml:space="preserve">Centrica is a top 30 FTSE100 company with growing energy businesses in the UK, North America and Western Europe. Centrica secures and supplies gas and electricity for millions of homes and businesses and offers a distinctive range of home energy solutions and low carbon products and services. For more information, visit </w:t>
      </w:r>
      <w:r>
        <w:rPr>
          <w:rFonts w:ascii="Arial" w:cs="Arial" w:eastAsia="Arial" w:hAnsi="Arial"/>
          <w:sz w:val="18"/>
          <w:szCs w:val="18"/>
          <w:u w:val="single" w:color="auto"/>
          <w:color w:val="0000FF"/>
        </w:rPr>
        <w:t>www.centrica.com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137" w:lineRule="exact"/>
        <w:rPr>
          <w:sz w:val="20"/>
          <w:szCs w:val="20"/>
          <w:color w:val="auto"/>
        </w:rPr>
      </w:pPr>
    </w:p>
    <w:p>
      <w:pPr>
        <w:jc w:val="both"/>
        <w:ind w:right="2119"/>
        <w:spacing w:after="0" w:line="284" w:lineRule="auto"/>
        <w:rPr>
          <w:sz w:val="20"/>
          <w:szCs w:val="20"/>
          <w:color w:val="auto"/>
        </w:rPr>
      </w:pPr>
      <w:r>
        <w:rPr>
          <w:rFonts w:ascii="Arial" w:cs="Arial" w:eastAsia="Arial" w:hAnsi="Arial"/>
          <w:sz w:val="18"/>
          <w:szCs w:val="18"/>
          <w:color w:val="auto"/>
        </w:rPr>
        <w:t xml:space="preserve">ExlService Holdings, Inc. (Nasdaq: </w:t>
      </w:r>
      <w:r>
        <w:rPr>
          <w:rFonts w:ascii="Arial" w:cs="Arial" w:eastAsia="Arial" w:hAnsi="Arial"/>
          <w:sz w:val="18"/>
          <w:szCs w:val="18"/>
          <w:u w:val="single" w:color="auto"/>
          <w:color w:val="0000FF"/>
        </w:rPr>
        <w:t>EXLS</w:t>
      </w:r>
      <w:r>
        <w:rPr>
          <w:rFonts w:ascii="Arial" w:cs="Arial" w:eastAsia="Arial" w:hAnsi="Arial"/>
          <w:sz w:val="18"/>
          <w:szCs w:val="18"/>
          <w:color w:val="auto"/>
        </w:rPr>
        <w:t xml:space="preserve"> - </w:t>
      </w:r>
      <w:r>
        <w:rPr>
          <w:rFonts w:ascii="Arial" w:cs="Arial" w:eastAsia="Arial" w:hAnsi="Arial"/>
          <w:sz w:val="18"/>
          <w:szCs w:val="18"/>
          <w:u w:val="single" w:color="auto"/>
          <w:color w:val="0000FF"/>
        </w:rPr>
        <w:t>News</w:t>
      </w:r>
      <w:r>
        <w:rPr>
          <w:rFonts w:ascii="Arial" w:cs="Arial" w:eastAsia="Arial" w:hAnsi="Arial"/>
          <w:sz w:val="18"/>
          <w:szCs w:val="18"/>
          <w:color w:val="auto"/>
        </w:rPr>
        <w:t xml:space="preserve">) is a leading provider of outsourcing and transformation services. EXL's outsourcing services include a full spectrum of business process outsourcing services from offshore delivery centers requiring ongoing process management skills. Transformation services enable continuous improvement of client processes by bringing together EXL's capabilities in reengineering including decision analytics, risk and financial management and operations and process excellence services. Headquartered in New York, EXL primarily serves the needs of Global 1000 companies in the insurance, utilities, financial services and transportation sectors. Find additional information about EXL at </w:t>
      </w:r>
      <w:r>
        <w:rPr>
          <w:rFonts w:ascii="Arial" w:cs="Arial" w:eastAsia="Arial" w:hAnsi="Arial"/>
          <w:sz w:val="18"/>
          <w:szCs w:val="18"/>
          <w:u w:val="single" w:color="auto"/>
          <w:color w:val="0000FF"/>
        </w:rPr>
        <w:t>www.exlservice.com</w:t>
      </w:r>
      <w:r>
        <w:rPr>
          <w:rFonts w:ascii="Arial" w:cs="Arial" w:eastAsia="Arial" w:hAnsi="Arial"/>
          <w:sz w:val="18"/>
          <w:szCs w:val="18"/>
          <w:color w:val="000000"/>
        </w:rPr>
        <w:t>.</w:t>
      </w:r>
    </w:p>
    <w:p>
      <w:pPr>
        <w:spacing w:after="0" w:line="200" w:lineRule="exact"/>
        <w:rPr>
          <w:sz w:val="20"/>
          <w:szCs w:val="20"/>
          <w:color w:val="auto"/>
        </w:rPr>
      </w:pPr>
    </w:p>
    <w:p>
      <w:pPr>
        <w:spacing w:after="0" w:line="29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1</w:t>
      </w:r>
    </w:p>
    <w:sectPr>
      <w:pgSz w:w="11900" w:h="16838" w:orient="portrait"/>
      <w:cols w:equalWidth="0" w:num="1">
        <w:col w:w="9999"/>
      </w:cols>
      <w:pgMar w:left="46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2019-12-10T23:28:06Z</dcterms:created>
  <dcterms:modified xsi:type="dcterms:W3CDTF">2019-12-10T23:28:06Z</dcterms:modified>
</cp:coreProperties>
</file>