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591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59117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Miglani Nalin Kumar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540"/>
        <w:spacing w:after="0" w:line="301" w:lineRule="auto"/>
        <w:rPr>
          <w:sz w:val="20"/>
          <w:szCs w:val="20"/>
          <w:color w:val="auto"/>
        </w:rPr>
      </w:pPr>
      <w:r>
        <w:rPr>
          <w:rFonts w:ascii="Arial" w:cs="Arial" w:eastAsia="Arial" w:hAnsi="Arial"/>
          <w:sz w:val="18"/>
          <w:szCs w:val="18"/>
          <w:color w:val="0000FF"/>
        </w:rPr>
        <w:t>C/O EXLSERVICE HOLDINGS INC 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12/04/2015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43"/>
        <w:spacing w:after="0"/>
        <w:rPr>
          <w:sz w:val="20"/>
          <w:szCs w:val="20"/>
          <w:color w:val="auto"/>
        </w:rPr>
      </w:pPr>
      <w:r>
        <w:rPr>
          <w:rFonts w:ascii="Arial" w:cs="Arial" w:eastAsia="Arial" w:hAnsi="Arial"/>
          <w:sz w:val="18"/>
          <w:szCs w:val="18"/>
          <w:color w:val="0000FF"/>
        </w:rPr>
        <w:t>EVP &amp; Chief HR Officer</w:t>
      </w:r>
    </w:p>
    <w:p>
      <w:pPr>
        <w:spacing w:after="0" w:line="448"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tbl>
      <w:tblPr>
        <w:tblLayout w:type="fixed"/>
        <w:tblInd w:w="0" w:type="dxa"/>
        <w:tblCellMar>
          <w:top w:w="0" w:type="dxa"/>
          <w:left w:w="0" w:type="dxa"/>
          <w:bottom w:w="0" w:type="dxa"/>
          <w:right w:w="0" w:type="dxa"/>
        </w:tblCellMar>
      </w:tblP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800" w:type="dxa"/>
            <w:vAlign w:val="bottom"/>
            <w:gridSpan w:val="7"/>
          </w:tcPr>
          <w:p>
            <w:pPr>
              <w:jc w:val="right"/>
              <w:ind w:right="154"/>
              <w:spacing w:after="0" w:line="104" w:lineRule="exact"/>
              <w:rPr>
                <w:sz w:val="20"/>
                <w:szCs w:val="20"/>
                <w:color w:val="auto"/>
              </w:rPr>
            </w:pPr>
            <w:r>
              <w:rPr>
                <w:rFonts w:ascii="Arial" w:cs="Arial" w:eastAsia="Arial" w:hAnsi="Arial"/>
                <w:sz w:val="12"/>
                <w:szCs w:val="12"/>
                <w:color w:val="auto"/>
              </w:rPr>
              <w:t>4. If Amendment, Date of Original Filed (Month/Day/Year)</w:t>
            </w:r>
          </w:p>
        </w:tc>
        <w:tc>
          <w:tcPr>
            <w:tcW w:w="3800" w:type="dxa"/>
            <w:vAlign w:val="bottom"/>
            <w:gridSpan w:val="10"/>
          </w:tcPr>
          <w:p>
            <w:pPr>
              <w:ind w:left="340"/>
              <w:spacing w:after="0" w:line="104"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gridSpan w:val="2"/>
          </w:tcPr>
          <w:p>
            <w:pPr>
              <w:ind w:left="340"/>
              <w:spacing w:after="0"/>
              <w:rPr>
                <w:sz w:val="20"/>
                <w:szCs w:val="20"/>
                <w:color w:val="auto"/>
              </w:rPr>
            </w:pPr>
            <w:r>
              <w:rPr>
                <w:rFonts w:ascii="Arial" w:cs="Arial" w:eastAsia="Arial" w:hAnsi="Arial"/>
                <w:sz w:val="14"/>
                <w:szCs w:val="14"/>
                <w:color w:val="auto"/>
              </w:rPr>
              <w:t>Line)</w:t>
            </w: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60" w:type="dxa"/>
            <w:vAlign w:val="bottom"/>
            <w:gridSpan w:val="9"/>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NEW YORK</w:t>
            </w: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NY</w:t>
            </w:r>
          </w:p>
        </w:tc>
        <w:tc>
          <w:tcPr>
            <w:tcW w:w="600" w:type="dxa"/>
            <w:vAlign w:val="bottom"/>
            <w:vMerge w:val="restart"/>
          </w:tcPr>
          <w:p>
            <w:pPr>
              <w:ind w:left="20"/>
              <w:spacing w:after="0"/>
              <w:rPr>
                <w:sz w:val="20"/>
                <w:szCs w:val="20"/>
                <w:color w:val="auto"/>
              </w:rPr>
            </w:pPr>
            <w:r>
              <w:rPr>
                <w:rFonts w:ascii="Arial" w:cs="Arial" w:eastAsia="Arial" w:hAnsi="Arial"/>
                <w:sz w:val="18"/>
                <w:szCs w:val="18"/>
                <w:color w:val="0000FF"/>
              </w:rPr>
              <w:t>10022</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60" w:type="dxa"/>
            <w:vAlign w:val="bottom"/>
            <w:gridSpan w:val="8"/>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restart"/>
          </w:tcPr>
          <w:p>
            <w:pPr>
              <w:ind w:left="16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6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60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4"/>
          </w:tcPr>
          <w:p>
            <w:pPr>
              <w:spacing w:after="0"/>
              <w:rPr>
                <w:sz w:val="11"/>
                <w:szCs w:val="11"/>
                <w:color w:val="auto"/>
              </w:rPr>
            </w:pPr>
          </w:p>
        </w:tc>
        <w:tc>
          <w:tcPr>
            <w:tcW w:w="1620" w:type="dxa"/>
            <w:vAlign w:val="bottom"/>
            <w:tcBorders>
              <w:bottom w:val="single" w:sz="8" w:color="2C2C2C"/>
            </w:tcBorders>
            <w:gridSpan w:val="4"/>
          </w:tcPr>
          <w:p>
            <w:pPr>
              <w:spacing w:after="0"/>
              <w:rPr>
                <w:sz w:val="11"/>
                <w:szCs w:val="11"/>
                <w:color w:val="auto"/>
              </w:rPr>
            </w:pPr>
          </w:p>
        </w:tc>
        <w:tc>
          <w:tcPr>
            <w:tcW w:w="2720" w:type="dxa"/>
            <w:vAlign w:val="bottom"/>
            <w:tcBorders>
              <w:bottom w:val="single" w:sz="8" w:color="2C2C2C"/>
            </w:tcBorders>
            <w:gridSpan w:val="4"/>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14"/>
          </w:tcPr>
          <w:p>
            <w:pPr>
              <w:ind w:left="8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600" w:type="dxa"/>
            <w:vAlign w:val="bottom"/>
          </w:tcPr>
          <w:p>
            <w:pPr>
              <w:spacing w:after="0"/>
              <w:rPr>
                <w:sz w:val="15"/>
                <w:szCs w:val="15"/>
                <w:color w:val="auto"/>
              </w:rPr>
            </w:pPr>
          </w:p>
        </w:tc>
        <w:tc>
          <w:tcPr>
            <w:tcW w:w="1200" w:type="dxa"/>
            <w:vAlign w:val="bottom"/>
            <w:gridSpan w:val="3"/>
          </w:tcPr>
          <w:p>
            <w:pPr>
              <w:ind w:left="1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6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20" w:type="dxa"/>
            <w:vAlign w:val="bottom"/>
            <w:tcBorders>
              <w:bottom w:val="single" w:sz="8" w:color="2C2C2C"/>
            </w:tcBorders>
            <w:gridSpan w:val="6"/>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gridSpan w:val="6"/>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gridSpan w:val="3"/>
          </w:tcPr>
          <w:p>
            <w:pPr>
              <w:ind w:left="200"/>
              <w:spacing w:after="0"/>
              <w:rPr>
                <w:sz w:val="20"/>
                <w:szCs w:val="20"/>
                <w:color w:val="auto"/>
              </w:rPr>
            </w:pPr>
            <w:r>
              <w:rPr>
                <w:rFonts w:ascii="Arial" w:cs="Arial" w:eastAsia="Arial" w:hAnsi="Arial"/>
                <w:sz w:val="18"/>
                <w:szCs w:val="18"/>
                <w:color w:val="0000FF"/>
              </w:rPr>
              <w:t>12/04/2015</w:t>
            </w: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57"/>
              <w:spacing w:after="0"/>
              <w:rPr>
                <w:sz w:val="20"/>
                <w:szCs w:val="20"/>
                <w:color w:val="auto"/>
              </w:rPr>
            </w:pPr>
            <w:r>
              <w:rPr>
                <w:rFonts w:ascii="Arial" w:cs="Arial" w:eastAsia="Arial" w:hAnsi="Arial"/>
                <w:sz w:val="14"/>
                <w:szCs w:val="14"/>
                <w:color w:val="0000FF"/>
              </w:rPr>
              <w:t>M</w:t>
            </w:r>
          </w:p>
        </w:tc>
        <w:tc>
          <w:tcPr>
            <w:tcW w:w="720" w:type="dxa"/>
            <w:vAlign w:val="bottom"/>
          </w:tcPr>
          <w:p>
            <w:pPr>
              <w:ind w:left="260"/>
              <w:spacing w:after="0"/>
              <w:rPr>
                <w:sz w:val="20"/>
                <w:szCs w:val="20"/>
                <w:color w:val="auto"/>
              </w:rPr>
            </w:pPr>
            <w:r>
              <w:rPr>
                <w:rFonts w:ascii="Arial" w:cs="Arial" w:eastAsia="Arial" w:hAnsi="Arial"/>
                <w:sz w:val="18"/>
                <w:szCs w:val="18"/>
                <w:color w:val="0000FF"/>
                <w:w w:val="97"/>
              </w:rPr>
              <w:t>2,000</w:t>
            </w:r>
          </w:p>
        </w:tc>
        <w:tc>
          <w:tcPr>
            <w:tcW w:w="700" w:type="dxa"/>
            <w:vAlign w:val="bottom"/>
          </w:tcPr>
          <w:p>
            <w:pPr>
              <w:jc w:val="right"/>
              <w:ind w:right="154"/>
              <w:spacing w:after="0"/>
              <w:rPr>
                <w:sz w:val="20"/>
                <w:szCs w:val="20"/>
                <w:color w:val="auto"/>
              </w:rPr>
            </w:pPr>
            <w:r>
              <w:rPr>
                <w:rFonts w:ascii="Arial" w:cs="Arial" w:eastAsia="Arial" w:hAnsi="Arial"/>
                <w:sz w:val="18"/>
                <w:szCs w:val="18"/>
                <w:color w:val="0000FF"/>
              </w:rPr>
              <w:t>A</w:t>
            </w:r>
          </w:p>
        </w:tc>
        <w:tc>
          <w:tcPr>
            <w:tcW w:w="540" w:type="dxa"/>
            <w:vAlign w:val="bottom"/>
          </w:tcPr>
          <w:p>
            <w:pPr>
              <w:jc w:val="right"/>
              <w:ind w:right="54"/>
              <w:spacing w:after="0"/>
              <w:rPr>
                <w:sz w:val="20"/>
                <w:szCs w:val="20"/>
                <w:color w:val="auto"/>
              </w:rPr>
            </w:pPr>
            <w:r>
              <w:rPr>
                <w:rFonts w:ascii="Arial" w:cs="Arial" w:eastAsia="Arial" w:hAnsi="Arial"/>
                <w:sz w:val="11"/>
                <w:szCs w:val="11"/>
                <w:color w:val="008000"/>
              </w:rPr>
              <w:t>(1)</w:t>
            </w:r>
          </w:p>
        </w:tc>
        <w:tc>
          <w:tcPr>
            <w:tcW w:w="200" w:type="dxa"/>
            <w:vAlign w:val="bottom"/>
          </w:tcPr>
          <w:p>
            <w:pPr>
              <w:spacing w:after="0"/>
              <w:rPr>
                <w:sz w:val="23"/>
                <w:szCs w:val="23"/>
                <w:color w:val="auto"/>
              </w:rPr>
            </w:pPr>
          </w:p>
        </w:tc>
        <w:tc>
          <w:tcPr>
            <w:tcW w:w="1220" w:type="dxa"/>
            <w:vAlign w:val="bottom"/>
            <w:gridSpan w:val="2"/>
          </w:tcPr>
          <w:p>
            <w:pPr>
              <w:ind w:left="400"/>
              <w:spacing w:after="0"/>
              <w:rPr>
                <w:sz w:val="20"/>
                <w:szCs w:val="20"/>
                <w:color w:val="auto"/>
              </w:rPr>
            </w:pPr>
            <w:r>
              <w:rPr>
                <w:rFonts w:ascii="Arial" w:cs="Arial" w:eastAsia="Arial" w:hAnsi="Arial"/>
                <w:sz w:val="18"/>
                <w:szCs w:val="18"/>
                <w:color w:val="0000FF"/>
              </w:rPr>
              <w:t>2,000</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gridSpan w:val="6"/>
          </w:tcPr>
          <w:p>
            <w:pPr>
              <w:spacing w:after="0"/>
              <w:rPr>
                <w:sz w:val="5"/>
                <w:szCs w:val="5"/>
                <w:color w:val="auto"/>
              </w:rPr>
            </w:pPr>
          </w:p>
        </w:tc>
        <w:tc>
          <w:tcPr>
            <w:tcW w:w="120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tcBorders>
              <w:bottom w:val="single" w:sz="8" w:color="2C2C2C"/>
            </w:tcBorders>
            <w:gridSpan w:val="3"/>
          </w:tcPr>
          <w:p>
            <w:pPr>
              <w:ind w:left="200"/>
              <w:spacing w:after="0"/>
              <w:rPr>
                <w:sz w:val="20"/>
                <w:szCs w:val="20"/>
                <w:color w:val="auto"/>
              </w:rPr>
            </w:pPr>
            <w:r>
              <w:rPr>
                <w:rFonts w:ascii="Arial" w:cs="Arial" w:eastAsia="Arial" w:hAnsi="Arial"/>
                <w:sz w:val="18"/>
                <w:szCs w:val="18"/>
                <w:color w:val="0000FF"/>
              </w:rPr>
              <w:t>12/04/2015</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7"/>
              <w:spacing w:after="0"/>
              <w:rPr>
                <w:sz w:val="20"/>
                <w:szCs w:val="20"/>
                <w:color w:val="auto"/>
              </w:rPr>
            </w:pPr>
            <w:r>
              <w:rPr>
                <w:rFonts w:ascii="Arial" w:cs="Arial" w:eastAsia="Arial" w:hAnsi="Arial"/>
                <w:sz w:val="14"/>
                <w:szCs w:val="14"/>
                <w:color w:val="0000FF"/>
                <w:w w:val="92"/>
              </w:rPr>
              <w:t>F</w:t>
            </w:r>
          </w:p>
        </w:tc>
        <w:tc>
          <w:tcPr>
            <w:tcW w:w="72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792</w:t>
            </w:r>
          </w:p>
        </w:tc>
        <w:tc>
          <w:tcPr>
            <w:tcW w:w="700" w:type="dxa"/>
            <w:vAlign w:val="bottom"/>
            <w:tcBorders>
              <w:bottom w:val="single" w:sz="8" w:color="2C2C2C"/>
            </w:tcBorders>
          </w:tcPr>
          <w:p>
            <w:pPr>
              <w:jc w:val="right"/>
              <w:ind w:right="154"/>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45.55</w:t>
            </w:r>
            <w:r>
              <w:rPr>
                <w:rFonts w:ascii="Arial" w:cs="Arial" w:eastAsia="Arial" w:hAnsi="Arial"/>
                <w:sz w:val="22"/>
                <w:szCs w:val="22"/>
                <w:color w:val="008000"/>
                <w:w w:val="87"/>
                <w:vertAlign w:val="superscript"/>
              </w:rPr>
              <w:t>(2)</w:t>
            </w:r>
          </w:p>
        </w:tc>
        <w:tc>
          <w:tcPr>
            <w:tcW w:w="122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1,208</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4"/>
          </w:tcPr>
          <w:p>
            <w:pPr>
              <w:jc w:val="center"/>
              <w:ind w:left="829"/>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220" w:type="dxa"/>
            <w:vAlign w:val="bottom"/>
            <w:gridSpan w:val="11"/>
          </w:tcPr>
          <w:p>
            <w:pPr>
              <w:ind w:left="1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5"/>
                <w:szCs w:val="15"/>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Restricted</w:t>
            </w:r>
          </w:p>
        </w:tc>
        <w:tc>
          <w:tcPr>
            <w:tcW w:w="66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720" w:type="dxa"/>
            <w:vAlign w:val="bottom"/>
            <w:vMerge w:val="restart"/>
          </w:tcPr>
          <w:p>
            <w:pPr>
              <w:ind w:left="260"/>
              <w:spacing w:after="0"/>
              <w:rPr>
                <w:sz w:val="20"/>
                <w:szCs w:val="20"/>
                <w:color w:val="auto"/>
              </w:rPr>
            </w:pPr>
            <w:r>
              <w:rPr>
                <w:rFonts w:ascii="Arial" w:cs="Arial" w:eastAsia="Arial" w:hAnsi="Arial"/>
                <w:sz w:val="11"/>
                <w:szCs w:val="11"/>
                <w:color w:val="008000"/>
              </w:rPr>
              <w:t>(3)</w:t>
            </w:r>
          </w:p>
        </w:tc>
        <w:tc>
          <w:tcPr>
            <w:tcW w:w="700" w:type="dxa"/>
            <w:vAlign w:val="bottom"/>
          </w:tcPr>
          <w:p>
            <w:pPr>
              <w:jc w:val="right"/>
              <w:ind w:right="154"/>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2,000</w:t>
            </w: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ind w:left="260"/>
              <w:spacing w:after="0" w:line="149" w:lineRule="exact"/>
              <w:rPr>
                <w:sz w:val="20"/>
                <w:szCs w:val="20"/>
                <w:color w:val="auto"/>
              </w:rPr>
            </w:pPr>
            <w:r>
              <w:rPr>
                <w:rFonts w:ascii="Arial" w:cs="Arial" w:eastAsia="Arial" w:hAnsi="Arial"/>
                <w:sz w:val="14"/>
                <w:szCs w:val="14"/>
                <w:color w:val="0000FF"/>
              </w:rPr>
              <w:t>12/04/2015</w:t>
            </w: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ind w:left="80"/>
              <w:spacing w:after="0" w:line="149"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12"/>
                <w:szCs w:val="12"/>
                <w:color w:val="auto"/>
              </w:rPr>
            </w:pPr>
          </w:p>
        </w:tc>
        <w:tc>
          <w:tcPr>
            <w:tcW w:w="820" w:type="dxa"/>
            <w:vAlign w:val="bottom"/>
          </w:tcPr>
          <w:p>
            <w:pPr>
              <w:ind w:left="400"/>
              <w:spacing w:after="0" w:line="149" w:lineRule="exact"/>
              <w:rPr>
                <w:sz w:val="20"/>
                <w:szCs w:val="20"/>
                <w:color w:val="auto"/>
              </w:rPr>
            </w:pPr>
            <w:r>
              <w:rPr>
                <w:rFonts w:ascii="Arial" w:cs="Arial" w:eastAsia="Arial" w:hAnsi="Arial"/>
                <w:sz w:val="14"/>
                <w:szCs w:val="14"/>
                <w:color w:val="0000FF"/>
              </w:rPr>
              <w:t>2,000</w:t>
            </w:r>
          </w:p>
        </w:tc>
        <w:tc>
          <w:tcPr>
            <w:tcW w:w="82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00" w:type="dxa"/>
            <w:vAlign w:val="bottom"/>
          </w:tcPr>
          <w:p>
            <w:pPr>
              <w:ind w:left="6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20"/>
              <w:spacing w:after="0" w:line="149" w:lineRule="exact"/>
              <w:rPr>
                <w:sz w:val="20"/>
                <w:szCs w:val="20"/>
                <w:color w:val="auto"/>
              </w:rPr>
            </w:pPr>
            <w:r>
              <w:rPr>
                <w:rFonts w:ascii="Arial" w:cs="Arial" w:eastAsia="Arial" w:hAnsi="Arial"/>
                <w:sz w:val="14"/>
                <w:szCs w:val="14"/>
                <w:color w:val="0000FF"/>
                <w:w w:val="88"/>
              </w:rPr>
              <w:t>18,000</w:t>
            </w:r>
          </w:p>
        </w:tc>
        <w:tc>
          <w:tcPr>
            <w:tcW w:w="280" w:type="dxa"/>
            <w:vAlign w:val="bottom"/>
          </w:tcPr>
          <w:p>
            <w:pPr>
              <w:spacing w:after="0"/>
              <w:rPr>
                <w:sz w:val="12"/>
                <w:szCs w:val="12"/>
                <w:color w:val="auto"/>
              </w:rPr>
            </w:pPr>
          </w:p>
        </w:tc>
        <w:tc>
          <w:tcPr>
            <w:tcW w:w="70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Units</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jc w:val="right"/>
              <w:ind w:right="134"/>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Restricted stock units of ExlService Holdings, Inc. (the "Company") convert into common stock, par value $0.001 per share (the "Common Stock") on a one-for-one basis.</w:t>
      </w:r>
    </w:p>
    <w:p>
      <w:pPr>
        <w:spacing w:after="0" w:line="41" w:lineRule="exact"/>
        <w:rPr>
          <w:rFonts w:ascii="Arial" w:cs="Arial" w:eastAsia="Arial" w:hAnsi="Arial"/>
          <w:sz w:val="14"/>
          <w:szCs w:val="14"/>
          <w:color w:val="008000"/>
        </w:rPr>
      </w:pPr>
    </w:p>
    <w:p>
      <w:pPr>
        <w:ind w:left="40" w:right="42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units reported in this report vested on December 4, 2015. Pursuant to the Company's 2006 Omnibus Award Plan, pursuant to which such restricted stock units were granted, the average of the high and low sale prices of the Common Stock on the Nasdaq Global Select Market on the preceding day is used for purposes of computing tax reporting and withholding.</w:t>
      </w:r>
    </w:p>
    <w:p>
      <w:pPr>
        <w:ind w:left="40" w:right="1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2,000 shares of restricted stock units became vested on December 4, 2015; an additional 4,000 shares of the restricted stock units will vest on December 4, 2016; an additional 6,000 shares of restricted stock units will vest on December 4, 2017; and the remaining balance of 8,000 shares of the restricted stock units will vest on December 4, 2018.</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12/08/2015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27017"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2019-12-08T11:55:00Z</dcterms:created>
  <dcterms:modified xsi:type="dcterms:W3CDTF">2019-12-08T11:55:00Z</dcterms:modified>
</cp:coreProperties>
</file>