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765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Nicolelli Maurizio</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60"/>
        <w:spacing w:after="0" w:line="327"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02/03/2022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57"/>
        <w:spacing w:after="0"/>
        <w:rPr>
          <w:sz w:val="20"/>
          <w:szCs w:val="20"/>
          <w:color w:val="auto"/>
        </w:rPr>
      </w:pPr>
      <w:r>
        <w:rPr>
          <w:rFonts w:ascii="Arial" w:cs="Arial" w:eastAsia="Arial" w:hAnsi="Arial"/>
          <w:sz w:val="16"/>
          <w:szCs w:val="16"/>
          <w:color w:val="0000FF"/>
        </w:rPr>
        <w:t>Executive Vice President &amp; CFO</w:t>
      </w:r>
    </w:p>
    <w:p>
      <w:pPr>
        <w:spacing w:after="0" w:line="448"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40" w:type="dxa"/>
            <w:vAlign w:val="bottom"/>
            <w:gridSpan w:val="6"/>
          </w:tcPr>
          <w:p>
            <w:pPr>
              <w:jc w:val="center"/>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80" w:type="dxa"/>
            <w:vAlign w:val="bottom"/>
            <w:gridSpan w:val="10"/>
          </w:tcPr>
          <w:p>
            <w:pPr>
              <w:ind w:left="34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0000FF"/>
              </w:rPr>
              <w:t>02/03/2022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34"/>
              <w:spacing w:after="0"/>
              <w:rPr>
                <w:sz w:val="20"/>
                <w:szCs w:val="20"/>
                <w:color w:val="auto"/>
              </w:rPr>
            </w:pPr>
            <w:r>
              <w:rPr>
                <w:rFonts w:ascii="Arial" w:cs="Arial" w:eastAsia="Arial" w:hAnsi="Arial"/>
                <w:sz w:val="17"/>
                <w:szCs w:val="17"/>
                <w:color w:val="0000FF"/>
              </w:rPr>
              <w:t>1,475</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4,685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0000FF"/>
              </w:rPr>
              <w:t>02/03/2022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491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121.95</w:t>
            </w:r>
            <w:r>
              <w:rPr>
                <w:rFonts w:ascii="Arial" w:cs="Arial" w:eastAsia="Arial" w:hAnsi="Arial"/>
                <w:sz w:val="21"/>
                <w:szCs w:val="21"/>
                <w:color w:val="008000"/>
                <w:w w:val="83"/>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4,194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1,475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02/03/2022</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Arial" w:cs="Arial" w:eastAsia="Arial" w:hAnsi="Arial"/>
                <w:sz w:val="13"/>
                <w:szCs w:val="13"/>
                <w:color w:val="0000FF"/>
              </w:rPr>
              <w:t>1,475</w:t>
            </w:r>
          </w:p>
        </w:tc>
        <w:tc>
          <w:tcPr>
            <w:tcW w:w="760" w:type="dxa"/>
            <w:vAlign w:val="bottom"/>
            <w:vMerge w:val="continue"/>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Arial" w:cs="Arial" w:eastAsia="Arial" w:hAnsi="Arial"/>
                <w:sz w:val="13"/>
                <w:szCs w:val="13"/>
                <w:color w:val="0000FF"/>
                <w:w w:val="98"/>
              </w:rPr>
              <w:t>02/03/2031</w:t>
            </w:r>
          </w:p>
        </w:tc>
        <w:tc>
          <w:tcPr>
            <w:tcW w:w="66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3" w:lineRule="exact"/>
              <w:rPr>
                <w:sz w:val="20"/>
                <w:szCs w:val="20"/>
                <w:color w:val="auto"/>
              </w:rPr>
            </w:pPr>
            <w:r>
              <w:rPr>
                <w:rFonts w:ascii="Arial" w:cs="Arial" w:eastAsia="Arial" w:hAnsi="Arial"/>
                <w:sz w:val="13"/>
                <w:szCs w:val="13"/>
                <w:color w:val="0000FF"/>
                <w:w w:val="92"/>
              </w:rPr>
              <w:t>2,949</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20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February 3,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ind w:left="40" w:right="3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3, 2020, the reporting person was granted 5,898 restricted stock units, vesting in four equal annual installments beginning on the first anniversary of the grant date. 25 percent of the restricted stock units became vested on February 3, 2021, an additional 25 percent of the restricted stock units became vested on February 3, 2022, an additional 25 percent of the restricted stock units will vest on February 3, 2023, and the remaining balance of 25 percent of the restricted stock units will vested on February 3, 2024</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02/07/2022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2022-02-07T17:25:21Z</dcterms:created>
  <dcterms:modified xsi:type="dcterms:W3CDTF">2022-02-07T17:25:21Z</dcterms:modified>
</cp:coreProperties>
</file>