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2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4246880</wp:posOffset>
            </wp:positionH>
            <wp:positionV relativeFrom="paragraph">
              <wp:posOffset>-7620</wp:posOffset>
            </wp:positionV>
            <wp:extent cx="90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61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220" w:type="dxa"/>
            <w:vAlign w:val="bottom"/>
          </w:tcPr>
          <w:p>
            <w:pPr>
              <w:jc w:val="center"/>
              <w:ind w:right="3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33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220" w:type="dxa"/>
            <w:vAlign w:val="bottom"/>
          </w:tcPr>
          <w:p>
            <w:pPr>
              <w:jc w:val="center"/>
              <w:ind w:right="333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2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22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220" w:type="dxa"/>
            <w:vAlign w:val="bottom"/>
          </w:tcPr>
          <w:p>
            <w:pPr>
              <w:jc w:val="center"/>
              <w:ind w:left="2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5">
            <w:col w:w="8640" w:space="160"/>
            <w:col w:w="260" w:space="100"/>
            <w:col w:w="160" w:space="180"/>
            <w:col w:w="220" w:space="80"/>
            <w:col w:w="1620"/>
          </w:cols>
          <w:pgMar w:left="240" w:top="230" w:right="239" w:bottom="1440" w:gutter="0" w:footer="0" w:header="0"/>
          <w:type w:val="continuous"/>
        </w:sectPr>
      </w:pPr>
    </w:p>
    <w:p>
      <w:pPr>
        <w:spacing w:after="0" w:line="37" w:lineRule="exact"/>
        <w:rPr>
          <w:sz w:val="24"/>
          <w:szCs w:val="24"/>
          <w:color w:val="auto"/>
        </w:rPr>
      </w:pPr>
    </w:p>
    <w:p>
      <w:pPr>
        <w:ind w:right="20" w:firstLine="456"/>
        <w:spacing w:after="0" w:line="277" w:lineRule="auto"/>
        <w:rPr>
          <w:sz w:val="20"/>
          <w:szCs w:val="20"/>
          <w:color w:val="auto"/>
        </w:rPr>
      </w:pPr>
      <w:r>
        <w:rPr>
          <w:rFonts w:ascii="Arial" w:cs="Arial" w:eastAsia="Arial" w:hAnsi="Arial"/>
          <w:sz w:val="18"/>
          <w:szCs w:val="18"/>
          <w:color w:val="auto"/>
        </w:rPr>
        <w:t>As of July 25, 2014, there were 32,767,199 shares of the registrant’s common stock outstanding (excluding 1,188,385 shares held in treasury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4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80" w:type="dxa"/>
            <w:vAlign w:val="bottom"/>
            <w:tcBorders>
              <w:bottom w:val="single" w:sz="8" w:color="0000EE"/>
            </w:tcBorders>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7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7"/>
          </w:tcPr>
          <w:p>
            <w:pPr>
              <w:spacing w:after="0" w:line="199"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2014 (Unaudited) and December 31, 2013</w:t>
              </w:r>
            </w:hyperlink>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Income (Unaudited) for the Three Months Ended and Six Months Ended June 30, 2014 and 2013</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Comprehensive Income (Unaudited) for the Three Months Ended and Six Months Ended June 30,</w:t>
              </w:r>
            </w:hyperlink>
          </w:p>
        </w:tc>
        <w:tc>
          <w:tcPr>
            <w:tcW w:w="7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2014 and 2013</w:t>
              </w:r>
            </w:hyperlink>
          </w:p>
        </w:tc>
        <w:tc>
          <w:tcPr>
            <w:tcW w:w="5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2014 and 2013</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16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50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554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818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6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1220" w:type="dxa"/>
            <w:vAlign w:val="bottom"/>
            <w:tcBorders>
              <w:top w:val="single" w:sz="8" w:color="0000EE"/>
            </w:tcBorders>
            <w:gridSpan w:val="5"/>
          </w:tcPr>
          <w:p>
            <w:pPr>
              <w:spacing w:after="0"/>
              <w:rPr>
                <w:sz w:val="24"/>
                <w:szCs w:val="24"/>
                <w:color w:val="auto"/>
              </w:rPr>
            </w:pPr>
          </w:p>
        </w:tc>
        <w:tc>
          <w:tcPr>
            <w:tcW w:w="74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1A.</w:t>
            </w:r>
          </w:p>
        </w:tc>
        <w:tc>
          <w:tcPr>
            <w:tcW w:w="99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99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62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64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20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Exhibits</w:t>
              </w:r>
            </w:hyperlink>
          </w:p>
        </w:tc>
        <w:tc>
          <w:tcPr>
            <w:tcW w:w="9360" w:type="dxa"/>
            <w:vAlign w:val="bottom"/>
            <w:gridSpan w:val="1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6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5"/>
        </w:trPr>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360" w:type="dxa"/>
            <w:vAlign w:val="bottom"/>
            <w:gridSpan w:val="13"/>
          </w:tcPr>
          <w:p>
            <w:pPr>
              <w:jc w:val="right"/>
              <w:ind w:right="1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rPr>
              <w:t>EXLSERVICE HOLDINGS, INC.</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2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2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160,937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73,721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272,862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252,627</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Arial" w:cs="Arial" w:eastAsia="Arial" w:hAnsi="Arial"/>
                <w:sz w:val="18"/>
                <w:szCs w:val="18"/>
                <w:color w:val="auto"/>
              </w:rPr>
              <w:t>Fixed assets, net</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87"/>
              </w:rPr>
              <w:t>Restricted cash</w:t>
            </w:r>
          </w:p>
        </w:tc>
        <w:tc>
          <w:tcPr>
            <w:tcW w:w="2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108,120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494,273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29,722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69,619</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14,385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liabilities</w:t>
            </w:r>
          </w:p>
        </w:tc>
        <w:tc>
          <w:tcPr>
            <w:tcW w:w="2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84,981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Arial" w:cs="Arial" w:eastAsia="Arial" w:hAnsi="Arial"/>
                <w:sz w:val="18"/>
                <w:szCs w:val="18"/>
                <w:color w:val="auto"/>
              </w:rPr>
              <w:t>Commitments and contingencies (See Note 15)</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33,922,584 shares issued and 32,734,199 shares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outstanding as of June 30, 2014 and 33,342,312 shares issued and 32,172,183 shares outstanding as of</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223,477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255,889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(45,007)</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434,393</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w w:val="99"/>
              </w:rPr>
              <w:t>Less: 1,188,385 shares as of June 30, 2014 and 1,170,129 shares as of December 31, 2013, held in treasury, at cost</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(25,101)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409,292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366,174</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494,273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73,930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156,181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income/(expense) :</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 provision / (benefit)</w:t>
            </w: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3,615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32,812,155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32,778,800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32,668,620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32,650,852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33,673,669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33,899,097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33,551,904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33,810,156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 June 30,</w:t>
            </w:r>
          </w:p>
        </w:tc>
        <w:tc>
          <w:tcPr>
            <w:tcW w:w="18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$ 18,910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Other comprehensive income/(loss):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060"/>
              <w:spacing w:after="0" w:line="201" w:lineRule="exact"/>
              <w:rPr>
                <w:sz w:val="20"/>
                <w:szCs w:val="20"/>
                <w:color w:val="auto"/>
              </w:rPr>
            </w:pPr>
            <w:r>
              <w:rPr>
                <w:rFonts w:ascii="Arial" w:cs="Arial" w:eastAsia="Arial" w:hAnsi="Arial"/>
                <w:sz w:val="18"/>
                <w:szCs w:val="18"/>
                <w:color w:val="auto"/>
                <w:w w:val="92"/>
              </w:rPr>
              <w:t>Unrealized income/(loss) on effective cash flow hedges, net of taxes $578, ($2,315),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$2,186 and ($1,689),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7,366</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(7,287)</w:t>
            </w:r>
          </w:p>
        </w:tc>
      </w:tr>
      <w:tr>
        <w:trPr>
          <w:trHeight w:val="216"/>
        </w:trPr>
        <w:tc>
          <w:tcPr>
            <w:tcW w:w="20" w:type="dxa"/>
            <w:vAlign w:val="bottom"/>
          </w:tcPr>
          <w:p>
            <w:pPr>
              <w:spacing w:after="0"/>
              <w:rPr>
                <w:sz w:val="18"/>
                <w:szCs w:val="18"/>
                <w:color w:val="auto"/>
              </w:rPr>
            </w:pPr>
          </w:p>
        </w:tc>
        <w:tc>
          <w:tcPr>
            <w:tcW w:w="7260" w:type="dxa"/>
            <w:vAlign w:val="bottom"/>
          </w:tcPr>
          <w:p>
            <w:pPr>
              <w:ind w:left="10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(15,297)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4,812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(13,606)</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60"/>
              <w:spacing w:after="0"/>
              <w:rPr>
                <w:sz w:val="20"/>
                <w:szCs w:val="20"/>
                <w:color w:val="auto"/>
              </w:rPr>
            </w:pPr>
            <w:r>
              <w:rPr>
                <w:rFonts w:ascii="Arial" w:cs="Arial" w:eastAsia="Arial" w:hAnsi="Arial"/>
                <w:sz w:val="18"/>
                <w:szCs w:val="18"/>
                <w:color w:val="auto"/>
                <w:w w:val="99"/>
              </w:rPr>
              <w:t>Realized loss on cash flow hedges, net of taxes $485, $361, $980 and $789</w:t>
            </w:r>
            <w:r>
              <w:rPr>
                <w:rFonts w:ascii="Arial" w:cs="Arial" w:eastAsia="Arial" w:hAnsi="Arial"/>
                <w:sz w:val="15"/>
                <w:szCs w:val="15"/>
                <w:color w:val="auto"/>
                <w:w w:val="99"/>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3,478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Retirement benefits, net of taxes $7, $9, $15 and $17, respectively</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Total other comprehensive income/(loss):</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(23,221)</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15,711</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$ 34,621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gain/(loss) in the unaudited consolidated statements of income. See Note 7 to the unaudited consolidated financial statements.</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9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18,910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18,998</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12,874</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gain/(loss)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(4,788)</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w:t>
            </w: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25,401</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(16,637)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(10,281)</w:t>
            </w: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(18,045)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(11,349)</w:t>
            </w: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w:t>
            </w: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148,065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103,037</w:t>
            </w: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160,937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114,569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utilizing operations management, analytics and technology. The Company’s clients are located principally in the U.S. and the U.K.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2013.</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March 2013, the Financial Accounting Standards Board (the “FASB”) issued Accounting Standards Update (“ASU”) No. 2013-05, </w:t>
      </w:r>
      <w:r>
        <w:rPr>
          <w:rFonts w:ascii="Arial" w:cs="Arial" w:eastAsia="Arial" w:hAnsi="Arial"/>
          <w:sz w:val="18"/>
          <w:szCs w:val="18"/>
          <w:i w:val="1"/>
          <w:iCs w:val="1"/>
          <w:color w:val="auto"/>
        </w:rPr>
        <w:t>“Parent’s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the Cumulative Translation Adjustment upon Derecognition of Certain subsidiaries or Groups of Assets within a Foreign Entity or of an Investment in a Foreign Entity” </w:t>
      </w:r>
      <w:r>
        <w:rPr>
          <w:rFonts w:ascii="Arial" w:cs="Arial" w:eastAsia="Arial" w:hAnsi="Arial"/>
          <w:sz w:val="18"/>
          <w:szCs w:val="18"/>
          <w:color w:val="auto"/>
        </w:rPr>
        <w:t>(“ASU 2013-05”). ASU 2013-05 applies to the release of the currency translation adjustment into net income when a parent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sells a part of all of its investment in a foreign entity or no longer holds a controlling financial interest in a subsidiary or group of assets that is a nonprofit activity or a business within a foreign entity. ASU 2013-05 became effective from January 1, 2014 and the new guidance did not have any material impact on the Company’s unaudited consolidated financial statements.</w:t>
      </w:r>
    </w:p>
    <w:p>
      <w:pPr>
        <w:spacing w:after="0" w:line="19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July 2013, the FASB issued ASU No. 2013-11, “</w:t>
      </w:r>
      <w:r>
        <w:rPr>
          <w:rFonts w:ascii="Arial" w:cs="Arial" w:eastAsia="Arial" w:hAnsi="Arial"/>
          <w:sz w:val="18"/>
          <w:szCs w:val="18"/>
          <w:i w:val="1"/>
          <w:iCs w:val="1"/>
          <w:color w:val="auto"/>
        </w:rPr>
        <w:t>Presentation of an Unrecognized Tax Benefit When a Net Operating Loss Carryforward, a Similar</w:t>
      </w:r>
      <w:r>
        <w:rPr>
          <w:rFonts w:ascii="Arial" w:cs="Arial" w:eastAsia="Arial" w:hAnsi="Arial"/>
          <w:sz w:val="18"/>
          <w:szCs w:val="18"/>
          <w:color w:val="auto"/>
        </w:rPr>
        <w:t xml:space="preserve"> </w:t>
      </w:r>
      <w:r>
        <w:rPr>
          <w:rFonts w:ascii="Arial" w:cs="Arial" w:eastAsia="Arial" w:hAnsi="Arial"/>
          <w:sz w:val="18"/>
          <w:szCs w:val="18"/>
          <w:i w:val="1"/>
          <w:iCs w:val="1"/>
          <w:color w:val="auto"/>
        </w:rPr>
        <w:t>Tax Loss, or a Tax Credit Carryforward Exists</w:t>
      </w:r>
      <w:r>
        <w:rPr>
          <w:rFonts w:ascii="Arial" w:cs="Arial" w:eastAsia="Arial" w:hAnsi="Arial"/>
          <w:sz w:val="18"/>
          <w:szCs w:val="18"/>
          <w:color w:val="auto"/>
        </w:rPr>
        <w:t>” (“ASU 2013-11”). The provisions of the rule require an unrecognized tax benefit to be presented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a 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ASU No. 2013-11 became effective from January 1, 2014 and the new guidance did not have any material impact on the Company’s unaudited consolidated financial statements.</w:t>
      </w:r>
    </w:p>
    <w:p>
      <w:pPr>
        <w:spacing w:after="0" w:line="19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The new standard is effective for reporting periods beginning after December 15, 2016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2017 using either one of two methods:(i)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impacts of adoption and the implementation approach to be used.</w:t>
      </w:r>
    </w:p>
    <w:p>
      <w:pPr>
        <w:spacing w:after="0" w:line="19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“Accounting for Share-Based Payments When the Terms of an Award Provide That a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 Could Be Achieved after the Requisite Service Period” </w:t>
      </w:r>
      <w:r>
        <w:rPr>
          <w:rFonts w:ascii="Arial" w:cs="Arial" w:eastAsia="Arial" w:hAnsi="Arial"/>
          <w:sz w:val="16"/>
          <w:szCs w:val="16"/>
          <w:color w:val="auto"/>
        </w:rPr>
        <w:t>(“ASU 2014-12”). The amendments in ASU 2014-12 require that a performance target in a</w:t>
      </w:r>
      <w:r>
        <w:rPr>
          <w:rFonts w:ascii="Arial" w:cs="Arial" w:eastAsia="Arial" w:hAnsi="Arial"/>
          <w:sz w:val="16"/>
          <w:szCs w:val="16"/>
          <w:i w:val="1"/>
          <w:iCs w:val="1"/>
          <w:color w:val="auto"/>
        </w:rPr>
        <w:t xml:space="preserve"> </w:t>
      </w:r>
      <w:r>
        <w:rPr>
          <w:rFonts w:ascii="Arial" w:cs="Arial" w:eastAsia="Arial" w:hAnsi="Arial"/>
          <w:sz w:val="16"/>
          <w:szCs w:val="16"/>
          <w:color w:val="auto"/>
        </w:rPr>
        <w:t>share based payment that affects vesting and that could be achieved after the requisite service period should be accounted for as a performance condition. The amendments in ASU 2014-12 are effective for annual periods beginning after December 15, 2015 and interim periods within those annual periods with early adoption permitted. Entities may apply the amendments in ASU 2014-12 either: (a) prospectively to all awards granted or modified after the effective date; or</w:t>
      </w:r>
    </w:p>
    <w:p>
      <w:pPr>
        <w:spacing w:after="0" w:line="2" w:lineRule="exact"/>
        <w:rPr>
          <w:sz w:val="20"/>
          <w:szCs w:val="20"/>
          <w:color w:val="auto"/>
        </w:rPr>
      </w:pPr>
    </w:p>
    <w:p>
      <w:pPr>
        <w:ind w:right="4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retrospectively to all awards with performance targets that are outstanding on or after the beginning of the first annual period presented as of the adoption date. ASU 2014-12 is not applicable to the Company’s current stock based compensation plan and it does not expect this guidance to have any impact on the consolidated financial statements.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$22,460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29,722</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$ 1,260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Retirement benefits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14,385</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Three months ended 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4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7,762</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9,236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18,910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18,998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32,812,155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32,778,800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32,668,620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32,650,852</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share based awards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1,120,297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883,284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1,159,304</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33,673,669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33,899,097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33,551,904</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33,810,156</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w w:val="94"/>
              </w:rPr>
              <w:t>Weighted average common shares considered anti-dilutive in computing</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179,450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150,902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192,669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253,810</w:t>
            </w:r>
          </w:p>
        </w:tc>
        <w:tc>
          <w:tcPr>
            <w:tcW w:w="100" w:type="dxa"/>
            <w:vAlign w:val="bottom"/>
          </w:tcPr>
          <w:p>
            <w:pPr>
              <w:spacing w:after="0"/>
              <w:rPr>
                <w:sz w:val="20"/>
                <w:szCs w:val="20"/>
                <w:color w:val="auto"/>
              </w:rPr>
            </w:pPr>
          </w:p>
        </w:tc>
      </w:tr>
      <w:tr>
        <w:trPr>
          <w:trHeight w:val="365"/>
        </w:trPr>
        <w:tc>
          <w:tcPr>
            <w:tcW w:w="544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provides various types of business process solutions utilizing operations management, analytics and technology. These services are provided in an integrated manner to clients in various industries. The chief operating decision maker (the “CODM”) generally reviews financial information at the consolidated statement of income level disaggregated by our two segments: Outsourcing Services and Transformation Services, but does not review any information except for revenues and cost of revenues for these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Revenues and cost of revenues for each of the three months ended June 30, 2014 and 2013 for the Company’s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Three months ended June 30, 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Three months ended June 30,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Outsourcing</w:t>
            </w:r>
          </w:p>
        </w:tc>
        <w:tc>
          <w:tcPr>
            <w:tcW w:w="140" w:type="dxa"/>
            <w:vAlign w:val="bottom"/>
          </w:tcPr>
          <w:p>
            <w:pPr>
              <w:spacing w:after="0"/>
              <w:rPr>
                <w:sz w:val="10"/>
                <w:szCs w:val="10"/>
                <w:color w:val="auto"/>
              </w:rPr>
            </w:pPr>
          </w:p>
        </w:tc>
        <w:tc>
          <w:tcPr>
            <w:tcW w:w="11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Transformation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3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Transformation</w:t>
            </w:r>
          </w:p>
        </w:tc>
        <w:tc>
          <w:tcPr>
            <w:tcW w:w="8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94,314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119,738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62,494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81,259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59,483</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14,447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31,820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42,078</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Revenues and cost of revenues for each of the six months ended June 30, 2014 and 2013 for the Company’s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jc w:val="right"/>
              <w:ind w:right="432"/>
              <w:spacing w:after="0"/>
              <w:rPr>
                <w:sz w:val="20"/>
                <w:szCs w:val="20"/>
                <w:color w:val="auto"/>
              </w:rPr>
            </w:pPr>
            <w:r>
              <w:rPr>
                <w:rFonts w:ascii="Arial" w:cs="Arial" w:eastAsia="Arial" w:hAnsi="Arial"/>
                <w:sz w:val="14"/>
                <w:szCs w:val="14"/>
                <w:b w:val="1"/>
                <w:bCs w:val="1"/>
                <w:color w:val="auto"/>
              </w:rPr>
              <w:t>Six months ended June 30, 2014</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jc w:val="right"/>
              <w:ind w:right="452"/>
              <w:spacing w:after="0"/>
              <w:rPr>
                <w:sz w:val="20"/>
                <w:szCs w:val="20"/>
                <w:color w:val="auto"/>
              </w:rPr>
            </w:pPr>
            <w:r>
              <w:rPr>
                <w:rFonts w:ascii="Arial" w:cs="Arial" w:eastAsia="Arial" w:hAnsi="Arial"/>
                <w:sz w:val="14"/>
                <w:szCs w:val="14"/>
                <w:b w:val="1"/>
                <w:bCs w:val="1"/>
                <w:color w:val="auto"/>
              </w:rPr>
              <w:t>Six months ended June 30,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Outsourcing</w:t>
            </w:r>
          </w:p>
        </w:tc>
        <w:tc>
          <w:tcPr>
            <w:tcW w:w="100" w:type="dxa"/>
            <w:vAlign w:val="bottom"/>
          </w:tcPr>
          <w:p>
            <w:pPr>
              <w:spacing w:after="0"/>
              <w:rPr>
                <w:sz w:val="10"/>
                <w:szCs w:val="10"/>
                <w:color w:val="auto"/>
              </w:rPr>
            </w:pPr>
          </w:p>
        </w:tc>
        <w:tc>
          <w:tcPr>
            <w:tcW w:w="114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Transformation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Outsourcing</w:t>
            </w:r>
          </w:p>
        </w:tc>
        <w:tc>
          <w:tcPr>
            <w:tcW w:w="1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Transformation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194,405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241,535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194,900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121,393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156,181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118,959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73,012</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75,941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$ 110,948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Balance at June 30, 2014</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91,335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hanging="452"/>
        <w:spacing w:after="0" w:line="312"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Relates to the sale of a business unit (acquired with the acquisition of Business Process Outsourcing, Inc.) during the year ended December 31, 2013. The net loss recognized from the sale of this business unit is $190 and is included under “other income / (expense)” in the consolidated statements of income for the year ended December 31, 2013 included in the Company’s Annual Report on Form 10-K for the fiscal year ended December 31,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June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$38,639</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(14,393)</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Leasehold benefits</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3,067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52,357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(21,210</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$38,614</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(12,201)</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Leasehold benefits</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2,986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20" w:type="dxa"/>
            <w:vAlign w:val="bottom"/>
            <w:gridSpan w:val="3"/>
          </w:tcPr>
          <w:p>
            <w:pPr>
              <w:jc w:val="right"/>
              <w:ind w:right="180"/>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52,251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40" w:type="dxa"/>
            <w:vAlign w:val="bottom"/>
            <w:vMerge w:val="restart"/>
          </w:tcPr>
          <w:p>
            <w:pPr>
              <w:jc w:val="right"/>
              <w:ind w:right="1070"/>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Amortization expense for the three months ended June 30, 2014 and 2013 was $1,489 and $1,596, respectively. Amortization expense for the six months ended June 30, 2014 and 2013 was $3,025 and $3,230,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lived trade names and trademarks as of June 30, 2014 and December 31, 2013.</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June 30,</w:t>
            </w:r>
          </w:p>
        </w:tc>
        <w:tc>
          <w:tcPr>
            <w:tcW w:w="1860" w:type="dxa"/>
            <w:vAlign w:val="bottom"/>
          </w:tcPr>
          <w:p>
            <w:pPr>
              <w:spacing w:after="0"/>
              <w:rPr>
                <w:sz w:val="14"/>
                <w:szCs w:val="14"/>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2016</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$5,554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2018</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$5,459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June 30, 2014 and December 31, 2013. The table excludes short-term investments, accounts receivable, accounts payable and accrued expenses for which fair values approximate their carrying amounts.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June 30, 2014</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111,478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111,478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3,580</w:t>
            </w:r>
          </w:p>
        </w:tc>
        <w:tc>
          <w:tcPr>
            <w:tcW w:w="200" w:type="dxa"/>
            <w:vAlign w:val="bottom"/>
          </w:tcPr>
          <w:p>
            <w:pPr>
              <w:spacing w:after="0"/>
              <w:rPr>
                <w:sz w:val="18"/>
                <w:szCs w:val="18"/>
                <w:color w:val="auto"/>
              </w:rPr>
            </w:pP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2013</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116,662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116,662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13,295</w:t>
            </w:r>
          </w:p>
        </w:tc>
        <w:tc>
          <w:tcPr>
            <w:tcW w:w="2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13,295</w:t>
            </w:r>
          </w:p>
        </w:tc>
        <w:tc>
          <w:tcPr>
            <w:tcW w:w="6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FASB Accounting Standard Codification(“ASC”)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815). The Company also uses derivatives consisting of foreign currency exchange contracts not designated as hedging instruments under ASC 815 to hedge intercompany balances and other monetary assets or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liabilities denominated in currencies other than the functional currencies of various subsidiaries of the Company (“fair value hedges”). The Company’s primary exchange rate exposure is with the Indian Rupee, the U.K. pound sterling and the Philippine peso. The Company also has exposure to the Czech koruna and other local currencies in which it operates.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had outstanding foreign exchange contracts totaling $298,135 and GBP 10,350 as of June 30, 2014 and $262,085 and GBP 10,973 as of December 31, 2013. The Company estimates that approximately $318 of net derivative losses included in accumulated other comprehensive loss (“AOCI”) could be reclassified into earnings within the next twelve months based on exchange rates prevailing as of June 30, 2014. As of June 30, 2014, the maximum outstanding term of derivative instruments that hedge forecasted transactions was forty-five months.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such significant amounts of gains or losses were reclassified from AOCI into earnings during the three and six months ended June 30, 2014 and 2013.</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Company’s unaudited consolidated financial statements: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June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80" w:type="dxa"/>
            <w:vAlign w:val="bottom"/>
            <w:gridSpan w:val="4"/>
          </w:tcPr>
          <w:p>
            <w:pPr>
              <w:jc w:val="center"/>
              <w:ind w:left="2556"/>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4"/>
          </w:tcPr>
          <w:p>
            <w:pPr>
              <w:jc w:val="center"/>
              <w:ind w:left="2556"/>
              <w:spacing w:after="0"/>
              <w:rPr>
                <w:sz w:val="20"/>
                <w:szCs w:val="20"/>
                <w:color w:val="auto"/>
              </w:rPr>
            </w:pPr>
            <w:r>
              <w:rPr>
                <w:rFonts w:ascii="Arial" w:cs="Arial" w:eastAsia="Arial" w:hAnsi="Arial"/>
                <w:sz w:val="18"/>
                <w:szCs w:val="18"/>
                <w:color w:val="auto"/>
                <w:w w:val="90"/>
              </w:rPr>
              <w:t>$2,002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4"/>
          </w:tcPr>
          <w:p>
            <w:pPr>
              <w:jc w:val="center"/>
              <w:ind w:left="2556"/>
              <w:spacing w:after="0"/>
              <w:rPr>
                <w:sz w:val="20"/>
                <w:szCs w:val="20"/>
                <w:color w:val="auto"/>
              </w:rPr>
            </w:pPr>
            <w:r>
              <w:rPr>
                <w:rFonts w:ascii="Arial" w:cs="Arial" w:eastAsia="Arial" w:hAnsi="Arial"/>
                <w:sz w:val="18"/>
                <w:szCs w:val="18"/>
                <w:color w:val="auto"/>
                <w:w w:val="90"/>
              </w:rPr>
              <w:t>$3,153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4"/>
          </w:tcPr>
          <w:p>
            <w:pPr>
              <w:jc w:val="center"/>
              <w:ind w:left="2556"/>
              <w:spacing w:after="0"/>
              <w:rPr>
                <w:sz w:val="20"/>
                <w:szCs w:val="20"/>
                <w:color w:val="auto"/>
              </w:rPr>
            </w:pPr>
            <w:r>
              <w:rPr>
                <w:rFonts w:ascii="Arial" w:cs="Arial" w:eastAsia="Arial" w:hAnsi="Arial"/>
                <w:sz w:val="18"/>
                <w:szCs w:val="18"/>
                <w:color w:val="auto"/>
                <w:w w:val="90"/>
              </w:rPr>
              <w:t>$2,320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4"/>
          </w:tcPr>
          <w:p>
            <w:pPr>
              <w:jc w:val="center"/>
              <w:ind w:left="2556"/>
              <w:spacing w:after="0"/>
              <w:rPr>
                <w:sz w:val="20"/>
                <w:szCs w:val="20"/>
                <w:color w:val="auto"/>
              </w:rPr>
            </w:pPr>
            <w:r>
              <w:rPr>
                <w:rFonts w:ascii="Arial" w:cs="Arial" w:eastAsia="Arial" w:hAnsi="Arial"/>
                <w:sz w:val="18"/>
                <w:szCs w:val="18"/>
                <w:color w:val="auto"/>
                <w:w w:val="90"/>
              </w:rPr>
              <w:t>$1,260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0"/>
                <w:szCs w:val="20"/>
                <w:color w:val="auto"/>
              </w:rPr>
            </w:pPr>
          </w:p>
        </w:tc>
      </w:tr>
      <w:tr>
        <w:trPr>
          <w:trHeight w:val="526"/>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80" w:type="dxa"/>
            <w:vAlign w:val="bottom"/>
            <w:gridSpan w:val="4"/>
          </w:tcPr>
          <w:p>
            <w:pPr>
              <w:ind w:left="246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   40</w:t>
            </w:r>
          </w:p>
        </w:tc>
        <w:tc>
          <w:tcPr>
            <w:tcW w:w="200" w:type="dxa"/>
            <w:vAlign w:val="bottom"/>
          </w:tcPr>
          <w:p>
            <w:pPr>
              <w:spacing w:after="0"/>
              <w:rPr>
                <w:sz w:val="20"/>
                <w:szCs w:val="20"/>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r>
      <w:tr>
        <w:trPr>
          <w:trHeight w:val="350"/>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80" w:type="dxa"/>
            <w:vAlign w:val="bottom"/>
          </w:tcPr>
          <w:p>
            <w:pPr>
              <w:jc w:val="right"/>
              <w:ind w:right="1896"/>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Location of Gain/(Loss)</w:t>
            </w:r>
          </w:p>
        </w:tc>
        <w:tc>
          <w:tcPr>
            <w:tcW w:w="162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2"/>
              </w:rPr>
              <w:t>Amount of Gain/(Loss)</w:t>
            </w:r>
          </w:p>
        </w:tc>
        <w:tc>
          <w:tcPr>
            <w:tcW w:w="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360" w:type="dxa"/>
            <w:vAlign w:val="bottom"/>
          </w:tcPr>
          <w:p>
            <w:pPr>
              <w:spacing w:after="0"/>
              <w:rPr>
                <w:sz w:val="12"/>
                <w:szCs w:val="12"/>
                <w:color w:val="auto"/>
              </w:rPr>
            </w:pPr>
          </w:p>
        </w:tc>
        <w:tc>
          <w:tcPr>
            <w:tcW w:w="11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500" w:type="dxa"/>
            <w:vAlign w:val="bottom"/>
            <w:gridSpan w:val="3"/>
          </w:tcPr>
          <w:p>
            <w:pPr>
              <w:jc w:val="center"/>
              <w:ind w:left="65"/>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3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5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 w:type="dxa"/>
            <w:vAlign w:val="bottom"/>
          </w:tcPr>
          <w:p>
            <w:pPr>
              <w:spacing w:after="0"/>
              <w:rPr>
                <w:sz w:val="12"/>
                <w:szCs w:val="12"/>
                <w:color w:val="auto"/>
              </w:rPr>
            </w:pPr>
          </w:p>
        </w:tc>
        <w:tc>
          <w:tcPr>
            <w:tcW w:w="17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(Loss) Reclassified from</w:t>
            </w:r>
          </w:p>
        </w:tc>
        <w:tc>
          <w:tcPr>
            <w:tcW w:w="17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Amount Excluded</w:t>
            </w:r>
          </w:p>
        </w:tc>
        <w:tc>
          <w:tcPr>
            <w:tcW w:w="162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4"/>
        </w:trPr>
        <w:tc>
          <w:tcPr>
            <w:tcW w:w="3020" w:type="dxa"/>
            <w:vAlign w:val="bottom"/>
            <w:gridSpan w:val="4"/>
            <w:vMerge w:val="continue"/>
          </w:tcPr>
          <w:p>
            <w:pPr>
              <w:spacing w:after="0"/>
              <w:rPr>
                <w:sz w:val="12"/>
                <w:szCs w:val="12"/>
                <w:color w:val="auto"/>
              </w:rPr>
            </w:pPr>
          </w:p>
        </w:tc>
        <w:tc>
          <w:tcPr>
            <w:tcW w:w="156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7"/>
              </w:rPr>
              <w:t>AOCI on Derivative</w:t>
            </w:r>
          </w:p>
        </w:tc>
        <w:tc>
          <w:tcPr>
            <w:tcW w:w="80" w:type="dxa"/>
            <w:vAlign w:val="bottom"/>
          </w:tcPr>
          <w:p>
            <w:pPr>
              <w:spacing w:after="0"/>
              <w:rPr>
                <w:sz w:val="12"/>
                <w:szCs w:val="12"/>
                <w:color w:val="auto"/>
              </w:rPr>
            </w:pPr>
          </w:p>
        </w:tc>
        <w:tc>
          <w:tcPr>
            <w:tcW w:w="16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7"/>
              </w:rPr>
              <w:t>AOCI into Income</w:t>
            </w:r>
          </w:p>
        </w:tc>
        <w:tc>
          <w:tcPr>
            <w:tcW w:w="80" w:type="dxa"/>
            <w:vAlign w:val="bottom"/>
          </w:tcPr>
          <w:p>
            <w:pPr>
              <w:spacing w:after="0"/>
              <w:rPr>
                <w:sz w:val="12"/>
                <w:szCs w:val="12"/>
                <w:color w:val="auto"/>
              </w:rPr>
            </w:pPr>
          </w:p>
        </w:tc>
        <w:tc>
          <w:tcPr>
            <w:tcW w:w="1720" w:type="dxa"/>
            <w:vAlign w:val="bottom"/>
            <w:gridSpan w:val="6"/>
          </w:tcPr>
          <w:p>
            <w:pPr>
              <w:jc w:val="center"/>
              <w:ind w:right="200"/>
              <w:spacing w:after="0" w:line="145" w:lineRule="exact"/>
              <w:rPr>
                <w:sz w:val="20"/>
                <w:szCs w:val="20"/>
                <w:color w:val="auto"/>
              </w:rPr>
            </w:pPr>
            <w:r>
              <w:rPr>
                <w:rFonts w:ascii="Arial" w:cs="Arial" w:eastAsia="Arial" w:hAnsi="Arial"/>
                <w:sz w:val="14"/>
                <w:szCs w:val="14"/>
                <w:b w:val="1"/>
                <w:bCs w:val="1"/>
                <w:color w:val="auto"/>
                <w:w w:val="98"/>
              </w:rPr>
              <w:t>AOCI into Income</w:t>
            </w:r>
          </w:p>
        </w:tc>
        <w:tc>
          <w:tcPr>
            <w:tcW w:w="1500" w:type="dxa"/>
            <w:vAlign w:val="bottom"/>
            <w:gridSpan w:val="3"/>
          </w:tcPr>
          <w:p>
            <w:pPr>
              <w:jc w:val="center"/>
              <w:ind w:left="45"/>
              <w:spacing w:after="0" w:line="145" w:lineRule="exact"/>
              <w:rPr>
                <w:sz w:val="20"/>
                <w:szCs w:val="20"/>
                <w:color w:val="auto"/>
              </w:rPr>
            </w:pPr>
            <w:r>
              <w:rPr>
                <w:rFonts w:ascii="Arial" w:cs="Arial" w:eastAsia="Arial" w:hAnsi="Arial"/>
                <w:sz w:val="14"/>
                <w:szCs w:val="14"/>
                <w:b w:val="1"/>
                <w:bCs w:val="1"/>
                <w:color w:val="auto"/>
                <w:w w:val="90"/>
              </w:rPr>
              <w:t>from Effectiveness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7"/>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Amount Excluded from</w:t>
            </w:r>
          </w:p>
        </w:tc>
        <w:tc>
          <w:tcPr>
            <w:tcW w:w="0" w:type="dxa"/>
            <w:vAlign w:val="bottom"/>
          </w:tcPr>
          <w:p>
            <w:pPr>
              <w:spacing w:after="0"/>
              <w:rPr>
                <w:sz w:val="1"/>
                <w:szCs w:val="1"/>
                <w:color w:val="auto"/>
              </w:rPr>
            </w:pPr>
          </w:p>
        </w:tc>
      </w:tr>
      <w:tr>
        <w:trPr>
          <w:trHeight w:val="149"/>
        </w:trPr>
        <w:tc>
          <w:tcPr>
            <w:tcW w:w="3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Hedging Relationships</w:t>
            </w:r>
          </w:p>
        </w:tc>
        <w:tc>
          <w:tcPr>
            <w:tcW w:w="156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2"/>
                <w:szCs w:val="12"/>
                <w:color w:val="auto"/>
              </w:rPr>
            </w:pPr>
          </w:p>
        </w:tc>
        <w:tc>
          <w:tcPr>
            <w:tcW w:w="1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2"/>
                <w:szCs w:val="12"/>
                <w:color w:val="auto"/>
              </w:rPr>
            </w:pPr>
          </w:p>
        </w:tc>
        <w:tc>
          <w:tcPr>
            <w:tcW w:w="172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360" w:type="dxa"/>
            <w:vAlign w:val="bottom"/>
          </w:tcPr>
          <w:p>
            <w:pPr>
              <w:spacing w:after="0"/>
              <w:rPr>
                <w:sz w:val="12"/>
                <w:szCs w:val="12"/>
                <w:color w:val="auto"/>
              </w:rPr>
            </w:pPr>
          </w:p>
        </w:tc>
        <w:tc>
          <w:tcPr>
            <w:tcW w:w="1140" w:type="dxa"/>
            <w:vAlign w:val="bottom"/>
            <w:gridSpan w:val="2"/>
          </w:tcPr>
          <w:p>
            <w:pPr>
              <w:jc w:val="center"/>
              <w:ind w:right="168"/>
              <w:spacing w:after="0" w:line="129" w:lineRule="exact"/>
              <w:rPr>
                <w:sz w:val="20"/>
                <w:szCs w:val="20"/>
                <w:color w:val="auto"/>
              </w:rPr>
            </w:pPr>
            <w:r>
              <w:rPr>
                <w:rFonts w:ascii="Arial" w:cs="Arial" w:eastAsia="Arial" w:hAnsi="Arial"/>
                <w:sz w:val="14"/>
                <w:szCs w:val="14"/>
                <w:b w:val="1"/>
                <w:bCs w:val="1"/>
                <w:color w:val="auto"/>
                <w:w w:val="91"/>
              </w:rPr>
              <w:t>Testing)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7"/>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jc w:val="right"/>
              <w:ind w:right="45"/>
              <w:spacing w:after="0" w:line="129" w:lineRule="exact"/>
              <w:rPr>
                <w:sz w:val="20"/>
                <w:szCs w:val="20"/>
                <w:color w:val="auto"/>
              </w:rPr>
            </w:pPr>
            <w:r>
              <w:rPr>
                <w:rFonts w:ascii="Arial" w:cs="Arial" w:eastAsia="Arial" w:hAnsi="Arial"/>
                <w:sz w:val="14"/>
                <w:szCs w:val="14"/>
                <w:b w:val="1"/>
                <w:bCs w:val="1"/>
                <w:color w:val="auto"/>
              </w:rPr>
              <w:t>2014</w:t>
            </w:r>
          </w:p>
        </w:tc>
        <w:tc>
          <w:tcPr>
            <w:tcW w:w="920" w:type="dxa"/>
            <w:vAlign w:val="bottom"/>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tcPr>
          <w:p>
            <w:pPr>
              <w:jc w:val="right"/>
              <w:ind w:right="105"/>
              <w:spacing w:after="0" w:line="129"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84"/>
              <w:spacing w:after="0" w:line="129"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$2,542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(11,049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00" w:type="dxa"/>
            <w:vAlign w:val="bottom"/>
            <w:tcBorders>
              <w:top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Foreign exchange loss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(2,205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(1,144</w:t>
            </w:r>
          </w:p>
        </w:tc>
        <w:tc>
          <w:tcPr>
            <w:tcW w:w="2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720" w:type="dxa"/>
            <w:vAlign w:val="bottom"/>
            <w:tcBorders>
              <w:top w:val="single" w:sz="8" w:color="CCEEFF"/>
            </w:tcBorders>
            <w:gridSpan w:val="5"/>
            <w:shd w:val="clear" w:color="auto" w:fill="CCEEFF"/>
          </w:tcPr>
          <w:p>
            <w:pPr>
              <w:jc w:val="center"/>
              <w:ind w:right="100"/>
              <w:spacing w:after="0"/>
              <w:rPr>
                <w:sz w:val="20"/>
                <w:szCs w:val="20"/>
                <w:color w:val="auto"/>
              </w:rPr>
            </w:pPr>
            <w:r>
              <w:rPr>
                <w:rFonts w:ascii="Arial" w:cs="Arial" w:eastAsia="Arial" w:hAnsi="Arial"/>
                <w:sz w:val="18"/>
                <w:szCs w:val="18"/>
                <w:color w:val="auto"/>
                <w:w w:val="89"/>
              </w:rPr>
              <w:t>Foreign exchange loss</w:t>
            </w:r>
          </w:p>
        </w:tc>
        <w:tc>
          <w:tcPr>
            <w:tcW w:w="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4"/>
              </w:rPr>
              <w:t>Amount of Gain/(Loss)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gridSpan w:val="8"/>
            <w:vMerge w:val="restart"/>
          </w:tcPr>
          <w:p>
            <w:pPr>
              <w:ind w:left="420"/>
              <w:spacing w:after="0"/>
              <w:rPr>
                <w:sz w:val="20"/>
                <w:szCs w:val="20"/>
                <w:color w:val="auto"/>
              </w:rPr>
            </w:pPr>
            <w:r>
              <w:rPr>
                <w:rFonts w:ascii="Arial" w:cs="Arial" w:eastAsia="Arial" w:hAnsi="Arial"/>
                <w:sz w:val="14"/>
                <w:szCs w:val="14"/>
                <w:b w:val="1"/>
                <w:bCs w:val="1"/>
                <w:color w:val="auto"/>
              </w:rPr>
              <w:t>Location of Gain/(Loss)</w:t>
            </w:r>
          </w:p>
        </w:tc>
        <w:tc>
          <w:tcPr>
            <w:tcW w:w="360" w:type="dxa"/>
            <w:vAlign w:val="bottom"/>
          </w:tcPr>
          <w:p>
            <w:pPr>
              <w:spacing w:after="0"/>
              <w:rPr>
                <w:sz w:val="12"/>
                <w:szCs w:val="12"/>
                <w:color w:val="auto"/>
              </w:rPr>
            </w:pPr>
          </w:p>
        </w:tc>
        <w:tc>
          <w:tcPr>
            <w:tcW w:w="22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gridSpan w:val="8"/>
            <w:vMerge w:val="continue"/>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Derivatives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Hedging Instruments</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7"/>
              </w:rPr>
              <w:t>Recognized in Income on Derivatives</w:t>
            </w:r>
          </w:p>
        </w:tc>
        <w:tc>
          <w:tcPr>
            <w:tcW w:w="36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gridSpan w:val="8"/>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80" w:type="dxa"/>
            <w:vAlign w:val="bottom"/>
          </w:tcPr>
          <w:p>
            <w:pPr>
              <w:jc w:val="right"/>
              <w:ind w:right="25"/>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8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2"/>
              </w:rPr>
              <w:t>contracts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4"/>
              </w:rPr>
              <w:t>Foreign exchange loss</w:t>
            </w: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732</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2014 and 2013: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20"/>
        <w:spacing w:after="0" w:line="297" w:lineRule="auto"/>
        <w:rPr>
          <w:sz w:val="20"/>
          <w:szCs w:val="20"/>
          <w:color w:val="auto"/>
        </w:rPr>
      </w:pPr>
      <w:r>
        <w:rPr>
          <w:rFonts w:ascii="Arial" w:cs="Arial" w:eastAsia="Arial" w:hAnsi="Arial"/>
          <w:sz w:val="13"/>
          <w:szCs w:val="13"/>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977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 of Gain/(Loss)</w:t>
            </w:r>
          </w:p>
        </w:tc>
        <w:tc>
          <w:tcPr>
            <w:tcW w:w="1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Location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Amount of Gain/(Loss)</w:t>
            </w:r>
          </w:p>
        </w:tc>
        <w:tc>
          <w:tcPr>
            <w:tcW w:w="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Amount of Gain/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15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Gain/(Loss)</w:t>
            </w:r>
          </w:p>
        </w:tc>
        <w:tc>
          <w:tcPr>
            <w:tcW w:w="1720" w:type="dxa"/>
            <w:vAlign w:val="bottom"/>
            <w:gridSpan w:val="4"/>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1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5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7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(Loss) Reclassified from</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Amount Excluded</w:t>
            </w:r>
          </w:p>
        </w:tc>
        <w:tc>
          <w:tcPr>
            <w:tcW w:w="1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15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AOCI on Derivative</w:t>
            </w:r>
          </w:p>
        </w:tc>
        <w:tc>
          <w:tcPr>
            <w:tcW w:w="6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7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Effectiveness</w:t>
            </w:r>
          </w:p>
        </w:tc>
        <w:tc>
          <w:tcPr>
            <w:tcW w:w="1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Testing)</w:t>
            </w:r>
          </w:p>
        </w:tc>
        <w:tc>
          <w:tcPr>
            <w:tcW w:w="8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76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89"/>
              </w:rPr>
              <w:t>Foreign exchange loss</w:t>
            </w:r>
          </w:p>
        </w:tc>
        <w:tc>
          <w:tcPr>
            <w:tcW w:w="660" w:type="dxa"/>
            <w:vAlign w:val="bottom"/>
            <w:tcBorders>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Foreign exchange loss</w:t>
            </w: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24"/>
        </w:trPr>
        <w:tc>
          <w:tcPr>
            <w:tcW w:w="540" w:type="dxa"/>
            <w:vAlign w:val="bottom"/>
          </w:tcPr>
          <w:p>
            <w:pPr>
              <w:jc w:val="right"/>
              <w:spacing w:after="0"/>
              <w:rPr>
                <w:sz w:val="20"/>
                <w:szCs w:val="20"/>
                <w:color w:val="auto"/>
              </w:rPr>
            </w:pPr>
            <w:r>
              <w:rPr>
                <w:rFonts w:ascii="Arial" w:cs="Arial" w:eastAsia="Arial" w:hAnsi="Arial"/>
                <w:sz w:val="18"/>
                <w:szCs w:val="18"/>
                <w:color w:val="auto"/>
                <w:w w:val="86"/>
              </w:rPr>
              <w:t>$ 9,552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  (8,976</w:t>
            </w:r>
          </w:p>
        </w:tc>
        <w:tc>
          <w:tcPr>
            <w:tcW w:w="120" w:type="dxa"/>
            <w:vAlign w:val="bottom"/>
            <w:vMerge w:val="continue"/>
          </w:tcPr>
          <w:p>
            <w:pPr>
              <w:spacing w:after="0"/>
              <w:rPr>
                <w:sz w:val="19"/>
                <w:szCs w:val="19"/>
                <w:color w:val="auto"/>
              </w:rPr>
            </w:pPr>
          </w:p>
        </w:tc>
        <w:tc>
          <w:tcPr>
            <w:tcW w:w="1760" w:type="dxa"/>
            <w:vAlign w:val="bottom"/>
            <w:gridSpan w:val="3"/>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 (4,458</w:t>
            </w:r>
          </w:p>
        </w:tc>
        <w:tc>
          <w:tcPr>
            <w:tcW w:w="2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 (2,498</w:t>
            </w:r>
          </w:p>
        </w:tc>
        <w:tc>
          <w:tcPr>
            <w:tcW w:w="20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600" w:type="dxa"/>
            <w:vAlign w:val="bottom"/>
          </w:tcPr>
          <w:p>
            <w:pPr>
              <w:jc w:val="right"/>
              <w:ind w:right="6"/>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-154305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360" w:space="720"/>
            <w:col w:w="8340"/>
          </w:cols>
          <w:pgMar w:left="240" w:top="459" w:right="239" w:bottom="1440" w:gutter="0" w:footer="0" w:header="0"/>
          <w:type w:val="continuous"/>
        </w:sectPr>
      </w:pPr>
    </w:p>
    <w:p>
      <w:pPr>
        <w:spacing w:after="0" w:line="30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as Hedging Instruments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Amount of Gain/(Loss)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Location of Gain or (Loss)</w:t>
            </w:r>
          </w:p>
        </w:tc>
        <w:tc>
          <w:tcPr>
            <w:tcW w:w="19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Recognized in Income on Derivatives</w:t>
            </w:r>
          </w:p>
        </w:tc>
        <w:tc>
          <w:tcPr>
            <w:tcW w:w="60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13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exchange loss</w:t>
            </w:r>
          </w:p>
        </w:tc>
        <w:tc>
          <w:tcPr>
            <w:tcW w:w="4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$ 3,451</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(2,539)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-154305</wp:posOffset>
            </wp:positionV>
            <wp:extent cx="608012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4900" w:space="720"/>
            <w:col w:w="580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79,533</w:t>
            </w:r>
          </w:p>
        </w:tc>
        <w:tc>
          <w:tcPr>
            <w:tcW w:w="38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63,428</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125,422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102,272</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(80,553)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(69,242)</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(2,764)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(2,618)</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2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Depreciation and amortization expense excluding amortization of acquisition-related intangibles for the three months ended June 30, 2014 and 2013 was $5,190 and $4,766, respectively, and $10,010 and $9,644 for the six months ended June 30, 2014 and 2013,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During the three months ended June 30, 2014 and June 30, 2013,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During the six months ended June 30, 2014 and June 30, 2013, the Company acquired 18,256 and 13,018 shares of common stock, respectively, from employees in connection with withholding tax payments related to the vesting of restricted stock for a total consideration of $459 and $389. The weighted average purchase price of $25.14 and $29.89, respectively, was the average of the high and low price of the Company’s shares of common stock on the Nasdaq Global Select Market on the trading day prior to the vesting date of the shares of restricted stock. The shares acquired are held as treasury stock.</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Actuarial loss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These entities calculate the annual contribution required to be made by the Company and manage the gratuity plans, including any required payouts. Fund managers manage these funds on a cash accumulation basis and declare interest retrospectively on March 31</w:t>
      </w:r>
      <w:r>
        <w:rPr>
          <w:rFonts w:ascii="Arial" w:cs="Arial" w:eastAsia="Arial" w:hAnsi="Arial"/>
          <w:sz w:val="14"/>
          <w:szCs w:val="14"/>
          <w:color w:val="auto"/>
        </w:rPr>
        <w:t>st</w:t>
      </w:r>
      <w:r>
        <w:rPr>
          <w:rFonts w:ascii="Arial" w:cs="Arial" w:eastAsia="Arial" w:hAnsi="Arial"/>
          <w:sz w:val="17"/>
          <w:szCs w:val="17"/>
          <w:color w:val="auto"/>
        </w:rPr>
        <w:t xml:space="preserve"> of each year. The Company earned a return of approximately 9.0% on these gratuity plans for the year ended March 31, 2014.</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Change in Plan Assets</w:t>
            </w:r>
          </w:p>
        </w:tc>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2014</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Actual return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2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June 30, 2014</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$342 and $354 during the three month periods ended June 30, 2014 and June 30, 2013, respectively, and $845 and $973 during the six month periods ended June 30, 2014 and June 30, 2013, respectively.</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three and six month periods ended June 30, 2014 and 2013, the Company contributed the following amounts to various defined contribution plans on behalf of its employees in India, the Philippines, Romania, Bulgaria, Malaysia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2014</w:t>
            </w:r>
          </w:p>
        </w:tc>
        <w:tc>
          <w:tcPr>
            <w:tcW w:w="4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$ 1,463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Three months ended June 30, 2013</w:t>
            </w:r>
          </w:p>
        </w:tc>
        <w:tc>
          <w:tcPr>
            <w:tcW w:w="4600" w:type="dxa"/>
            <w:vAlign w:val="bottom"/>
          </w:tcPr>
          <w:p>
            <w:pPr>
              <w:jc w:val="right"/>
              <w:ind w:right="10"/>
              <w:spacing w:after="0"/>
              <w:rPr>
                <w:sz w:val="20"/>
                <w:szCs w:val="20"/>
                <w:color w:val="auto"/>
              </w:rPr>
            </w:pPr>
            <w:r>
              <w:rPr>
                <w:rFonts w:ascii="Arial" w:cs="Arial" w:eastAsia="Arial" w:hAnsi="Arial"/>
                <w:sz w:val="18"/>
                <w:szCs w:val="18"/>
                <w:color w:val="auto"/>
              </w:rPr>
              <w:t>$ 1,413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2014</w:t>
            </w:r>
          </w:p>
        </w:tc>
        <w:tc>
          <w:tcPr>
            <w:tcW w:w="4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$ 2,861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Six months ended June 30, 2013</w:t>
            </w:r>
          </w:p>
        </w:tc>
        <w:tc>
          <w:tcPr>
            <w:tcW w:w="4600" w:type="dxa"/>
            <w:vAlign w:val="bottom"/>
          </w:tcPr>
          <w:p>
            <w:pPr>
              <w:jc w:val="right"/>
              <w:ind w:right="10"/>
              <w:spacing w:after="0"/>
              <w:rPr>
                <w:sz w:val="20"/>
                <w:szCs w:val="20"/>
                <w:color w:val="auto"/>
              </w:rPr>
            </w:pPr>
            <w:r>
              <w:rPr>
                <w:rFonts w:ascii="Arial" w:cs="Arial" w:eastAsia="Arial" w:hAnsi="Arial"/>
                <w:sz w:val="18"/>
                <w:szCs w:val="18"/>
                <w:color w:val="auto"/>
              </w:rPr>
              <w:t>$ 2,860</w:t>
            </w:r>
          </w:p>
        </w:tc>
      </w:tr>
      <w:tr>
        <w:trPr>
          <w:trHeight w:val="350"/>
        </w:trPr>
        <w:tc>
          <w:tcPr>
            <w:tcW w:w="3160" w:type="dxa"/>
            <w:vAlign w:val="bottom"/>
          </w:tcPr>
          <w:p>
            <w:pPr>
              <w:spacing w:after="0"/>
              <w:rPr>
                <w:sz w:val="24"/>
                <w:szCs w:val="24"/>
                <w:color w:val="auto"/>
              </w:rPr>
            </w:pPr>
          </w:p>
        </w:tc>
        <w:tc>
          <w:tcPr>
            <w:tcW w:w="4600" w:type="dxa"/>
            <w:vAlign w:val="bottom"/>
          </w:tcPr>
          <w:p>
            <w:pPr>
              <w:jc w:val="right"/>
              <w:ind w:right="371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 Company finances its use of certain computer hardware, leasehold improvements, furniture, fixtures, office equipment and motor vehicles under various lease arrangements provided by financial institutions. Future minimum lease payments under these capital leases as of June 30, 2014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2,246</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2,035</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1,058</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June 30, 2014 are set forth below:</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24,749</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operating leases are subject to renewal periodically and have scheduled rent increases. The Company accounts for scheduled rent on a straight-line basis over the non-cancelable lease period determined under ASC 840. Rent expense under both cancelable and non-cancelable operating leases was $4,775 and $4,448 for the three months ended June 30, 2014 and 2013, respectively, and $9,256 and $8,785 for the six months ended June 30, 2014 and 2013, respectively. Deferred rent as of June 30, 2014 and December 31, 2013 was $6,431 and $5,394, respectively, and is included under “Accrued expenses and other current liabilities” and “Non-current liabilities” in the consolidated balance sheets.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annual effective tax rate adjusted for discrete items, if any, that are taken into account in the relevant period. Each quarter, the Company updates its estimate of the annual effective tax rate, and if its estimated tax rate changes, the Company makes a cumulative adjustment.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an income tax benefit of $944 and an income tax expense of $3,615 for the three months ended June 30, 2014 and 2013, respectively. Income tax expense for the six months ended June 30, 2014 and 2013 was $3,521 and $6,612, respectively. The effective rate of taxes decreased from 28.1% during the three months ended June 30, 2013 to a negative 13.8% during the three months ended June 30, 2014. The effective rate of taxes decreased from 25.8% during the six months ended June 30, 2013 to 15.7% during the six months ended June 30, 2014. The decrease in effective tax rate was primarily due to reversal of an unrecognized tax benefit of $2,173 and lower income in the U.S. due to reimbursement of disentanglement costs to The Travelers Indemnity Company (refer to Item 2 – “Management’s Discussion and Analysis of Financial Condition and Results of Operations” for further details).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2014 through June 30, 2014:</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8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(2,173)</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8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8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June 30, 2014 of $2,845, if recognized, would impact the effective tax rate.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During the three months ended June 30, 2014 and June 30, 2013, the Company has recognized interest of $55 and $56 respectively, which is included in the income tax provision in the unaudited consolidated statements of income. As of June 30, 2014 and December 31, 2013, the Company has accrued approximately $994 and $863, respectively, in interest relating to unrecognized tax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2"/>
        </w:trPr>
        <w:tc>
          <w:tcPr>
            <w:tcW w:w="6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2,301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4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Volatility</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Average</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Intrinsic</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1,956,515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$ 22,255</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9,794</w:t>
            </w: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27.62</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(185,362)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15.18</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Forfeited/Expired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(77,750)</w:t>
            </w: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24.72</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1,703,197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16.04</w:t>
            </w:r>
          </w:p>
        </w:tc>
        <w:tc>
          <w:tcPr>
            <w:tcW w:w="11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$ 23,136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1,360,044</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14.60</w:t>
            </w:r>
          </w:p>
        </w:tc>
        <w:tc>
          <w:tcPr>
            <w:tcW w:w="5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$ 20,195</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1,472,884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unrecognized compensation cost for unvested options as of June 30, 2014 was $1,448, which is expected to be expensed over a weighted average period of 1.38 years. The Company did not issue any options during the three months ended June 30, 2014 and 2013. The weighted-average fair value of options granted during the six months ended June 30, 2014 and 2013 was $9.77 and $10.07, respectively. The total grant date fair value of options vested during the three months ended June 30, 2014 and 2013 was $33 and $205, respectively. The total grant date fair value of options vested during the six months ended June 30, 2014 and 2013 was $1,224 and $2,324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3"/>
              </w:rPr>
              <w:t>Restricted Stock Units</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Number</w:t>
            </w:r>
          </w:p>
        </w:tc>
        <w:tc>
          <w:tcPr>
            <w:tcW w:w="2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Weighted-Avg 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1,144,442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427,087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(406,910)</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(103,316)</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1,061,303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220" w:right="220" w:hanging="212"/>
        <w:spacing w:after="0" w:line="277"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124,000 and 112,000 vested restricted stock units as of June 30, 2014 and December 31, 2013, respectively, for which the underlying common stock is yet to be issued.</w:t>
      </w:r>
    </w:p>
    <w:p>
      <w:pPr>
        <w:spacing w:after="0" w:line="170" w:lineRule="exact"/>
        <w:rPr>
          <w:sz w:val="20"/>
          <w:szCs w:val="20"/>
          <w:color w:val="auto"/>
        </w:rPr>
      </w:pPr>
    </w:p>
    <w:p>
      <w:pPr>
        <w:jc w:val="center"/>
        <w:ind w:right="480"/>
        <w:spacing w:after="0" w:line="449" w:lineRule="auto"/>
        <w:rPr>
          <w:sz w:val="20"/>
          <w:szCs w:val="20"/>
          <w:color w:val="auto"/>
        </w:rPr>
      </w:pPr>
      <w:r>
        <w:rPr>
          <w:rFonts w:ascii="Arial" w:cs="Arial" w:eastAsia="Arial" w:hAnsi="Arial"/>
          <w:sz w:val="18"/>
          <w:szCs w:val="18"/>
          <w:color w:val="auto"/>
        </w:rPr>
        <w:t>As of June 30, 2014, unrecognized compensation cost of $22,831 is expected to be expensed over a weighted average period of 2.66 years. 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February 13, 2014, the Compensation Committee of the Board of Directors of the Company approved the program of performance based grant of restricted stock units (“PRSUs”) for executive officers and other specified employees under its existing 2006 Omnibus Award Plan.</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Under this program, the PRSUs will cliff vest at the end of a three-year period based on satisfaction of dual performance criteria: 50% of the PRSUs shall be based on a total revenue performance condition (“PUs”) measured on a cumulative basis over a three-year performance period and the other 50% shall be based on a market condition (“MUs”) that is contingent on meeting or exceeding the total shareholder return relative to a group of peer companies specified under the program, measured over a three-year performance period. In addition, up to one-third of the PUs may be earned based on the Company’s revenue performance in each of 2014 and 2015 against revenue targets in those years. The ultimate amount of PUs that the recipient earns, will be the greater of (x) the PUs earned in 2016 and (y) the sum of the earned PUs in 2014 and 2015. The award recipient may earn up to two hundred percent (200%) of the target based on the actual performance for both kinds of PRSUs.</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fair value of each PU was determined based on the market price of one common share of the Company on the date of grant, and assumes that performance targets will be achieved. The compensation expense for the PUs is recognized on a straight-line basis over the vesting terms. Over the performance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76"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75"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 Based PRSU’s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 Avg Fair</w:t>
            </w:r>
          </w:p>
        </w:tc>
        <w:tc>
          <w:tcPr>
            <w:tcW w:w="66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Weighted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2013</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55,475</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25.63</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55,475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(7,750)</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25.63</w:t>
            </w:r>
          </w:p>
        </w:tc>
        <w:tc>
          <w:tcPr>
            <w:tcW w:w="2040" w:type="dxa"/>
            <w:vAlign w:val="bottom"/>
            <w:gridSpan w:val="3"/>
          </w:tcPr>
          <w:p>
            <w:pPr>
              <w:jc w:val="right"/>
              <w:ind w:right="600"/>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47,725</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25.63</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As of June 30, 2014, unrecognized compensation cost of $2,509 was expected to be expensed over a weighted average period of 2.51 years. 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84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9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6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87,888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84,638</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w w:val="87"/>
              </w:rPr>
              <w:t>$ 178,301</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$ 167,774</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23,088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48,155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47,186</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15,079</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17,054</w:t>
            </w:r>
          </w:p>
        </w:tc>
      </w:tr>
      <w:tr>
        <w:trPr>
          <w:trHeight w:val="27"/>
        </w:trPr>
        <w:tc>
          <w:tcPr>
            <w:tcW w:w="9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116,008</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7"/>
              </w:rPr>
              <w:t>$ 241,535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$ 232,014</w:t>
            </w:r>
          </w:p>
        </w:tc>
      </w:tr>
      <w:tr>
        <w:trPr>
          <w:trHeight w:val="20"/>
        </w:trPr>
        <w:tc>
          <w:tcPr>
            <w:tcW w:w="9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$27,820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11,915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45,978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of June 30, 2014, the Company had committed to spend approximately $7,374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are engaged in tax litigation with the income-tax authorities in India on the issue of permanent establishment.</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aggregate disputed amount demanded by Indian tax authorities from the Company related to its transfer pricing issues for various years ranging from tax years 2003 to 2010 and its permanent establishment issues ranging from tax years 2003 to 2007 as of June 30, 2014 and December 31, 2013 is $18,694 and $14,742, respectively, of which the Company has already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payments or provided bank guarantees to the extent of $15,420 and $13,797, respectively. Amounts paid as deposits in respect of such assessments aggregating to $13,218 and $11,653 as of June 30, 2014 and December 31, 2013, respectively, are included in “Other assets” and amounts deposited for bank guarantees aggregating to $2,202 and $2,144 as of June 30, 2014 and December 31, 2013, respectively, are included in “Restricted cash” in the non-current assets section of the Company’s consolidated balance sheets as of June 30, 2014 and December 31, 2013.</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Blue Slate Solutions, LLC</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July 1, 2014, the Company entered into a membership interest purchase agreement (the “Agreement”) with Blue Slate Ventures, LLC (“Blue Slate”), a provider of Business Process Management (BPM) and Technology Solutions that specializes in transforming operations through business process automation, use of innovative technologies, data integration and analytics. Pursuant to the Agreement, the Company has purchased all of the membership interests of Blue Slate Solutions, LLC from Blue Slate for a cash consideration of $6,235, subject to final working capital adjustments. The Company will also issue its 46,950 restricted stock units to the key members of the Blue Slate, who will accept the employment with the Company upon combination.</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2013. Some of the statements in the following discussion are forward looking statements. See “Forward Looking Statements.” Dollar amounts within Item 2 are presented as actual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and the impact of the termination of the Services Agreement (as defined below) with Travelers (as defined below).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75"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regarding the impact of the termination of the Services Agreement with Travelers, the process for the transition of the Travelers services away from our facilities and our ability to re-deploy personnel and infrastructure to other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a leading provider of business process solutions, utilizing operations management, analytics and technology. We use our focused industry and process expertise to create a positive business impact on our clients’ operations. We customize our services to improve the economics of our clients’ business performance and transform organizations to be leaner and more flexible. We break our business into two segments: outsourcing and transformation services. Our outsourcing services provide front-, middle- and back-office processing for our clients, who are primarily Global 1000 Companies. We also offer a number of transformation services including decision analytics, finance transformation and operations consulting services.</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have operations centers in India, the U.S., the Philippines, Bulgaria, Romania, Malaysia and the Czech Republic. We also established two new operating centers, one each in India and the Philippines during the three months ended June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November 1, 2013, we received a notice of termination from The Travelers Indemnity Company (“Travelers”) under the Professional Services Agreement, dated as of March 7, 2006, between us and Travelers (as amended from time to time, the “Services Agreement”). Due to this termination, we estimate a reduction in our 2014 revenues of between $12 million and $20 million due to certain services we currently provide to Travelers being transitioned away from us throughout 2014. In addition, we expect that we will reimburse Travelers for certain of their expenses incurred in connection with the termination (the “disentanglement costs”), which will further reduce our revenues in 2014. During the three months and six months ended June 30, 2014, we recognized $5.7 million and $8.2 million, respectively, of reimbursement of disentanglement costs to Travelers as a reduction of revenues.</w:t>
      </w:r>
    </w:p>
    <w:p>
      <w:pPr>
        <w:spacing w:after="0" w:line="165"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For the three months ended June 30, 2014, we had total revenues of $119.7 million (net of $5.7 million of reimbursement of disentanglement costs to Travelers) compared to total revenues of $116.0 million for the three months ended June 30, 2013, an increase of $3.7 million or 3.2%. Revenues from outsourcing services were $94.3 million (net of $5.7 million of reimbursement of disentanglement costs to Travelers) for the three months ended June 30, 2014 compared to $97.3 million for the three months ended June 30, 2013. Revenues from transformation services were $25.4 million for the three months ended June 30, 2014 compared to $18.7 million for the three months ended June 30, 2013.</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the six months ended June 30, 2014, we had total revenues of $241.5 million (net of $8.2 million of reimbursement of disentanglement costs to Travelers) compared to total revenues of $232.0 million for the six months ended June 30, 2013, an increase of $9.5 million or 4.1%. Revenues from outsourcing services were $194.4 million (net of $8.2 million of reimbursement of disentanglement costs to Travelers) for the six months ended June 30, 2014 compared to $194.9 million for the six months ended June 30, 2013. Revenues from transformation services were $47.1 million for the six months ended June 30, 2014 compared to $37.1 million for the six months ended June 30, 2013.</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73.4% and 20.7%, respectively, of our total revenues for the three months ended June 30, 2014 and 73.0% and 19.9%, respectively, of our total revenues for the three months ended June 30, 2013. For the six months ended June 30, 2014, these two regions generated 73.8% and 19.9%, respectively, of our total revenues and 72.3% and 20.3%, respectively, of our total revenues for the six months ended June 30, 2013.</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For the three months ended June 30, 2014 and 2013, total revenues from our top ten clients accounted for 52.5% and 59.6% of our total revenues, respectively. For the six months ended June 30, 2014 and 2013, total revenues from our top ten clients accounted for 53.4% and 59.6% of our total revenues, respectively. None of our clients accounted for more than 10% of our total revenues during the three and six months ended June 30, 2014 and June 30,</w:t>
      </w:r>
    </w:p>
    <w:p>
      <w:pPr>
        <w:ind w:right="220"/>
        <w:spacing w:after="0" w:line="261" w:lineRule="auto"/>
        <w:rPr>
          <w:sz w:val="20"/>
          <w:szCs w:val="20"/>
          <w:color w:val="auto"/>
        </w:rPr>
      </w:pPr>
      <w:r>
        <w:rPr>
          <w:rFonts w:ascii="Arial" w:cs="Arial" w:eastAsia="Arial" w:hAnsi="Arial"/>
          <w:sz w:val="18"/>
          <w:szCs w:val="18"/>
          <w:color w:val="auto"/>
        </w:rPr>
        <w:t>2013. Although we are continually increasing and diversifying our customer base, we expect in the near future that a significant portion of our revenue will continue to be contributed by a limited number of large clients.</w:t>
      </w:r>
    </w:p>
    <w:p>
      <w:pPr>
        <w:spacing w:after="0" w:line="18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derived revenues from eight and sixteen new clients for our services in the three and six months ended June 30, 2014, respectively, compared to three and ten new clients for our services in the three and six months ended June 30, 2013,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break our business into two segments: Outsourcing Services and Transformation Services.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travel, and transportation and logistics sectors, as well as cross-industry outsourcing services, such as finance and accounting services. We serve primarily the needs of Global 1000 companies in these sectors.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most outsourcing services we provide,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operational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Within our outsourcing services, we also offer platform technology services by use of our proprietary technology tools and platforms to provide increasingly complex services for our insurance and healthcare clients. We have added these capabilities through acquisitions over the last few years. Key platform technology offerings include CareRadius</w:t>
      </w:r>
      <w:r>
        <w:rPr>
          <w:rFonts w:ascii="Arial" w:cs="Arial" w:eastAsia="Arial" w:hAnsi="Arial"/>
          <w:sz w:val="15"/>
          <w:szCs w:val="15"/>
          <w:color w:val="auto"/>
        </w:rPr>
        <w:t>®</w:t>
      </w:r>
      <w:r>
        <w:rPr>
          <w:rFonts w:ascii="Arial" w:cs="Arial" w:eastAsia="Arial" w:hAnsi="Arial"/>
          <w:sz w:val="18"/>
          <w:szCs w:val="18"/>
          <w:color w:val="auto"/>
        </w:rPr>
        <w:t xml:space="preserve"> and MaxMC</w:t>
      </w:r>
      <w:r>
        <w:rPr>
          <w:rFonts w:ascii="Arial" w:cs="Arial" w:eastAsia="Arial" w:hAnsi="Arial"/>
          <w:sz w:val="15"/>
          <w:szCs w:val="15"/>
          <w:color w:val="auto"/>
        </w:rPr>
        <w:t>®</w:t>
      </w:r>
      <w:r>
        <w:rPr>
          <w:rFonts w:ascii="Arial" w:cs="Arial" w:eastAsia="Arial" w:hAnsi="Arial"/>
          <w:sz w:val="18"/>
          <w:szCs w:val="18"/>
          <w:color w:val="auto"/>
        </w:rPr>
        <w:t xml:space="preserve"> (care management platforms for health insurers and providers), LifePRO</w:t>
      </w:r>
      <w:r>
        <w:rPr>
          <w:rFonts w:ascii="Arial" w:cs="Arial" w:eastAsia="Arial" w:hAnsi="Arial"/>
          <w:sz w:val="15"/>
          <w:szCs w:val="15"/>
          <w:color w:val="auto"/>
        </w:rPr>
        <w:t>®</w:t>
      </w:r>
      <w:r>
        <w:rPr>
          <w:rFonts w:ascii="Arial" w:cs="Arial" w:eastAsia="Arial" w:hAnsi="Arial"/>
          <w:sz w:val="18"/>
          <w:szCs w:val="18"/>
          <w:color w:val="auto"/>
        </w:rPr>
        <w:t xml:space="preserve"> (an insurance policy administration platform) and SubroSource ™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short-term.</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 techniques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trained analysts, we (i) provide insight into our clients’ current and future financial and operational results using analytics, (ii) improve clients’ operating environments through cost reduction and increased efficiency and productivity initiatives and (iii) enhance the risk and control environments within our clients’ operations whether or not they are outsourced to us. Our key areas of transformation services are decision analytics, operations and process excellence consulting and finance transformation.</w:t>
      </w:r>
    </w:p>
    <w:p>
      <w:pPr>
        <w:spacing w:after="0" w:line="18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transformation services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Operations—Critical Accounting Policies and Estimates” and Note 1 of the Notes to the Consolidated Financial Statements included in our 2013 Annual Report on form 10-K for the year ended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six months ended on June 30, 2014 and June 30,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8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156.2</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income/(expense):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provision / (benefit)</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80" w:type="dxa"/>
            <w:vAlign w:val="bottom"/>
            <w:vMerge w:val="restart"/>
          </w:tcPr>
          <w:p>
            <w:pPr>
              <w:jc w:val="right"/>
              <w:ind w:right="143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560"/>
              <w:spacing w:after="0"/>
              <w:rPr>
                <w:sz w:val="20"/>
                <w:szCs w:val="20"/>
                <w:color w:val="auto"/>
              </w:rPr>
            </w:pPr>
            <w:r>
              <w:rPr>
                <w:rFonts w:ascii="Arial" w:cs="Arial" w:eastAsia="Arial" w:hAnsi="Arial"/>
                <w:sz w:val="14"/>
                <w:szCs w:val="14"/>
                <w:color w:val="auto"/>
                <w:w w:val="89"/>
              </w:rPr>
              <w:t>Three months ended June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46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decrease in revenues from outsourcing services of $3.0 million was primarily driven by net volume increases from our existing and new clients aggregating to $4.3 million, offset by a decrease of $5.7 million due to the reimbursement of disentanglement costs to Travelers. Further, there was a decrease in revenues of $1.6 million due to the net impact of the depreciation of the Indian rupee and the Philippine peso and appreciation of the U.K. pound sterling against the U.S. dollar during the three months ended June 30, 2014 compared to the three months ended June 30, 2013.</w:t>
      </w:r>
    </w:p>
    <w:p>
      <w:pPr>
        <w:spacing w:after="0" w:line="17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increase in revenues from transformation services was due to a combination of increased revenues in recurring decision analytics services and an increase in project-based engagements in our decision analytics, operations consulting and finance transformation services. Revenues from new clients for transformation services were $0.8 million and $0.3 million during the three months ended June 30, 2014 and 2013, respectively.</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three months ended June 30, 2014 and 2013, 3.4% and 4.1%, respectively, of our revenues represented telecommunication and travel-related costs billed to and reimbursed by our clients.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color w:val="auto"/>
                <w:w w:val="92"/>
              </w:rPr>
              <w:t>Three months ended 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color w:val="auto"/>
              </w:rPr>
              <w:t>2014</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increase in cost of revenues was primarily due to an increase in employee-related costs of $7.8 million as a result of an annual wage increase effective April 1</w:t>
      </w:r>
      <w:r>
        <w:rPr>
          <w:rFonts w:ascii="Arial" w:cs="Arial" w:eastAsia="Arial" w:hAnsi="Arial"/>
          <w:sz w:val="15"/>
          <w:szCs w:val="15"/>
          <w:color w:val="auto"/>
        </w:rPr>
        <w:t>st</w:t>
      </w:r>
      <w:r>
        <w:rPr>
          <w:rFonts w:ascii="Arial" w:cs="Arial" w:eastAsia="Arial" w:hAnsi="Arial"/>
          <w:sz w:val="18"/>
          <w:szCs w:val="18"/>
          <w:color w:val="auto"/>
        </w:rPr>
        <w:t xml:space="preserve"> and an increase in the number of our personnel directly involved in providing services to our clients. We also experienced an increase in facilities, technology and other operating expenses of $3.1 million (primarily due to the new operations centers to support business growth). These increases were partially offset by a decrease of $0.6 million in reimbursable expenses (resulting in a decrease in revenues) and $3.0 million due to the depreciation of the Indian rupee and the Philippine peso against the U.S. dollar during the three months ended June 30, 2014 compared to the three months ended June 30, 2013.</w:t>
      </w:r>
    </w:p>
    <w:p>
      <w:pPr>
        <w:spacing w:after="0" w:line="19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The decrease in gross profit as a percentage of revenues was primarily due to higher employee costs and impact of reimbursement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disentanglement costs to Travelers. This decrease was partially offset by the depreciation of the Indian rupee and the Philippine peso against the U.S. dollar during the three months ended June 30, 2014 compared to the three months ended June 30, 2013.</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color w:val="auto"/>
                <w:w w:val="93"/>
              </w:rPr>
              <w:t>Three months ended June 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w w:val="96"/>
              </w:rPr>
              <w:t>2014</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680" w:type="dxa"/>
            <w:vAlign w:val="bottom"/>
          </w:tcPr>
          <w:p>
            <w:pPr>
              <w:spacing w:after="0"/>
              <w:rPr>
                <w:sz w:val="12"/>
                <w:szCs w:val="12"/>
                <w:color w:val="auto"/>
              </w:rPr>
            </w:pPr>
          </w:p>
        </w:tc>
        <w:tc>
          <w:tcPr>
            <w:tcW w:w="100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54"/>
              <w:spacing w:after="0" w:line="142" w:lineRule="exact"/>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 in SG&amp;A expenses was primarily due to an increase in employee-related costs of $0.9 million due to an annual wage increase effective April 1</w:t>
      </w:r>
      <w:r>
        <w:rPr>
          <w:rFonts w:ascii="Arial" w:cs="Arial" w:eastAsia="Arial" w:hAnsi="Arial"/>
          <w:sz w:val="15"/>
          <w:szCs w:val="15"/>
          <w:color w:val="auto"/>
        </w:rPr>
        <w:t>st</w:t>
      </w:r>
      <w:r>
        <w:rPr>
          <w:rFonts w:ascii="Arial" w:cs="Arial" w:eastAsia="Arial" w:hAnsi="Arial"/>
          <w:sz w:val="18"/>
          <w:szCs w:val="18"/>
          <w:color w:val="auto"/>
        </w:rPr>
        <w:t xml:space="preserve"> and our continued investment in sales and client management personnel and $0.4 million due to an increase in facilities related costs. We also experienced an increase of $2.0 million in our other SG&amp;A expenses, primarily due to increase in our legal and professional fees of $1.0 million, travel and other marketing related costs of $0.5 million and receipt of a Business Employment Incentive Program (“BEIP”) grant of $0.4 million from the New Jersey government during the three months ended June 30, 2013. These increases were partially offset by a decrease of $0.5 million due to the effect of depreciation of the Indian rupee and the Philippine peso against the U.S. dollar during the three months ended June 30, 2014 compared to the three months ended June 30, 2013.</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6"/>
          </w:tcPr>
          <w:p>
            <w:pPr>
              <w:jc w:val="center"/>
              <w:ind w:right="840"/>
              <w:spacing w:after="0"/>
              <w:rPr>
                <w:sz w:val="20"/>
                <w:szCs w:val="20"/>
                <w:color w:val="auto"/>
              </w:rPr>
            </w:pPr>
            <w:r>
              <w:rPr>
                <w:rFonts w:ascii="Arial" w:cs="Arial" w:eastAsia="Arial" w:hAnsi="Arial"/>
                <w:sz w:val="14"/>
                <w:szCs w:val="14"/>
                <w:color w:val="auto"/>
                <w:w w:val="90"/>
              </w:rPr>
              <w:t>Three months ended 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2013</w:t>
            </w:r>
          </w:p>
        </w:tc>
        <w:tc>
          <w:tcPr>
            <w:tcW w:w="74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left="25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5.2</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79"/>
              </w:rPr>
              <w:t>1.5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6.7</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increase in depreciation and amortization expense was primarily due to increased depreciation of $0.7 million related to our new capital investments to support business growth, partially offset by a decrease of $0.2 million due to the effect of depreciation of the Indian rupee and the Philippine peso against the U.S. dollar during the three months ended June 30, 2014 compared to the three months ended June 30, 2013.</w:t>
      </w:r>
    </w:p>
    <w:p>
      <w:pPr>
        <w:spacing w:after="0" w:line="166"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decreased 52.5% from $12.8 million for the three months ended June 30, 2013 to $6.1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2014. As a percentage of revenues, income from operations decreased from 11.1% for the three months ended June 30, 2013 to 5.1% for the three months ended June 30, 2014. The decrease in income from operations as a percentage of revenues was primarily due to lower gross margins and higher SG&amp;A expenses during the three months ended June 30, 2014 compared to the three months ended June 30, 2013.</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4"/>
                <w:szCs w:val="14"/>
                <w:color w:val="auto"/>
                <w:w w:val="93"/>
              </w:rPr>
              <w:t>Three months ended June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2014</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jc w:val="right"/>
              <w:ind w:right="58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374"/>
              <w:spacing w:after="0" w:line="142" w:lineRule="exact"/>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foreign exchange losses are attributable to movement of the U.S. dollar against the Indian rupee and the Philippine peso. The average exchange rate of the Indian rupee against the U.S. dollar increased from 56.56 during the three months ended June 30, 2013 to 59.87 during the three months ended June 30, 2014. Increase in net interest and other income of $0.3 million, is primarily due to higher yield on investments during the three months ended June 30, 2014 compared to the three months ended June 30, 2013.</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income-taxes decreased from $3.6 million during the three months ended June 30, 2013 to a tax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during the three months ended June 30, 2014. The effective rate of taxes decreased from 28.1% during the three months ended June 30, 2013 to a negative 13.8% during the three months ended June 30, 2014 primarily due to reversal of an unrecognized tax benefit of $2.2 million (refer to Note 12 to the unaudited consolidated financial statements for further details).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$9.2 million for the three months ended June 30, 2013 to $7.8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primarily due to a decrease in operating income of $6.7 million, partially offset by a decrease in tax expense of $4.5 million and an increase in other income of $0.8 million. As a percentage of revenues, net income decreased from 8.0% for the three months ended June 30, 2013 to 6.5% for the three months ended June 30,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4"/>
                <w:szCs w:val="14"/>
                <w:color w:val="auto"/>
              </w:rPr>
              <w:t>Six months ended June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214"/>
              <w:spacing w:after="0" w:line="142"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decrease in revenues from outsourcing services of $0.5 million was primarily driven by net volume increases from our existing and new clients aggregating to $13.0 million, offset by a decrease of $8.2 million due to the reimbursement of disentanglement costs to Travelers. Further, there was a decrease in revenues of $5.3 million due to the net impact of the depreciation of the Indian rupee and the Philippine peso and appreciation of the U.K. pound sterling against the U.S. dollar during the six months ended June 30, 2014 compared to the six months ended June 30, 2013.</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increase in revenues from transformation was due to a combination of increased revenues in recurring decision analytics services and an increase in project-based engagements both in our decision analytics and operations consulting services. Revenues from new clients for transformation services were $1.6 million and $0.8 million during the six months ended June 30, 2014 and 2013, respectively.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six months ended June 30, 2014 and 2013, 3.6% and 3.9%, respectively, of our revenues represented telecommunication and travel-related costs billed to and reimbursed by our clients.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4"/>
                <w:szCs w:val="14"/>
                <w:color w:val="auto"/>
                <w:w w:val="91"/>
              </w:rPr>
              <w:t>Six months ended June 30,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w w:val="96"/>
              </w:rPr>
              <w:t>2014</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w w:val="96"/>
              </w:rPr>
              <w:t>2013</w:t>
            </w:r>
          </w:p>
        </w:tc>
        <w:tc>
          <w:tcPr>
            <w:tcW w:w="600" w:type="dxa"/>
            <w:vAlign w:val="bottom"/>
          </w:tcPr>
          <w:p>
            <w:pPr>
              <w:spacing w:after="0"/>
              <w:rPr>
                <w:sz w:val="12"/>
                <w:szCs w:val="12"/>
                <w:color w:val="auto"/>
              </w:rPr>
            </w:pPr>
          </w:p>
        </w:tc>
        <w:tc>
          <w:tcPr>
            <w:tcW w:w="960" w:type="dxa"/>
            <w:vAlign w:val="bottom"/>
            <w:gridSpan w:val="3"/>
          </w:tcPr>
          <w:p>
            <w:pPr>
              <w:jc w:val="right"/>
              <w:ind w:right="52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increase in cost of revenues was primarily due to an increase in employee-related costs of $14.6 million as a result of an annual wage increase effective April 1</w:t>
      </w:r>
      <w:r>
        <w:rPr>
          <w:rFonts w:ascii="Arial" w:cs="Arial" w:eastAsia="Arial" w:hAnsi="Arial"/>
          <w:sz w:val="13"/>
          <w:szCs w:val="13"/>
          <w:color w:val="auto"/>
        </w:rPr>
        <w:t>st</w:t>
      </w:r>
      <w:r>
        <w:rPr>
          <w:rFonts w:ascii="Arial" w:cs="Arial" w:eastAsia="Arial" w:hAnsi="Arial"/>
          <w:sz w:val="16"/>
          <w:szCs w:val="16"/>
          <w:color w:val="auto"/>
        </w:rPr>
        <w:t xml:space="preserve"> and an increase in the number of our personnel directly involved in providing services to our clients. We also experienced an increase in facilities, technology and other operating expenses of $5.3 million (primarily due to new operations centers to support business growth). These increases were partially offset by a decrease of $0.5 million in reimbursable expenses (resulting in a decrease in revenues) and $10.1 million due to the depreciation of the Indian rupee and the Philippine peso against the U.S. dollar during the six months ended June 30, 2014 compared to the six months ended June 30, 2013.</w:t>
      </w:r>
    </w:p>
    <w:p>
      <w:pPr>
        <w:spacing w:after="0" w:line="15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The decrease in gross profit as a percentage of revenues was primarily due to higher employee costs and the impact of reimbursement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disentanglement costs to Travelers. This decrease was partially offset by the depreciation of the Indian rupee and the Philippine peso against the U.S. dollar during the six months ended June 30, 2014 compared to the six months ended June 30,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color w:val="auto"/>
              </w:rPr>
              <w:t>Six months ended June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2013</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jc w:val="right"/>
              <w:ind w:right="58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28.5</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19.7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50.7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47.4</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increase in SG&amp;A expenses was primarily due to an increase in employee-related costs of $1.7 million due to our annual wage increase effective April 1</w:t>
      </w:r>
      <w:r>
        <w:rPr>
          <w:rFonts w:ascii="Arial" w:cs="Arial" w:eastAsia="Arial" w:hAnsi="Arial"/>
          <w:sz w:val="14"/>
          <w:szCs w:val="14"/>
          <w:color w:val="auto"/>
        </w:rPr>
        <w:t>st</w:t>
      </w:r>
      <w:r>
        <w:rPr>
          <w:rFonts w:ascii="Arial" w:cs="Arial" w:eastAsia="Arial" w:hAnsi="Arial"/>
          <w:sz w:val="17"/>
          <w:szCs w:val="17"/>
          <w:color w:val="auto"/>
        </w:rPr>
        <w:t xml:space="preserve"> and continued investment in sales and client management personnel. We also experienced an increase in other SG&amp;A expenses of $3.1 million, primarily due to an increase in our legal and professional fees of $1.4 million, facilities, travel and other marketing related costs of $0.9 million and receipt of a BEIP grant of $0.7 million from the New Jersey government during the six months ended June 30, 2013. These increases were partially offset by a decrease of $1.4 million due to the net effect of depreciation of the Indian rupee and the Philippine peso against the U.S. dollar during the six months ended June 30, 2014 compared to the six months ended June 30, 2013.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4"/>
                <w:szCs w:val="14"/>
                <w:color w:val="auto"/>
                <w:w w:val="91"/>
              </w:rPr>
              <w:t>Six months ended June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w w:val="96"/>
              </w:rPr>
              <w:t>2014</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2013</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center"/>
              <w:ind w:right="3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(0.2)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increased 0.8% from $12.9 million for the six months ended June 30, 2013 to $13.0 million for the six months ended June 30, 2014. The increase was primarily due to increase in depreciation of $1.2 million related to our new capital investments to support business growth, partially offset by a decrease of $0.8 million due to depreciation of the Indian rupee and the Philippines peso against the U.S. dollar during the six months ended June 30, 2014 compared to the six months ended June 30, 2013.</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decreased from $24.9 million for the six months ended June 30, 2013 to $21.6 million for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2014. As a percentage of revenues, income from operations decreased from 10.7% for the six months ended June 30, 2013 to 8.9% for the six months ended June 30, 2013. The decrease in income from operations as a percentage of revenues was primarily due to lower gross margins and higher SG&amp;A expenses as a percentage of revenues during the six months ended June 30, 2014.</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color w:val="auto"/>
              </w:rPr>
              <w:t>Six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2014</w:t>
            </w: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gains/(losses)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(0.4)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foreign exchange gains/(losses) are attributable to movement of the U.S. dollar against the Indian rupee and the Philippine peso. The average exchange rate of the Indian rupee against the U.S. dollar increased from 55.26 during the six months ended June 30, 2013 to 60.67 during the six months ended June 30, 2014. Increase in net interest and other income of $0.5 million, was primarily due to higher yield on investments during the six months ended June 30, 2014 compared to the six months ended June 30, 2013.</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from $6.6 million for the six months ended June 30, 2013 to $3.5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2014. The effective rate of taxes decreased from 25.8% during the six months ended June 30, 2013 to 15.7% during the six months ended June 30, 2014 primarily due to reversal of an unrecognized tax benefit of $2.2 million (refer to Note 12 to the unaudited consolidated financial statements for further details).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marginally from $19.0 million for the six months ended June 30, 2013 to $18.9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2014, primarily due to lower income from operations of $3.3 million, partially offset by lower income taxes expense of $3.1 million and higher other income of $0.1 million. As a percentage of revenues, net income decreased from 8.2% for the six months ended June 30, 2013 to 7.8% for the six months ended June 30, 2014.</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right"/>
              <w:ind w:right="293"/>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279" w:lineRule="auto"/>
        <w:rPr>
          <w:sz w:val="20"/>
          <w:szCs w:val="20"/>
          <w:color w:val="auto"/>
        </w:rPr>
      </w:pPr>
      <w:r>
        <w:rPr>
          <w:rFonts w:ascii="Arial" w:cs="Arial" w:eastAsia="Arial" w:hAnsi="Arial"/>
          <w:sz w:val="17"/>
          <w:szCs w:val="17"/>
          <w:color w:val="auto"/>
        </w:rPr>
        <w:t>As of June 30, 2014, we had $168.5 million in cash and cash equivalents and short-term investments (including $82.0 million held by our foreign subsidiaries). We do not intend to repatriate our overseas funds since our future growth partially depends upon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71"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increased from $25.4 million for the six months ended June 30, 2013 to $27.7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2014.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cash flows provided by operations for the six month ended June 30, 2014 was predominantly due to an increase in net income adjusted for non-cash expenses of $7.0 million during the six months ended June 30, 2014 compared to the six months ended June 30, 2013. The increase was partially offset by increase in working capital of $15.2 million during the six months ended June 30, 2014 compared to an increase of $10.6 million during the three months ended June 30, 2013. During the six months ended June 30, 2014, net income decreased by $0.1 million, stock based compensation by $0.4 million, unrealized foreign exchange losses increased by $7.0 million, deferred income taxes by $0.3 million and depreciation and amortization increased by $0.2 million.</w:t>
      </w:r>
    </w:p>
    <w:p>
      <w:pPr>
        <w:spacing w:after="0" w:line="19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increase in working capital during the six months ended June 30, 2014 was primarily due to a decrease in accrued employee costs of $4.9 million, accrued expenses and other current liabilities of $4.0 million, an increase in advance income tax of $6.3 million, prepaid expenses and other current assets of $2.0 million and other assets by $1.7 million, partially offset by an increase in deferred revenue by $1.0 million and a decrease in accounts receivables by $2.5 million. The increase in working capital during the six months ended June 30, 2013 was primarily due to a decrease in accrued employee costs of $6.6 million, accounts payables of $1.3 million, an increase in accounts receivable of $3.9 million, prepaid expenses and other current assets of $2.4 million, partially offset by an increase in accrued expenses and other current liabilities by $2.9 million and decrease in advance income tax by 0.5 million.</w:t>
      </w:r>
    </w:p>
    <w:p>
      <w:pPr>
        <w:spacing w:after="0" w:line="16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flows used for investing activities increased from $11.3 million for the six months ended June 30, 2013 to $18.1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2014. The increase was primarily due to increase in capital expenditure of $6.4 million during the six months ended June 30, 2014 related to networking equipment, computers, software and our new operations centers in India and the Philippines.</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increased from $1.3 million for the six months ended June 30, 2013 to $1.8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2014. The increase was primarily due to proceeds from the exercise of stock options of $2.8 million during the six months ended June 30, 2014 compared to $2.5 million during the six months ended June 30, 2013.</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$16.6 million of capital expenditures in the six months ended June 30, 2014. We expect to incur capital expenditures of between $10.0 million to $15.0 million throughout the remainder of 2014,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for further details).</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May 26, 2011, we entered into a three-year credit agreement with certain lenders and JPMorgan Chase Bank, N.A., as Administrative Agent, which expired during the quarter ended June 30, 2014.</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we had no off-balance sheet arrangements or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w w:val="98"/>
              </w:rPr>
              <w:t>Payment Due by Period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Less than</w:t>
            </w:r>
          </w:p>
        </w:tc>
        <w:tc>
          <w:tcPr>
            <w:tcW w:w="560" w:type="dxa"/>
            <w:vAlign w:val="bottom"/>
            <w:gridSpan w:val="2"/>
          </w:tcPr>
          <w:p>
            <w:pPr>
              <w:jc w:val="right"/>
              <w:ind w:right="24"/>
              <w:spacing w:after="0" w:line="119" w:lineRule="exact"/>
              <w:rPr>
                <w:sz w:val="20"/>
                <w:szCs w:val="20"/>
                <w:color w:val="auto"/>
              </w:rPr>
            </w:pPr>
            <w:r>
              <w:rPr>
                <w:rFonts w:ascii="Arial" w:cs="Arial" w:eastAsia="Arial" w:hAnsi="Arial"/>
                <w:sz w:val="13"/>
                <w:szCs w:val="13"/>
                <w:b w:val="1"/>
                <w:bCs w:val="1"/>
                <w:color w:val="auto"/>
              </w:rPr>
              <w:t>1-3</w:t>
            </w:r>
          </w:p>
        </w:tc>
        <w:tc>
          <w:tcPr>
            <w:tcW w:w="160" w:type="dxa"/>
            <w:vAlign w:val="bottom"/>
          </w:tcPr>
          <w:p>
            <w:pPr>
              <w:spacing w:after="0"/>
              <w:rPr>
                <w:sz w:val="10"/>
                <w:szCs w:val="10"/>
                <w:color w:val="auto"/>
              </w:rPr>
            </w:pPr>
          </w:p>
        </w:tc>
        <w:tc>
          <w:tcPr>
            <w:tcW w:w="500" w:type="dxa"/>
            <w:vAlign w:val="bottom"/>
            <w:gridSpan w:val="2"/>
          </w:tcPr>
          <w:p>
            <w:pPr>
              <w:jc w:val="center"/>
              <w:ind w:left="56"/>
              <w:spacing w:after="0" w:line="119" w:lineRule="exact"/>
              <w:rPr>
                <w:sz w:val="20"/>
                <w:szCs w:val="20"/>
                <w:color w:val="auto"/>
              </w:rPr>
            </w:pPr>
            <w:r>
              <w:rPr>
                <w:rFonts w:ascii="Arial" w:cs="Arial" w:eastAsia="Arial" w:hAnsi="Arial"/>
                <w:sz w:val="13"/>
                <w:szCs w:val="13"/>
                <w:b w:val="1"/>
                <w:bCs w:val="1"/>
                <w:color w:val="auto"/>
              </w:rPr>
              <w:t>4-5</w:t>
            </w:r>
          </w:p>
        </w:tc>
        <w:tc>
          <w:tcPr>
            <w:tcW w:w="300" w:type="dxa"/>
            <w:vAlign w:val="bottom"/>
          </w:tcPr>
          <w:p>
            <w:pPr>
              <w:spacing w:after="0"/>
              <w:rPr>
                <w:sz w:val="10"/>
                <w:szCs w:val="10"/>
                <w:color w:val="auto"/>
              </w:rPr>
            </w:pPr>
          </w:p>
        </w:tc>
        <w:tc>
          <w:tcPr>
            <w:tcW w:w="7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years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5 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7"/>
          </w:tcPr>
          <w:p>
            <w:pPr>
              <w:jc w:val="right"/>
              <w:ind w:right="680"/>
              <w:spacing w:after="0" w:line="155"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leases</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11.3</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26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(b)</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w:t>
            </w:r>
          </w:p>
        </w:tc>
        <w:tc>
          <w:tcPr>
            <w:tcW w:w="8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$ 5.7</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3.3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$2.8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included in this Quarterly report on Form 10-Q.</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During the six months ended June 30, 2014,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2013.</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United States Security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2014. Based upon that evaluation, the CEO and CFO have concluded that, as of June 30, 2014,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During the six months ended June 30, 2014,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2013 a number of risks which may materially affect our business, financial condition or results of operations. You should carefully consider the “Risk Factors” set forth in our Annual Report on Form 10-K for the year ended December 31, 2013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138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45"/>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Executive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Financial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r>
        <w:trPr>
          <w:trHeight w:val="365"/>
        </w:trPr>
        <w:tc>
          <w:tcPr>
            <w:tcW w:w="92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29, 2014</w:t>
      </w:r>
      <w:r>
        <w:rPr>
          <w:sz w:val="20"/>
          <w:szCs w:val="20"/>
          <w:color w:val="auto"/>
        </w:rPr>
        <w:tab/>
      </w:r>
      <w:r>
        <w:rPr>
          <w:rFonts w:ascii="Arial" w:cs="Arial" w:eastAsia="Arial" w:hAnsi="Arial"/>
          <w:sz w:val="18"/>
          <w:szCs w:val="18"/>
          <w:color w:val="auto"/>
        </w:rPr>
        <w:t>By: /s/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Vishal Chhibbar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(Duly Authorized Signatory, Principal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00"/>
          </w:cols>
          <w:pgMar w:left="240" w:top="459" w:right="8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2014,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2014,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1."/>
      <w:numFmt w:val="decimal"/>
      <w:start w:val="4"/>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2019-12-07T07:32:41Z</dcterms:created>
  <dcterms:modified xsi:type="dcterms:W3CDTF">2019-12-07T07:32:41Z</dcterms:modified>
</cp:coreProperties>
</file>