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830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305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STAGLIN GAREN K</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6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8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300" w:type="dxa"/>
            <w:vAlign w:val="bottom"/>
            <w:gridSpan w:val="2"/>
          </w:tcPr>
          <w:p>
            <w:pPr>
              <w:jc w:val="center"/>
              <w:spacing w:after="0"/>
              <w:rPr>
                <w:sz w:val="20"/>
                <w:szCs w:val="20"/>
                <w:color w:val="auto"/>
              </w:rPr>
            </w:pPr>
            <w:r>
              <w:rPr>
                <w:rFonts w:ascii="Arial" w:cs="Arial" w:eastAsia="Arial" w:hAnsi="Arial"/>
                <w:sz w:val="17"/>
                <w:szCs w:val="17"/>
                <w:color w:val="0000FF"/>
                <w:w w:val="91"/>
              </w:rPr>
              <w:t>02/04/2020</w:t>
            </w: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60"/>
              <w:spacing w:after="0"/>
              <w:rPr>
                <w:sz w:val="20"/>
                <w:szCs w:val="20"/>
                <w:color w:val="auto"/>
              </w:rPr>
            </w:pPr>
            <w:r>
              <w:rPr>
                <w:rFonts w:ascii="Arial" w:cs="Arial" w:eastAsia="Arial" w:hAnsi="Arial"/>
                <w:sz w:val="17"/>
                <w:szCs w:val="17"/>
                <w:color w:val="0000FF"/>
              </w:rPr>
              <w:t>1,702</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Pr>
          <w:p>
            <w:pPr>
              <w:ind w:left="24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3"/>
                <w:szCs w:val="23"/>
                <w:color w:val="auto"/>
              </w:rPr>
            </w:pPr>
          </w:p>
        </w:tc>
        <w:tc>
          <w:tcPr>
            <w:tcW w:w="1240" w:type="dxa"/>
            <w:vAlign w:val="bottom"/>
            <w:gridSpan w:val="2"/>
          </w:tcPr>
          <w:p>
            <w:pPr>
              <w:jc w:val="right"/>
              <w:ind w:right="359"/>
              <w:spacing w:after="0"/>
              <w:rPr>
                <w:sz w:val="20"/>
                <w:szCs w:val="20"/>
                <w:color w:val="auto"/>
              </w:rPr>
            </w:pPr>
            <w:r>
              <w:rPr>
                <w:rFonts w:ascii="Arial" w:cs="Arial" w:eastAsia="Arial" w:hAnsi="Arial"/>
                <w:sz w:val="17"/>
                <w:szCs w:val="17"/>
                <w:color w:val="0000FF"/>
              </w:rPr>
              <w:t>20,551</w:t>
            </w:r>
          </w:p>
        </w:tc>
        <w:tc>
          <w:tcPr>
            <w:tcW w:w="32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right"/>
              <w:ind w:right="399"/>
              <w:spacing w:after="0"/>
              <w:rPr>
                <w:sz w:val="20"/>
                <w:szCs w:val="20"/>
                <w:color w:val="auto"/>
              </w:rPr>
            </w:pPr>
            <w:r>
              <w:rPr>
                <w:rFonts w:ascii="Arial" w:cs="Arial" w:eastAsia="Arial" w:hAnsi="Arial"/>
                <w:sz w:val="17"/>
                <w:szCs w:val="17"/>
                <w:color w:val="0000FF"/>
              </w:rPr>
              <w:t>1,854</w:t>
            </w:r>
          </w:p>
        </w:tc>
        <w:tc>
          <w:tcPr>
            <w:tcW w:w="32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2"/>
          </w:tcPr>
          <w:p>
            <w:pPr>
              <w:jc w:val="center"/>
              <w:ind w:right="76"/>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40" w:type="dxa"/>
            <w:vAlign w:val="bottom"/>
            <w:gridSpan w:val="10"/>
          </w:tcPr>
          <w:p>
            <w:pPr>
              <w:jc w:val="center"/>
              <w:ind w:right="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8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line="148"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1,702</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02/04/2020</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480" w:type="dxa"/>
            <w:vAlign w:val="bottom"/>
          </w:tcPr>
          <w:p>
            <w:pPr>
              <w:ind w:left="60"/>
              <w:spacing w:after="0" w:line="148" w:lineRule="exact"/>
              <w:rPr>
                <w:sz w:val="20"/>
                <w:szCs w:val="20"/>
                <w:color w:val="auto"/>
              </w:rPr>
            </w:pPr>
            <w:r>
              <w:rPr>
                <w:rFonts w:ascii="Arial" w:cs="Arial" w:eastAsia="Arial" w:hAnsi="Arial"/>
                <w:sz w:val="13"/>
                <w:szCs w:val="13"/>
                <w:color w:val="0000FF"/>
              </w:rPr>
              <w:t>1,702</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51,139</w:t>
            </w:r>
          </w:p>
        </w:tc>
        <w:tc>
          <w:tcPr>
            <w:tcW w:w="560" w:type="dxa"/>
            <w:vAlign w:val="bottom"/>
          </w:tcPr>
          <w:p>
            <w:pPr>
              <w:ind w:left="380"/>
              <w:spacing w:after="0" w:line="148"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15"/>
              <w:spacing w:after="0" w:line="148" w:lineRule="exact"/>
              <w:rPr>
                <w:sz w:val="20"/>
                <w:szCs w:val="20"/>
                <w:color w:val="auto"/>
              </w:rPr>
            </w:pPr>
            <w:r>
              <w:rPr>
                <w:rFonts w:ascii="Arial" w:cs="Arial" w:eastAsia="Arial" w:hAnsi="Arial"/>
                <w:sz w:val="13"/>
                <w:szCs w:val="13"/>
                <w:color w:val="0000FF"/>
                <w:w w:val="90"/>
              </w:rPr>
              <w:t>$0.001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line="148"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1,348</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02/04/2020</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40" w:type="dxa"/>
            <w:vAlign w:val="bottom"/>
          </w:tcPr>
          <w:p>
            <w:pPr>
              <w:ind w:left="160"/>
              <w:spacing w:after="0" w:line="148" w:lineRule="exact"/>
              <w:rPr>
                <w:sz w:val="20"/>
                <w:szCs w:val="20"/>
                <w:color w:val="auto"/>
              </w:rPr>
            </w:pPr>
            <w:r>
              <w:rPr>
                <w:rFonts w:ascii="Arial" w:cs="Arial" w:eastAsia="Arial" w:hAnsi="Arial"/>
                <w:sz w:val="13"/>
                <w:szCs w:val="13"/>
                <w:color w:val="0000FF"/>
              </w:rPr>
              <w:t>1,348</w:t>
            </w:r>
          </w:p>
        </w:tc>
        <w:tc>
          <w:tcPr>
            <w:tcW w:w="4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52,487</w:t>
            </w:r>
          </w:p>
        </w:tc>
        <w:tc>
          <w:tcPr>
            <w:tcW w:w="560" w:type="dxa"/>
            <w:vAlign w:val="bottom"/>
          </w:tcPr>
          <w:p>
            <w:pPr>
              <w:ind w:left="380"/>
              <w:spacing w:after="0" w:line="148"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15"/>
              <w:spacing w:after="0" w:line="148" w:lineRule="exact"/>
              <w:rPr>
                <w:sz w:val="20"/>
                <w:szCs w:val="20"/>
                <w:color w:val="auto"/>
              </w:rPr>
            </w:pPr>
            <w:r>
              <w:rPr>
                <w:rFonts w:ascii="Arial" w:cs="Arial" w:eastAsia="Arial" w:hAnsi="Arial"/>
                <w:sz w:val="13"/>
                <w:szCs w:val="13"/>
                <w:color w:val="0000FF"/>
                <w:w w:val="90"/>
              </w:rPr>
              <w:t>$0.001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Staglin Family Irrevocable Trust of 2018 dated November 9, 2018.</w:t>
      </w:r>
    </w:p>
    <w:p>
      <w:pPr>
        <w:spacing w:after="0" w:line="50" w:lineRule="exact"/>
        <w:rPr>
          <w:rFonts w:ascii="Arial" w:cs="Arial" w:eastAsia="Arial" w:hAnsi="Arial"/>
          <w:sz w:val="13"/>
          <w:szCs w:val="13"/>
          <w:color w:val="008000"/>
        </w:rPr>
      </w:pPr>
    </w:p>
    <w:p>
      <w:pPr>
        <w:ind w:left="40" w:right="16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4, 2019, the reporting person was granted 1,702 restricted stock units, that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of Control", as defined in the ExlService Holdings, Inc. 2018 Omnibus Incentive Plan (the "Plan"), and such awards settle upon the earlier of (i) the reporting person's death, (ii) the occurrence of a "Change of Control", as defined in the Plan or (iii) the vesting date.</w:t>
      </w:r>
    </w:p>
    <w:p>
      <w:pPr>
        <w:spacing w:after="0" w:line="26" w:lineRule="exact"/>
        <w:rPr>
          <w:rFonts w:ascii="Arial" w:cs="Arial" w:eastAsia="Arial" w:hAnsi="Arial"/>
          <w:sz w:val="13"/>
          <w:szCs w:val="13"/>
          <w:color w:val="008000"/>
        </w:rPr>
      </w:pPr>
    </w:p>
    <w:p>
      <w:pPr>
        <w:ind w:left="40" w:right="36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expires if the reporting person is not subsequently elected to a new term on the Board, and (iii) the occurrence of a "Change in Control", as defined in the Plan, and such awards settle upon the earlier of (i) the reporting person's death, (ii) the occurrence of a "Change of Control", as defined in the Plan and (iii) the vesting date.</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Lazbart Oseni, Attorney-in-</w:t>
            </w:r>
          </w:p>
        </w:tc>
        <w:tc>
          <w:tcPr>
            <w:tcW w:w="1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02/06/2020</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2020-02-06T16:31:00Z</dcterms:created>
  <dcterms:modified xsi:type="dcterms:W3CDTF">2020-02-06T16:31:00Z</dcterms:modified>
</cp:coreProperties>
</file>