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42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000" w:type="dxa"/>
        <w:tblCellMar>
          <w:top w:w="0" w:type="dxa"/>
          <w:left w:w="0" w:type="dxa"/>
          <w:bottom w:w="0" w:type="dxa"/>
          <w:right w:w="0" w:type="dxa"/>
        </w:tblCellMar>
      </w:tblPr>
      <w:tr>
        <w:trPr>
          <w:trHeight w:val="218"/>
        </w:trPr>
        <w:tc>
          <w:tcPr>
            <w:tcW w:w="6680" w:type="dxa"/>
            <w:vAlign w:val="bottom"/>
          </w:tcPr>
          <w:p>
            <w:pPr>
              <w:jc w:val="center"/>
              <w:ind w:right="2822"/>
              <w:spacing w:after="0"/>
              <w:rPr>
                <w:sz w:val="20"/>
                <w:szCs w:val="20"/>
                <w:color w:val="auto"/>
              </w:rPr>
            </w:pPr>
            <w:r>
              <w:rPr>
                <w:rFonts w:ascii="Arial" w:cs="Arial" w:eastAsia="Arial" w:hAnsi="Arial"/>
                <w:sz w:val="18"/>
                <w:szCs w:val="18"/>
                <w:b w:val="1"/>
                <w:bCs w:val="1"/>
                <w:color w:val="auto"/>
                <w:w w:val="94"/>
              </w:rPr>
              <w:t>DELAWARE</w:t>
            </w:r>
          </w:p>
        </w:tc>
        <w:tc>
          <w:tcPr>
            <w:tcW w:w="1500" w:type="dxa"/>
            <w:vAlign w:val="bottom"/>
          </w:tcPr>
          <w:p>
            <w:pPr>
              <w:jc w:val="right"/>
              <w:ind w:right="2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680" w:type="dxa"/>
            <w:vAlign w:val="bottom"/>
          </w:tcPr>
          <w:p>
            <w:pPr>
              <w:jc w:val="center"/>
              <w:ind w:right="28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50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80" w:type="dxa"/>
            <w:vAlign w:val="bottom"/>
          </w:tcPr>
          <w:p>
            <w:pPr>
              <w:jc w:val="center"/>
              <w:ind w:right="2802"/>
              <w:spacing w:after="0"/>
              <w:rPr>
                <w:sz w:val="20"/>
                <w:szCs w:val="20"/>
                <w:color w:val="auto"/>
              </w:rPr>
            </w:pPr>
            <w:r>
              <w:rPr>
                <w:rFonts w:ascii="Arial" w:cs="Arial" w:eastAsia="Arial" w:hAnsi="Arial"/>
                <w:sz w:val="14"/>
                <w:szCs w:val="14"/>
                <w:b w:val="1"/>
                <w:bCs w:val="1"/>
                <w:color w:val="auto"/>
                <w:w w:val="88"/>
              </w:rPr>
              <w:t>incorporation or organization)</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680" w:type="dxa"/>
            <w:vAlign w:val="bottom"/>
          </w:tcPr>
          <w:p>
            <w:pPr>
              <w:jc w:val="center"/>
              <w:ind w:right="2822"/>
              <w:spacing w:after="0"/>
              <w:rPr>
                <w:sz w:val="20"/>
                <w:szCs w:val="20"/>
                <w:color w:val="auto"/>
              </w:rPr>
            </w:pPr>
            <w:r>
              <w:rPr>
                <w:rFonts w:ascii="Arial" w:cs="Arial" w:eastAsia="Arial" w:hAnsi="Arial"/>
                <w:sz w:val="18"/>
                <w:szCs w:val="18"/>
                <w:b w:val="1"/>
                <w:bCs w:val="1"/>
                <w:color w:val="auto"/>
                <w:w w:val="96"/>
              </w:rPr>
              <w:t>280 PARK AVENUE, 38</w:t>
            </w:r>
            <w:r>
              <w:rPr>
                <w:rFonts w:ascii="Arial" w:cs="Arial" w:eastAsia="Arial" w:hAnsi="Arial"/>
                <w:sz w:val="11"/>
                <w:szCs w:val="11"/>
                <w:b w:val="1"/>
                <w:bCs w:val="1"/>
                <w:color w:val="auto"/>
                <w:w w:val="96"/>
              </w:rPr>
              <w:t>TH</w:t>
            </w:r>
            <w:r>
              <w:rPr>
                <w:rFonts w:ascii="Arial" w:cs="Arial" w:eastAsia="Arial" w:hAnsi="Arial"/>
                <w:sz w:val="18"/>
                <w:szCs w:val="18"/>
                <w:b w:val="1"/>
                <w:bCs w:val="1"/>
                <w:color w:val="auto"/>
                <w:w w:val="96"/>
              </w:rPr>
              <w:t xml:space="preserve"> FLOOR, NEW YORK,</w:t>
            </w:r>
          </w:p>
        </w:tc>
        <w:tc>
          <w:tcPr>
            <w:tcW w:w="1500" w:type="dxa"/>
            <w:vAlign w:val="bottom"/>
          </w:tcPr>
          <w:p>
            <w:pPr>
              <w:spacing w:after="0"/>
              <w:rPr>
                <w:sz w:val="24"/>
                <w:szCs w:val="24"/>
                <w:color w:val="auto"/>
              </w:rPr>
            </w:pPr>
          </w:p>
        </w:tc>
      </w:tr>
      <w:tr>
        <w:trPr>
          <w:trHeight w:val="231"/>
        </w:trPr>
        <w:tc>
          <w:tcPr>
            <w:tcW w:w="6680" w:type="dxa"/>
            <w:vAlign w:val="bottom"/>
          </w:tcPr>
          <w:p>
            <w:pPr>
              <w:jc w:val="center"/>
              <w:ind w:right="2822"/>
              <w:spacing w:after="0"/>
              <w:rPr>
                <w:sz w:val="20"/>
                <w:szCs w:val="20"/>
                <w:color w:val="auto"/>
              </w:rPr>
            </w:pPr>
            <w:r>
              <w:rPr>
                <w:rFonts w:ascii="Arial" w:cs="Arial" w:eastAsia="Arial" w:hAnsi="Arial"/>
                <w:sz w:val="18"/>
                <w:szCs w:val="18"/>
                <w:b w:val="1"/>
                <w:bCs w:val="1"/>
                <w:color w:val="auto"/>
                <w:w w:val="98"/>
              </w:rPr>
              <w:t>NEW YORK</w:t>
            </w:r>
          </w:p>
        </w:tc>
        <w:tc>
          <w:tcPr>
            <w:tcW w:w="1500" w:type="dxa"/>
            <w:vAlign w:val="bottom"/>
          </w:tcPr>
          <w:p>
            <w:pPr>
              <w:jc w:val="right"/>
              <w:ind w:right="224"/>
              <w:spacing w:after="0"/>
              <w:rPr>
                <w:sz w:val="20"/>
                <w:szCs w:val="20"/>
                <w:color w:val="auto"/>
              </w:rPr>
            </w:pPr>
            <w:r>
              <w:rPr>
                <w:rFonts w:ascii="Arial" w:cs="Arial" w:eastAsia="Arial" w:hAnsi="Arial"/>
                <w:sz w:val="18"/>
                <w:szCs w:val="18"/>
                <w:b w:val="1"/>
                <w:bCs w:val="1"/>
                <w:color w:val="auto"/>
              </w:rPr>
              <w:t>10017</w:t>
            </w:r>
          </w:p>
        </w:tc>
      </w:tr>
      <w:tr>
        <w:trPr>
          <w:trHeight w:val="174"/>
        </w:trPr>
        <w:tc>
          <w:tcPr>
            <w:tcW w:w="6680" w:type="dxa"/>
            <w:vAlign w:val="bottom"/>
          </w:tcPr>
          <w:p>
            <w:pPr>
              <w:jc w:val="center"/>
              <w:ind w:right="28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6"/>
              </w:rPr>
              <w:t>(Zip code)</w:t>
            </w:r>
          </w:p>
        </w:tc>
      </w:tr>
      <w:tr>
        <w:trPr>
          <w:trHeight w:val="352"/>
        </w:trPr>
        <w:tc>
          <w:tcPr>
            <w:tcW w:w="6680" w:type="dxa"/>
            <w:vAlign w:val="bottom"/>
          </w:tcPr>
          <w:p>
            <w:pPr>
              <w:jc w:val="right"/>
              <w:ind w:right="1342"/>
              <w:spacing w:after="0"/>
              <w:rPr>
                <w:sz w:val="20"/>
                <w:szCs w:val="20"/>
                <w:color w:val="auto"/>
              </w:rPr>
            </w:pPr>
            <w:r>
              <w:rPr>
                <w:rFonts w:ascii="Arial" w:cs="Arial" w:eastAsia="Arial" w:hAnsi="Arial"/>
                <w:sz w:val="18"/>
                <w:szCs w:val="18"/>
                <w:b w:val="1"/>
                <w:bCs w:val="1"/>
                <w:color w:val="auto"/>
              </w:rPr>
              <w:t>(212) 277-7100</w:t>
            </w:r>
          </w:p>
        </w:tc>
        <w:tc>
          <w:tcPr>
            <w:tcW w:w="1500" w:type="dxa"/>
            <w:vAlign w:val="bottom"/>
          </w:tcPr>
          <w:p>
            <w:pPr>
              <w:spacing w:after="0"/>
              <w:rPr>
                <w:sz w:val="24"/>
                <w:szCs w:val="24"/>
                <w:color w:val="auto"/>
              </w:rPr>
            </w:pPr>
          </w:p>
        </w:tc>
      </w:tr>
      <w:tr>
        <w:trPr>
          <w:trHeight w:val="174"/>
        </w:trPr>
        <w:tc>
          <w:tcPr>
            <w:tcW w:w="6680" w:type="dxa"/>
            <w:vAlign w:val="bottom"/>
          </w:tcPr>
          <w:p>
            <w:pPr>
              <w:jc w:val="center"/>
              <w:ind w:left="266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8440" w:space="160"/>
            <w:col w:w="260" w:space="100"/>
            <w:col w:w="140" w:space="200"/>
            <w:col w:w="200" w:space="100"/>
            <w:col w:w="1820"/>
          </w:cols>
          <w:pgMar w:left="240" w:top="230" w:right="239" w:bottom="1440" w:gutter="0" w:footer="0" w:header="0"/>
          <w:type w:val="continuous"/>
        </w:sectPr>
      </w:pPr>
    </w:p>
    <w:p>
      <w:pPr>
        <w:spacing w:after="0" w:line="6" w:lineRule="exact"/>
        <w:rPr>
          <w:sz w:val="24"/>
          <w:szCs w:val="24"/>
          <w:color w:val="auto"/>
        </w:rPr>
      </w:pPr>
    </w:p>
    <w:p>
      <w:pPr>
        <w:ind w:right="460" w:firstLine="456"/>
        <w:spacing w:after="0" w:line="268" w:lineRule="auto"/>
        <w:rPr>
          <w:sz w:val="20"/>
          <w:szCs w:val="20"/>
          <w:color w:val="auto"/>
        </w:rPr>
      </w:pPr>
      <w:r>
        <w:rPr>
          <w:rFonts w:ascii="Arial" w:cs="Arial" w:eastAsia="Arial" w:hAnsi="Arial"/>
          <w:sz w:val="18"/>
          <w:szCs w:val="18"/>
          <w:color w:val="auto"/>
        </w:rPr>
        <w:t>As of July 31, 2012, there were 31,974,871 shares of the registrant’s common stock outstanding (excluding 336,262 shares held in treasury and 9,907 shares of restricted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5" w:lineRule="exact"/>
        <w:rPr>
          <w:sz w:val="20"/>
          <w:szCs w:val="20"/>
          <w:color w:val="auto"/>
        </w:rPr>
      </w:pPr>
    </w:p>
    <w:p>
      <w:pPr>
        <w:ind w:left="10980"/>
        <w:spacing w:after="0"/>
        <w:rPr>
          <w:sz w:val="20"/>
          <w:szCs w:val="20"/>
          <w:color w:val="auto"/>
        </w:rPr>
      </w:pPr>
      <w:r>
        <w:rPr>
          <w:rFonts w:ascii="Arial" w:cs="Arial" w:eastAsia="Arial" w:hAnsi="Arial"/>
          <w:sz w:val="12"/>
          <w:szCs w:val="12"/>
          <w:u w:val="single" w:color="auto"/>
          <w:color w:val="auto"/>
        </w:rPr>
        <w:t>PAGE</w:t>
      </w:r>
    </w:p>
    <w:p>
      <w:pPr>
        <w:spacing w:after="0" w:line="27" w:lineRule="exact"/>
        <w:rPr>
          <w:sz w:val="20"/>
          <w:szCs w:val="20"/>
          <w:color w:val="auto"/>
        </w:rPr>
      </w:pPr>
    </w:p>
    <w:p>
      <w:pPr>
        <w:spacing w:after="0"/>
        <w:tabs>
          <w:tab w:leader="none" w:pos="760" w:val="left"/>
          <w:tab w:leader="none" w:pos="11220" w:val="left"/>
        </w:tabs>
        <w:rPr>
          <w:rFonts w:ascii="Arial" w:cs="Arial" w:eastAsia="Arial" w:hAnsi="Arial"/>
          <w:sz w:val="18"/>
          <w:szCs w:val="18"/>
          <w:color w:val="0000EE"/>
        </w:rPr>
      </w:pPr>
      <w:r>
        <w:rPr>
          <w:rFonts w:ascii="Arial" w:cs="Arial" w:eastAsia="Arial" w:hAnsi="Arial"/>
          <w:sz w:val="18"/>
          <w:szCs w:val="18"/>
          <w:color w:val="auto"/>
        </w:rPr>
        <w:t>ITEM</w:t>
      </w:r>
      <w:r>
        <w:rPr>
          <w:sz w:val="20"/>
          <w:szCs w:val="20"/>
          <w:color w:val="auto"/>
        </w:rPr>
        <w:tab/>
      </w:r>
      <w:hyperlink w:anchor="page3">
        <w:r>
          <w:rPr>
            <w:rFonts w:ascii="Arial" w:cs="Arial" w:eastAsia="Arial" w:hAnsi="Arial"/>
            <w:sz w:val="18"/>
            <w:szCs w:val="18"/>
            <w:u w:val="single" w:color="auto"/>
            <w:color w:val="0000EE"/>
          </w:rPr>
          <w:t>PART I. FINANCIAL INFORMATION</w:t>
        </w:r>
      </w:hyperlink>
      <w:r>
        <w:rPr>
          <w:rFonts w:ascii="Arial" w:cs="Arial" w:eastAsia="Arial" w:hAnsi="Arial"/>
          <w:sz w:val="18"/>
          <w:szCs w:val="18"/>
          <w:color w:val="0000EE"/>
        </w:rPr>
        <w:tab/>
      </w:r>
      <w:r>
        <w:rPr>
          <w:rFonts w:ascii="Arial" w:cs="Arial" w:eastAsia="Arial" w:hAnsi="Arial"/>
          <w:sz w:val="14"/>
          <w:szCs w:val="14"/>
          <w:color w:val="0000EE"/>
        </w:rPr>
        <w:t>3</w:t>
      </w:r>
    </w:p>
    <w:p>
      <w:pPr>
        <w:spacing w:after="0" w:line="117" w:lineRule="exact"/>
        <w:rPr>
          <w:sz w:val="20"/>
          <w:szCs w:val="20"/>
          <w:color w:val="auto"/>
        </w:rPr>
      </w:pPr>
    </w:p>
    <w:p>
      <w:pPr>
        <w:ind w:left="780" w:hanging="684"/>
        <w:spacing w:after="0"/>
        <w:tabs>
          <w:tab w:leader="none" w:pos="780" w:val="left"/>
        </w:tabs>
        <w:numPr>
          <w:ilvl w:val="0"/>
          <w:numId w:val="3"/>
        </w:numPr>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bl>
      <w:tblPr>
        <w:tblLayout w:type="fixed"/>
        <w:tblInd w:w="0" w:type="dxa"/>
        <w:tblCellMar>
          <w:top w:w="0" w:type="dxa"/>
          <w:left w:w="0" w:type="dxa"/>
          <w:bottom w:w="0" w:type="dxa"/>
          <w:right w:w="0" w:type="dxa"/>
        </w:tblCellMar>
      </w:tblPr>
      <w:tr>
        <w:trPr>
          <w:trHeight w:val="193"/>
        </w:trPr>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40" w:type="dxa"/>
            <w:vAlign w:val="bottom"/>
            <w:tcBorders>
              <w:bottom w:val="single" w:sz="8" w:color="0000EE"/>
            </w:tcBorders>
            <w:gridSpan w:val="15"/>
          </w:tcPr>
          <w:p>
            <w:pPr>
              <w:spacing w:after="0" w:line="193"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as of June 30, 2012 (Unaudited) and December 31, 2011</w:t>
              </w:r>
            </w:hyperlink>
          </w:p>
        </w:tc>
        <w:tc>
          <w:tcPr>
            <w:tcW w:w="3600" w:type="dxa"/>
            <w:vAlign w:val="bottom"/>
            <w:gridSpan w:val="4"/>
          </w:tcPr>
          <w:p>
            <w:pPr>
              <w:spacing w:after="0"/>
              <w:rPr>
                <w:sz w:val="16"/>
                <w:szCs w:val="16"/>
                <w:color w:val="auto"/>
              </w:rPr>
            </w:pPr>
          </w:p>
        </w:tc>
        <w:tc>
          <w:tcPr>
            <w:tcW w:w="460" w:type="dxa"/>
            <w:vAlign w:val="bottom"/>
          </w:tcPr>
          <w:p>
            <w:pPr>
              <w:jc w:val="right"/>
              <w:spacing w:after="0" w:line="193" w:lineRule="exact"/>
              <w:rPr>
                <w:sz w:val="20"/>
                <w:szCs w:val="20"/>
                <w:color w:val="auto"/>
              </w:rPr>
            </w:pPr>
            <w:r>
              <w:rPr>
                <w:rFonts w:ascii="Arial" w:cs="Arial" w:eastAsia="Arial" w:hAnsi="Arial"/>
                <w:sz w:val="18"/>
                <w:szCs w:val="18"/>
                <w:color w:val="auto"/>
              </w:rPr>
              <w:t>3</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Income (Unaudited) for the Three Months Ended and Six Months Ended June 30, 2012 and 2011</w:t>
              </w:r>
            </w:hyperlink>
          </w:p>
        </w:tc>
        <w:tc>
          <w:tcPr>
            <w:tcW w:w="82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4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Comprehensive Income/(Loss) (Unaudited) for the Three Months Ended and Six Months Ended June 30,</w:t>
              </w:r>
            </w:hyperlink>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2012 and 2011</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 (Unaudited) for the Six Months Ended June 30, 2012 and 2011</w:t>
              </w:r>
            </w:hyperlink>
          </w:p>
        </w:tc>
        <w:tc>
          <w:tcPr>
            <w:tcW w:w="234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Consolidated Financial Statements (Unaudited)</w:t>
              </w:r>
            </w:hyperlink>
          </w:p>
        </w:tc>
        <w:tc>
          <w:tcPr>
            <w:tcW w:w="5680" w:type="dxa"/>
            <w:vAlign w:val="bottom"/>
            <w:gridSpan w:val="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63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3780" w:type="dxa"/>
            <w:vAlign w:val="bottom"/>
            <w:gridSpan w:val="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42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Quantitative and Qualitative Disclosures About Market Risk</w:t>
              </w:r>
            </w:hyperlink>
          </w:p>
        </w:tc>
        <w:tc>
          <w:tcPr>
            <w:tcW w:w="582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174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Controls and Procedures</w:t>
              </w:r>
            </w:hyperlink>
          </w:p>
        </w:tc>
        <w:tc>
          <w:tcPr>
            <w:tcW w:w="8340" w:type="dxa"/>
            <w:vAlign w:val="bottom"/>
            <w:gridSpan w:val="11"/>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8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Legal Proceedings</w:t>
              </w:r>
            </w:hyperlink>
          </w:p>
        </w:tc>
        <w:tc>
          <w:tcPr>
            <w:tcW w:w="1200" w:type="dxa"/>
            <w:vAlign w:val="bottom"/>
            <w:tcBorders>
              <w:top w:val="single" w:sz="8" w:color="0000EE"/>
            </w:tcBorders>
            <w:gridSpan w:val="5"/>
          </w:tcPr>
          <w:p>
            <w:pPr>
              <w:spacing w:after="0"/>
              <w:rPr>
                <w:sz w:val="24"/>
                <w:szCs w:val="24"/>
                <w:color w:val="auto"/>
              </w:rPr>
            </w:pPr>
          </w:p>
        </w:tc>
        <w:tc>
          <w:tcPr>
            <w:tcW w:w="758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1A.</w:t>
            </w:r>
          </w:p>
        </w:tc>
        <w:tc>
          <w:tcPr>
            <w:tcW w:w="1008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24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Unregistered Sales of Equity Securities and Use of Proceeds</w:t>
              </w:r>
            </w:hyperlink>
          </w:p>
        </w:tc>
        <w:tc>
          <w:tcPr>
            <w:tcW w:w="584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1008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2260" w:type="dxa"/>
            <w:vAlign w:val="bottom"/>
            <w:tcBorders>
              <w:top w:val="single" w:sz="8" w:color="0000EE"/>
            </w:tcBorders>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7820" w:type="dxa"/>
            <w:vAlign w:val="bottom"/>
            <w:gridSpan w:val="10"/>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1720" w:type="dxa"/>
            <w:vAlign w:val="bottom"/>
            <w:tcBorders>
              <w:top w:val="single" w:sz="8" w:color="0000EE"/>
            </w:tcBorders>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836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c>
          <w:tcPr>
            <w:tcW w:w="1280" w:type="dxa"/>
            <w:vAlign w:val="bottom"/>
            <w:tcBorders>
              <w:top w:val="single" w:sz="8" w:color="0000EE"/>
            </w:tcBorders>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8800" w:type="dxa"/>
            <w:vAlign w:val="bottom"/>
            <w:gridSpan w:val="1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80" w:type="dxa"/>
            <w:vAlign w:val="bottom"/>
            <w:gridSpan w:val="2"/>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Signatures</w:t>
              </w:r>
            </w:hyperlink>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gridSpan w:val="15"/>
          </w:tcPr>
          <w:p>
            <w:pPr>
              <w:ind w:left="49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340" w:type="dxa"/>
            <w:vAlign w:val="bottom"/>
          </w:tcPr>
          <w:p>
            <w:pPr>
              <w:jc w:val="center"/>
              <w:ind w:left="95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40" w:type="dxa"/>
            <w:vAlign w:val="bottom"/>
          </w:tcPr>
          <w:p>
            <w:pPr>
              <w:jc w:val="center"/>
              <w:ind w:left="952"/>
              <w:spacing w:after="0"/>
              <w:rPr>
                <w:sz w:val="20"/>
                <w:szCs w:val="20"/>
                <w:color w:val="auto"/>
              </w:rPr>
            </w:pPr>
            <w:r>
              <w:rPr>
                <w:rFonts w:ascii="Arial" w:cs="Arial" w:eastAsia="Arial" w:hAnsi="Arial"/>
                <w:sz w:val="18"/>
                <w:szCs w:val="18"/>
                <w:b w:val="1"/>
                <w:bCs w:val="1"/>
                <w:color w:val="auto"/>
                <w:w w:val="99"/>
              </w:rPr>
              <w:t>EXLSERVICE HOLDINGS, INC.</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40" w:type="dxa"/>
            <w:vAlign w:val="bottom"/>
          </w:tcPr>
          <w:p>
            <w:pPr>
              <w:jc w:val="center"/>
              <w:ind w:left="97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340" w:type="dxa"/>
            <w:vAlign w:val="bottom"/>
          </w:tcPr>
          <w:p>
            <w:pPr>
              <w:jc w:val="center"/>
              <w:ind w:left="95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82,393</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6,502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7,869</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61,673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55,672</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4,269</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8,120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6,228</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184,013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166,841</w:t>
            </w:r>
          </w:p>
        </w:tc>
        <w:tc>
          <w:tcPr>
            <w:tcW w:w="100" w:type="dxa"/>
            <w:vAlign w:val="bottom"/>
            <w:shd w:val="clear" w:color="auto" w:fill="CCEEFF"/>
          </w:tcPr>
          <w:p>
            <w:pPr>
              <w:spacing w:after="0"/>
              <w:rPr>
                <w:sz w:val="18"/>
                <w:szCs w:val="18"/>
                <w:color w:val="auto"/>
              </w:rPr>
            </w:pP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41,252</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42,320</w:t>
            </w: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14,831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16,495</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36,313</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Goodwill</w:t>
            </w:r>
          </w:p>
        </w:tc>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91,339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92,287</w:t>
            </w: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assets</w:t>
            </w:r>
          </w:p>
        </w:tc>
        <w:tc>
          <w:tcPr>
            <w:tcW w:w="8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19,768</w:t>
            </w:r>
          </w:p>
        </w:tc>
        <w:tc>
          <w:tcPr>
            <w:tcW w:w="100" w:type="dxa"/>
            <w:vAlign w:val="bottom"/>
            <w:shd w:val="clear" w:color="auto" w:fill="CCEEFF"/>
          </w:tcPr>
          <w:p>
            <w:pPr>
              <w:spacing w:after="0"/>
              <w:rPr>
                <w:sz w:val="18"/>
                <w:szCs w:val="18"/>
                <w:color w:val="auto"/>
              </w:rPr>
            </w:pP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388,251</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377,411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4,333</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6,384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7,772</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27,700</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29,409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30,700</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72,234</w:t>
            </w:r>
          </w:p>
        </w:tc>
        <w:tc>
          <w:tcPr>
            <w:tcW w:w="100" w:type="dxa"/>
            <w:vAlign w:val="bottom"/>
            <w:shd w:val="clear" w:color="auto" w:fill="CCEEFF"/>
          </w:tcPr>
          <w:p>
            <w:pPr>
              <w:spacing w:after="0"/>
              <w:rPr>
                <w:sz w:val="18"/>
                <w:szCs w:val="18"/>
                <w:color w:val="auto"/>
              </w:rPr>
            </w:pP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3,318</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4,244</w:t>
            </w: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21,187</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22,458</w:t>
            </w:r>
          </w:p>
        </w:tc>
        <w:tc>
          <w:tcPr>
            <w:tcW w:w="100" w:type="dxa"/>
            <w:vAlign w:val="bottom"/>
            <w:shd w:val="clear" w:color="auto" w:fill="CCEEFF"/>
          </w:tcPr>
          <w:p>
            <w:pPr>
              <w:spacing w:after="0"/>
              <w:rPr>
                <w:sz w:val="18"/>
                <w:szCs w:val="18"/>
                <w:color w:val="auto"/>
              </w:rPr>
            </w:pP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85,570</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98,936</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w w:val="95"/>
              </w:rPr>
              <w:t>Common stock, $0.001 par value; 100,000,000 shares authorized, 32,309,413 shares issued and 31,973,151 shares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640"/>
              <w:spacing w:after="0"/>
              <w:rPr>
                <w:sz w:val="20"/>
                <w:szCs w:val="20"/>
                <w:color w:val="auto"/>
              </w:rPr>
            </w:pPr>
            <w:r>
              <w:rPr>
                <w:rFonts w:ascii="Arial" w:cs="Arial" w:eastAsia="Arial" w:hAnsi="Arial"/>
                <w:sz w:val="18"/>
                <w:szCs w:val="18"/>
                <w:color w:val="auto"/>
                <w:w w:val="91"/>
              </w:rPr>
              <w:t>outstanding as of June 30, 2012 and 31,496,461 shares issued and 31,173,064 shares outstanding as of December 31,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20" w:type="dxa"/>
            <w:vAlign w:val="bottom"/>
            <w:gridSpan w:val="2"/>
          </w:tcPr>
          <w:p>
            <w:pPr>
              <w:ind w:left="660"/>
              <w:spacing w:after="0"/>
              <w:rPr>
                <w:sz w:val="20"/>
                <w:szCs w:val="20"/>
                <w:color w:val="auto"/>
              </w:rPr>
            </w:pPr>
            <w:r>
              <w:rPr>
                <w:rFonts w:ascii="Arial" w:cs="Arial" w:eastAsia="Arial" w:hAnsi="Arial"/>
                <w:sz w:val="18"/>
                <w:szCs w:val="18"/>
                <w:color w:val="auto"/>
                <w:w w:val="84"/>
              </w:rPr>
              <w:t>2011</w:t>
            </w:r>
          </w:p>
        </w:tc>
        <w:tc>
          <w:tcPr>
            <w:tcW w:w="8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7"/>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186,696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173,926</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165,016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147,046</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(46,063)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(39,858)</w:t>
            </w: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305,681</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281,145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336,262 shares as of June 30, 2012 and 323,397 shares as of December 31, 2011, held in treasury, at cost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(2,693)</w:t>
            </w: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color w:val="auto"/>
              </w:rPr>
              <w:t>ExlService Holdings, Inc. stockholders’ equity</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302,657</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278,452</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302,681</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278,475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388,251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377,411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w w:val="95"/>
              </w:rPr>
              <w:t>Three months ended 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66,045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51,998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132,717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41,985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13,858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7,694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6,040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27,592</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23,622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14,393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(loss)/gain</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12,680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3,626</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17,970</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0.27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0.55</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31,970,881</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29,859,811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31,708,237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29,740,676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33,096,607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31,043,426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32,940,231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30,912,021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8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89"/>
              </w:rPr>
              <w:t>Three months ended June 30,</w:t>
            </w:r>
          </w:p>
        </w:tc>
        <w:tc>
          <w:tcPr>
            <w:tcW w:w="160" w:type="dxa"/>
            <w:vAlign w:val="bottom"/>
          </w:tcPr>
          <w:p>
            <w:pPr>
              <w:spacing w:after="0"/>
              <w:rPr>
                <w:sz w:val="14"/>
                <w:szCs w:val="14"/>
                <w:color w:val="auto"/>
              </w:rPr>
            </w:pPr>
          </w:p>
        </w:tc>
        <w:tc>
          <w:tcPr>
            <w:tcW w:w="1780" w:type="dxa"/>
            <w:vAlign w:val="bottom"/>
            <w:gridSpan w:val="6"/>
          </w:tcPr>
          <w:p>
            <w:pPr>
              <w:ind w:left="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Other comprehensive income: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(loss)/gain on effective cash flow hedges, net of taxes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(12,686)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(6,463)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Retirement benefits, net of taxes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vMerge w:val="restart"/>
          </w:tcPr>
          <w:p>
            <w:pPr>
              <w:ind w:left="420"/>
              <w:spacing w:after="0"/>
              <w:rPr>
                <w:sz w:val="20"/>
                <w:szCs w:val="20"/>
                <w:color w:val="auto"/>
              </w:rPr>
            </w:pPr>
            <w:r>
              <w:rPr>
                <w:rFonts w:ascii="Arial" w:cs="Arial" w:eastAsia="Arial" w:hAnsi="Arial"/>
                <w:sz w:val="18"/>
                <w:szCs w:val="18"/>
                <w:color w:val="auto"/>
              </w:rPr>
              <w:t>Total other comprehensive (loss)/income</w:t>
            </w: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(18,863)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(6,205)</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(loss)/income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11,765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5"/>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17,970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12,399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Amortization of debt issuance cost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Non-employee stock options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Unrealized foreign exchange (gain)/loss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(5,948)</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(3,875)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Accrued employee cost</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(7,282)</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Advance income tax,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3,188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19,453</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(13,199)</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 (net of cash acquired)</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(3,292)</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redemption of short-term investments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(12,170)</w:t>
            </w: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(90,169)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Repayments of short-term borrowings</w:t>
            </w: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Payment of debt issuance costs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6,077</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Net increase/(decrease) in cash and cash equivalents</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12,127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(31,827)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82,393</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94,520</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services and transformation services. The Company’s clients are located principally in the United States and the United Kingdom.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The unaudited interim consolidated financial statements have been prepared in accordance with generally accepted accounting principles for interim financial information, the instructions to Form 10-Q and Article 10 of Regulation S-X. Accordingly, they do not include all of the information and footnotes required by generally accepted accounting principles for annual financial statements and therefore should be read in conjunction with the audited consolidated financial statements and footnotes thereto included in the Company’s Annual Report on Form 10-K for the fiscal year ended December 31, 2011.</w:t>
      </w:r>
    </w:p>
    <w:p>
      <w:pPr>
        <w:spacing w:after="0" w:line="9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15" w:lineRule="exact"/>
        <w:rPr>
          <w:sz w:val="20"/>
          <w:szCs w:val="20"/>
          <w:color w:val="auto"/>
        </w:rPr>
      </w:pPr>
    </w:p>
    <w:p>
      <w:pPr>
        <w:ind w:left="240" w:right="7880" w:hanging="232"/>
        <w:spacing w:after="0" w:line="347" w:lineRule="auto"/>
        <w:tabs>
          <w:tab w:leader="none" w:pos="18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13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non-controlling interest represents the minority partner’s interest in the operation of exl Service.com (India) Private Limited (“Exl India”) and the profits associated with the minority partner’s interest in those operations, in the unaudited consolidated balance sheet and unaudited consolidated statement of income, respectively. This non-controlling interest in these operations for the three and six months ended June 30, 2012 and 2011 was insignificant and is included under general and administrative expenses in the unaudited consolidated statements of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preparation of the unaudited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recoverability of long-term assets including goodwill and intangibles and estimates to complete fixed price contracts.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May 2011, the Financial Accounting Standards Board (“FASB”) issued update No. 2011-04, “</w:t>
      </w:r>
      <w:r>
        <w:rPr>
          <w:rFonts w:ascii="Arial" w:cs="Arial" w:eastAsia="Arial" w:hAnsi="Arial"/>
          <w:sz w:val="16"/>
          <w:szCs w:val="16"/>
          <w:i w:val="1"/>
          <w:iCs w:val="1"/>
          <w:color w:val="auto"/>
        </w:rPr>
        <w:t>Amendments to Achieve Common 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and Disclosure Requirements in U.S. GAAP and IFRS</w:t>
      </w:r>
      <w:r>
        <w:rPr>
          <w:rFonts w:ascii="Arial" w:cs="Arial" w:eastAsia="Arial" w:hAnsi="Arial"/>
          <w:sz w:val="16"/>
          <w:szCs w:val="16"/>
          <w:color w:val="auto"/>
        </w:rPr>
        <w:t>” (ASU No. 2011-04). ASU No. 2011-04 was intended to improve the comparability of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presented and disclosed in financial statements prepared in accordance with GAAP and International Financial Reporting Standards (“IFRS”). The amendments in this update result in common fair value measurement and disclosure requirements in GAAP and IFRS. The update explains how to measure fair value and does not require additional measurements. The adoption of this accounting pronouncement from January 1, 2012 did not have any impact on the Company’s unaudited consolidated financial statements.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June 2011, the FASB issued update No.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(ASU No. 2011-05). ASU No. 2011-05, effective retrospectively for the interim and annual periods beginning on or after December 15, 2011 (early adoption is permitted), requires presentation of total comprehensive income, the components of net income, and the components of other comprehensive income either in a single continuous statement of comprehensive income or in two separate but consecutive statements. In December 2011, the FASB issued update No. 2011-12, which deferred the requirement to present on the face of the financial statements the effects of reclassifications out of accumulated other comprehensive income on the components of net income and other comprehensive income for annual and interim financial statements. The adoption of this accounting pronouncement from January 1, 2012 did not have any impact on the Company’s unaudited consolidated financial statements. The Company adopted the option of presentation in two separate but consecutive statements. Refer to the Company’s unaudited consolidated statements of comprehensive income/(loss) for further details.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2011, the FASB issued update No.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(ASU No. 2011-08), which allows entities to use a qualitative approach to test goodwill for impairment. ASU No. 2011-08 permits an entity to first perform a qualitative assessment to determine whether it is more likely than not that the fair value of a reporting unit is less than its carrying value. If it is concluded that this is the case, it is necessary to perform the currently prescribed two-step goodwill impairment test. Otherwise, the two-step goodwill impairment test is not required. ASU No. 2011-08 is effective for annual and interim goodwill impairment tests performed for fiscal years beginning after December 15, 2011. The adoption of this accounting pronouncement did not have a material impact on the Company’s unaudited consolidated financial statements and the Company does not expect this to have a material impact on its annual goodwill impairment assessment in the fourth quarter of fiscal 2012.</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June 30,</w:t>
            </w:r>
          </w:p>
        </w:tc>
        <w:tc>
          <w:tcPr>
            <w:tcW w:w="520" w:type="dxa"/>
            <w:vAlign w:val="bottom"/>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26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9,601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6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00" w:type="dxa"/>
            <w:vAlign w:val="bottom"/>
            <w:gridSpan w:val="2"/>
          </w:tcPr>
          <w:p>
            <w:pPr>
              <w:ind w:left="1140"/>
              <w:spacing w:after="0"/>
              <w:rPr>
                <w:sz w:val="20"/>
                <w:szCs w:val="20"/>
                <w:color w:val="auto"/>
              </w:rPr>
            </w:pPr>
            <w:r>
              <w:rPr>
                <w:rFonts w:ascii="Arial" w:cs="Arial" w:eastAsia="Arial" w:hAnsi="Arial"/>
                <w:sz w:val="18"/>
                <w:szCs w:val="18"/>
                <w:color w:val="auto"/>
              </w:rPr>
              <w:t>Accrued expenses and other current liabilities</w:t>
            </w:r>
          </w:p>
        </w:tc>
        <w:tc>
          <w:tcPr>
            <w:tcW w:w="2760" w:type="dxa"/>
            <w:vAlign w:val="bottom"/>
            <w:gridSpan w:val="3"/>
          </w:tcPr>
          <w:p>
            <w:pPr>
              <w:jc w:val="right"/>
              <w:ind w:right="3"/>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29,409</w:t>
            </w:r>
          </w:p>
        </w:tc>
        <w:tc>
          <w:tcPr>
            <w:tcW w:w="20" w:type="dxa"/>
            <w:vAlign w:val="bottom"/>
          </w:tcPr>
          <w:p>
            <w:pPr>
              <w:spacing w:after="0"/>
              <w:rPr>
                <w:sz w:val="19"/>
                <w:szCs w:val="19"/>
                <w:color w:val="auto"/>
              </w:rPr>
            </w:pPr>
          </w:p>
        </w:tc>
        <w:tc>
          <w:tcPr>
            <w:tcW w:w="72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2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00" w:type="dxa"/>
            <w:vAlign w:val="bottom"/>
            <w:gridSpan w:val="2"/>
            <w:vMerge w:val="continue"/>
          </w:tcPr>
          <w:p>
            <w:pPr>
              <w:spacing w:after="0"/>
              <w:rPr>
                <w:sz w:val="24"/>
                <w:szCs w:val="24"/>
                <w:color w:val="auto"/>
              </w:rPr>
            </w:pPr>
          </w:p>
        </w:tc>
        <w:tc>
          <w:tcPr>
            <w:tcW w:w="2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24"/>
                <w:szCs w:val="24"/>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instruments</w:t>
            </w:r>
          </w:p>
        </w:tc>
        <w:tc>
          <w:tcPr>
            <w:tcW w:w="26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8,640</w:t>
            </w:r>
          </w:p>
        </w:tc>
        <w:tc>
          <w:tcPr>
            <w:tcW w:w="5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5,315</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Retirement benefits</w:t>
            </w:r>
          </w:p>
        </w:tc>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2,196</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00" w:type="dxa"/>
            <w:vAlign w:val="bottom"/>
            <w:gridSpan w:val="2"/>
          </w:tcPr>
          <w:p>
            <w:pPr>
              <w:ind w:left="1140"/>
              <w:spacing w:after="0"/>
              <w:rPr>
                <w:sz w:val="20"/>
                <w:szCs w:val="20"/>
                <w:color w:val="auto"/>
              </w:rPr>
            </w:pPr>
            <w:r>
              <w:rPr>
                <w:rFonts w:ascii="Arial" w:cs="Arial" w:eastAsia="Arial" w:hAnsi="Arial"/>
                <w:sz w:val="18"/>
                <w:szCs w:val="18"/>
                <w:color w:val="auto"/>
              </w:rPr>
              <w:t>Non-current liabilities</w:t>
            </w:r>
          </w:p>
        </w:tc>
        <w:tc>
          <w:tcPr>
            <w:tcW w:w="2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21,187</w:t>
            </w:r>
          </w:p>
        </w:tc>
        <w:tc>
          <w:tcPr>
            <w:tcW w:w="7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00" w:type="dxa"/>
            <w:vAlign w:val="bottom"/>
            <w:vMerge w:val="restart"/>
          </w:tcPr>
          <w:p>
            <w:pPr>
              <w:jc w:val="right"/>
              <w:ind w:right="1892"/>
              <w:spacing w:after="0"/>
              <w:rPr>
                <w:sz w:val="20"/>
                <w:szCs w:val="20"/>
                <w:color w:val="auto"/>
              </w:rPr>
            </w:pPr>
            <w:r>
              <w:rPr>
                <w:rFonts w:ascii="Arial" w:cs="Arial" w:eastAsia="Arial" w:hAnsi="Arial"/>
                <w:sz w:val="18"/>
                <w:szCs w:val="18"/>
                <w:color w:val="auto"/>
              </w:rPr>
              <w:t>8</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55"/>
              <w:spacing w:after="0"/>
              <w:rPr>
                <w:sz w:val="20"/>
                <w:szCs w:val="20"/>
                <w:color w:val="auto"/>
              </w:rPr>
            </w:pPr>
            <w:r>
              <w:rPr>
                <w:rFonts w:ascii="Arial" w:cs="Arial" w:eastAsia="Arial" w:hAnsi="Arial"/>
                <w:sz w:val="14"/>
                <w:szCs w:val="14"/>
                <w:b w:val="1"/>
                <w:bCs w:val="1"/>
                <w:color w:val="auto"/>
                <w:w w:val="87"/>
              </w:rPr>
              <w:t>Three months ended June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1"/>
        </w:trPr>
        <w:tc>
          <w:tcPr>
            <w:tcW w:w="59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9,054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17,970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Basic weighted average common shares outstanding</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31,970,881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29,859,811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31,708,237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29,740,676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Dilutive effect of share based awards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1,125,726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1,183,615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1,231,994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1,171,345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Diluted weighted average common shares outstanding</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33,096,607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31,043,426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32,940,231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30,912,021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88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40" w:type="dxa"/>
            <w:vAlign w:val="bottom"/>
          </w:tcPr>
          <w:p>
            <w:pPr>
              <w:spacing w:after="0"/>
              <w:rPr>
                <w:sz w:val="20"/>
                <w:szCs w:val="20"/>
                <w:color w:val="auto"/>
              </w:rPr>
            </w:pPr>
            <w:r>
              <w:rPr>
                <w:rFonts w:ascii="Arial" w:cs="Arial" w:eastAsia="Arial" w:hAnsi="Arial"/>
                <w:sz w:val="18"/>
                <w:szCs w:val="18"/>
                <w:color w:val="auto"/>
                <w:w w:val="93"/>
              </w:rPr>
              <w:t>Weighted average common shares considered anti-dilutive in computing diluted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40" w:type="dxa"/>
            <w:vAlign w:val="bottom"/>
          </w:tcPr>
          <w:p>
            <w:pPr>
              <w:ind w:left="22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539,818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446,595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439,028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528,832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organized around its outsourcing services and transformation services segments.</w:t>
      </w:r>
    </w:p>
    <w:p>
      <w:pPr>
        <w:spacing w:after="0" w:line="171"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chief operating decision maker generally reviews financial information at the consolidated statement of income level but does not review any information except for revenues and cost of revenues of the individual segments. Therefore, the Company does not allocate depreciation, amortization, other income, capital expenditures and income taxes to its operating segments. Consequently, it is not practical to show assets, capital expenditures, depreciation or amortization by segment.</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June 30, 2012 and 2011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8"/>
          </w:tcPr>
          <w:p>
            <w:pPr>
              <w:jc w:val="right"/>
              <w:ind w:right="960"/>
              <w:spacing w:after="0"/>
              <w:rPr>
                <w:sz w:val="20"/>
                <w:szCs w:val="20"/>
                <w:color w:val="auto"/>
              </w:rPr>
            </w:pPr>
            <w:r>
              <w:rPr>
                <w:rFonts w:ascii="Arial" w:cs="Arial" w:eastAsia="Arial" w:hAnsi="Arial"/>
                <w:sz w:val="14"/>
                <w:szCs w:val="14"/>
                <w:b w:val="1"/>
                <w:bCs w:val="1"/>
                <w:color w:val="auto"/>
              </w:rPr>
              <w:t>Three months ended June 30, 2012</w:t>
            </w:r>
          </w:p>
        </w:tc>
        <w:tc>
          <w:tcPr>
            <w:tcW w:w="100" w:type="dxa"/>
            <w:vAlign w:val="bottom"/>
          </w:tcPr>
          <w:p>
            <w:pPr>
              <w:spacing w:after="0"/>
              <w:rPr>
                <w:sz w:val="14"/>
                <w:szCs w:val="14"/>
                <w:color w:val="auto"/>
              </w:rPr>
            </w:pPr>
          </w:p>
        </w:tc>
        <w:tc>
          <w:tcPr>
            <w:tcW w:w="242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June 30, 2011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Transformation</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Outsourcing</w:t>
            </w:r>
          </w:p>
        </w:tc>
        <w:tc>
          <w:tcPr>
            <w:tcW w:w="4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4"/>
                <w:szCs w:val="14"/>
                <w:b w:val="1"/>
                <w:bCs w:val="1"/>
                <w:color w:val="auto"/>
                <w:w w:val="79"/>
              </w:rPr>
              <w:t>Services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Services</w:t>
            </w:r>
          </w:p>
        </w:tc>
        <w:tc>
          <w:tcPr>
            <w:tcW w:w="80" w:type="dxa"/>
            <w:vAlign w:val="bottom"/>
          </w:tcPr>
          <w:p>
            <w:pPr>
              <w:spacing w:after="0"/>
              <w:rPr>
                <w:sz w:val="14"/>
                <w:szCs w:val="14"/>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88,922</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19,108</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108,030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68,733</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16,295</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85,028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7"/>
              </w:rPr>
              <w:t>Cost of revenues (exclusive of depreciation and amortization)</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54,501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11,544</w:t>
            </w: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66,045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41,338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10,660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51,998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41,985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27,395</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27,592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9,054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vMerge w:val="restart"/>
          </w:tcPr>
          <w:p>
            <w:pPr>
              <w:jc w:val="right"/>
              <w:ind w:right="72"/>
              <w:spacing w:after="0"/>
              <w:rPr>
                <w:sz w:val="20"/>
                <w:szCs w:val="20"/>
                <w:color w:val="auto"/>
              </w:rPr>
            </w:pPr>
            <w:r>
              <w:rPr>
                <w:rFonts w:ascii="Arial" w:cs="Arial" w:eastAsia="Arial" w:hAnsi="Arial"/>
                <w:sz w:val="18"/>
                <w:szCs w:val="18"/>
                <w:color w:val="auto"/>
              </w:rPr>
              <w:t>9</w:t>
            </w: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Revenues and cost of revenues for each of the six months ended June 30, 2012 and 2011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Six months ended June 30, 2012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9"/>
          </w:tcPr>
          <w:p>
            <w:pPr>
              <w:ind w:left="440"/>
              <w:spacing w:after="0"/>
              <w:rPr>
                <w:sz w:val="20"/>
                <w:szCs w:val="20"/>
                <w:color w:val="auto"/>
              </w:rPr>
            </w:pPr>
            <w:r>
              <w:rPr>
                <w:rFonts w:ascii="Arial" w:cs="Arial" w:eastAsia="Arial" w:hAnsi="Arial"/>
                <w:sz w:val="14"/>
                <w:szCs w:val="14"/>
                <w:b w:val="1"/>
                <w:bCs w:val="1"/>
                <w:color w:val="auto"/>
              </w:rPr>
              <w:t>Six months ended June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Outsourcing</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178,656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212,638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125,574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32,361</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157,935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110,979</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132,717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75,572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20,645</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On May 31, 2011, the Company completed its acquisition of Business Process Outsourcing Inc., a Delaware corporation formerly organized as a Cayman Islands exempted company (“OPI”), pursuant to a Merger Agreement, dated as of April 30, 2011 (the “OPI Acquisition”).</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October 1, 2011, the Company also acquired Trumbull Services, LLC. (“Trumbull”), a market leader in subrogation services for property and casualty insurance companies, from The Hartford Financial Services Group, Inc. (the “Trumbull Acquisition”).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June 30,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4"/>
              </w:rPr>
              <w:t>Outsourcing</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Transformation</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3"/>
              </w:rPr>
              <w:t>Services</w:t>
            </w:r>
          </w:p>
        </w:tc>
        <w:tc>
          <w:tcPr>
            <w:tcW w:w="1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26,585</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7"/>
              </w:rPr>
              <w:t>16,785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$43,370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Goodwill arising from OPI acquisition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54,604</w:t>
            </w:r>
          </w:p>
        </w:tc>
        <w:tc>
          <w:tcPr>
            <w:tcW w:w="14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54,604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 translation adjustments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(5,687)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2011</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4620" w:type="dxa"/>
            <w:vAlign w:val="bottom"/>
            <w:gridSpan w:val="2"/>
            <w:vMerge w:val="continue"/>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75,502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16,785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$92,287</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Purchase accounting adjustments </w:t>
            </w:r>
            <w:r>
              <w:rPr>
                <w:rFonts w:ascii="Arial" w:cs="Arial" w:eastAsia="Arial" w:hAnsi="Arial"/>
                <w:sz w:val="11"/>
                <w:szCs w:val="11"/>
                <w:color w:val="auto"/>
              </w:rPr>
              <w:t>(1)</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Currency translation adjustments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(1,370)</w:t>
            </w:r>
          </w:p>
        </w:tc>
        <w:tc>
          <w:tcPr>
            <w:tcW w:w="14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74,554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16,785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91,339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Relates to the OPI acquisition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As of June 30, 2012</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78"/>
              </w:rPr>
              <w:t>Gross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Carrying</w:t>
            </w:r>
          </w:p>
        </w:tc>
        <w:tc>
          <w:tcPr>
            <w:tcW w:w="56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$33,052</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(6,098)</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Leasehold benefits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3,317</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2,133</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Non-compete agreements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1,316</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16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42,540</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(9,135)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33,405</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 December 31, 2011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6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78"/>
              </w:rPr>
              <w:t>Gross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Carrying</w:t>
            </w:r>
          </w:p>
        </w:tc>
        <w:tc>
          <w:tcPr>
            <w:tcW w:w="56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$33,100</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(4,456)</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Leasehold benefits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3,474</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2,133</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Non-compete agreements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1,316</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16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42,745</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(6,432)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36,313</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Amortization expense for the three months ended June 30, 2012 and 2011 was $1,365 and $913, respectively. Amortization expense for the six months ended June 30, 2012 and 2011 was $2,759 and $1,548, respectively. The weighted average life of intangible assets was 10.1 years for customer relationships, 6.8 years for leasehold benefits, 10.0 years for developed technology, 1.5 years for non-compete agreements and 3.0 years for trade names and trademarks excluding indefinite life trade names and trademarks. The Company had $900 of indefinite life trade names and trademarks as of June 30, 2012 and December 31, 2011.</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760" w:type="dxa"/>
            <w:vAlign w:val="bottom"/>
          </w:tcPr>
          <w:p>
            <w:pPr>
              <w:spacing w:after="0"/>
              <w:rPr>
                <w:sz w:val="20"/>
                <w:szCs w:val="20"/>
                <w:color w:val="auto"/>
              </w:rPr>
            </w:pPr>
            <w:r>
              <w:rPr>
                <w:rFonts w:ascii="Arial" w:cs="Arial" w:eastAsia="Arial" w:hAnsi="Arial"/>
                <w:sz w:val="14"/>
                <w:szCs w:val="14"/>
                <w:b w:val="1"/>
                <w:bCs w:val="1"/>
                <w:color w:val="auto"/>
              </w:rPr>
              <w:t>Estimated amortization of intangible assets during the year ending June 30,</w:t>
            </w:r>
          </w:p>
        </w:tc>
        <w:tc>
          <w:tcPr>
            <w:tcW w:w="2000" w:type="dxa"/>
            <w:vAlign w:val="bottom"/>
          </w:tcPr>
          <w:p>
            <w:pPr>
              <w:spacing w:after="0"/>
              <w:rPr>
                <w:sz w:val="14"/>
                <w:szCs w:val="14"/>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$4,826</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2014</w:t>
            </w: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$4,239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$3,689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2016</w:t>
            </w: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$3,689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$3,683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following table sets forth the Company’s assets and liabilities that were accounted for at fair value on a recurring basis as of June 30, 2012 and December 31, 2011. The table excludes short-term investments, accounts receivable, short-term borrowings, accounts payable and accrued expenses for which fair values approximate their carrying amounts.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As of June 30, 2012</w:t>
            </w:r>
          </w:p>
        </w:tc>
        <w:tc>
          <w:tcPr>
            <w:tcW w:w="24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rPr>
              <w:t>62,669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gridSpan w:val="2"/>
            <w:vMerge w:val="continue"/>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rPr>
              <w:t>62,669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1,280</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18,241</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18,241</w:t>
            </w:r>
          </w:p>
        </w:tc>
        <w:tc>
          <w:tcPr>
            <w:tcW w:w="6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2011</w:t>
            </w:r>
          </w:p>
        </w:tc>
        <w:tc>
          <w:tcPr>
            <w:tcW w:w="2400" w:type="dxa"/>
            <w:vAlign w:val="bottom"/>
          </w:tcPr>
          <w:p>
            <w:pPr>
              <w:spacing w:after="0"/>
              <w:rPr>
                <w:sz w:val="24"/>
                <w:szCs w:val="24"/>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4"/>
                <w:szCs w:val="24"/>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80" w:type="dxa"/>
            <w:vAlign w:val="bottom"/>
          </w:tcPr>
          <w:p>
            <w:pPr>
              <w:spacing w:after="0"/>
              <w:rPr>
                <w:sz w:val="24"/>
                <w:szCs w:val="2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rPr>
              <w:t>42,067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gridSpan w:val="2"/>
            <w:vMerge w:val="continue"/>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rPr>
              <w:t>42,067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17,729</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17,729</w:t>
            </w:r>
          </w:p>
        </w:tc>
        <w:tc>
          <w:tcPr>
            <w:tcW w:w="6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The Company’s derivative financial instruments consist of foreign currency forward exchange contracts. Fair values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financial instruments are based on broker quotations and are classified as Level 2. See Note 7 for further details.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actively looks to mitigate the exposure of foreign currency market risk by entering into various hedging transactions, authorized under Company policies, with counterparties that are highly rated financial institutions. The Company’s primary exchange rate exposure is with the U.K. pound sterling and the Indian rupee. The Company also has exposure in Philippine pesos, Czech koruna and other local currencies in which it operates.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financial instruments are largely forward foreign exchange contracts that are designated effective and that qualify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815). The Company also uses derivatives consisting of foreign currency exchange contracts not designated as hedging instruments under ASC 815 to hedge intercompany balances and other monetary assets or liabilities denominated in currencies other than the functional currency.</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had outstanding foreign exchange contracts totaling $228,962 and GBP 10,196 as of June 30, 2012 and totaling $235,866 and GBP 10,368 as of December 31, 2011. The Company estimates that approximately $9,135 of net derivative losses included in accumulated other comprehensive income (“AOCI”) could be reclassified into earnings within the next twelve months based on exchange rates prevailing as of June 30, 2012. As of June 30, 2012, the maximum outstanding term of derivative instruments that hedge forecasted transactions was thirty-three months.</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the unaudited consolidated statements of income and is included in foreign exchange gain. For hedge relationships that are discontinued because the forecasted transaction is not expected to occur by the end of the originally specified period, any related derivative amounts recorded in equity are reclassified to earnings. No amounts of gains or losses were reclassified from AOCI into earnings as a result of forecasted transactions that failed to occur during the three and six months ended June 30, 2012 and 2011.</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172" w:lineRule="exact"/>
        <w:rPr>
          <w:sz w:val="20"/>
          <w:szCs w:val="20"/>
          <w:color w:val="auto"/>
        </w:rPr>
      </w:pPr>
    </w:p>
    <w:p>
      <w:pPr>
        <w:ind w:left="138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516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3"/>
              </w:rPr>
              <w:t>2012</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Foreign currency exchange contracts</w:t>
            </w:r>
          </w:p>
        </w:tc>
        <w:tc>
          <w:tcPr>
            <w:tcW w:w="1580" w:type="dxa"/>
            <w:vAlign w:val="bottom"/>
            <w:gridSpan w:val="2"/>
          </w:tcPr>
          <w:p>
            <w:pPr>
              <w:ind w:left="146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466</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Foreign currency exchange contracts</w:t>
            </w:r>
          </w:p>
        </w:tc>
        <w:tc>
          <w:tcPr>
            <w:tcW w:w="1580" w:type="dxa"/>
            <w:vAlign w:val="bottom"/>
            <w:gridSpan w:val="2"/>
          </w:tcPr>
          <w:p>
            <w:pPr>
              <w:ind w:left="146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188</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Foreign currency exchange contracts</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$9,601</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 current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Foreign currency exchange contracts</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$8,640</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19"/>
                <w:szCs w:val="19"/>
                <w:color w:val="auto"/>
              </w:rPr>
            </w:pPr>
          </w:p>
        </w:tc>
      </w:tr>
      <w:tr>
        <w:trPr>
          <w:trHeight w:val="424"/>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4"/>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516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3"/>
              </w:rPr>
              <w:t>2012</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Foreign currency exchange contracts</w:t>
            </w:r>
          </w:p>
        </w:tc>
        <w:tc>
          <w:tcPr>
            <w:tcW w:w="1580" w:type="dxa"/>
            <w:vAlign w:val="bottom"/>
            <w:gridSpan w:val="2"/>
          </w:tcPr>
          <w:p>
            <w:pPr>
              <w:ind w:left="146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626</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June 30, 2012 and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4"/>
              </w:rPr>
              <w:t>Location of</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Gain/(Loss)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 on</w:t>
            </w:r>
          </w:p>
        </w:tc>
        <w:tc>
          <w:tcPr>
            <w:tcW w:w="180" w:type="dxa"/>
            <w:vAlign w:val="bottom"/>
          </w:tcPr>
          <w:p>
            <w:pPr>
              <w:spacing w:after="0"/>
              <w:rPr>
                <w:sz w:val="12"/>
                <w:szCs w:val="12"/>
                <w:color w:val="auto"/>
              </w:rPr>
            </w:pPr>
          </w:p>
        </w:tc>
        <w:tc>
          <w:tcPr>
            <w:tcW w:w="14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Amount of</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Location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Derivative</w:t>
            </w:r>
          </w:p>
        </w:tc>
        <w:tc>
          <w:tcPr>
            <w:tcW w:w="180" w:type="dxa"/>
            <w:vAlign w:val="bottom"/>
          </w:tcPr>
          <w:p>
            <w:pPr>
              <w:spacing w:after="0"/>
              <w:rPr>
                <w:sz w:val="12"/>
                <w:szCs w:val="12"/>
                <w:color w:val="auto"/>
              </w:rPr>
            </w:pPr>
          </w:p>
        </w:tc>
        <w:tc>
          <w:tcPr>
            <w:tcW w:w="14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Gain/(Loss)</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(Loss)/Gain</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(Ineffective</w:t>
            </w:r>
          </w:p>
        </w:tc>
        <w:tc>
          <w:tcPr>
            <w:tcW w:w="180" w:type="dxa"/>
            <w:vAlign w:val="bottom"/>
          </w:tcPr>
          <w:p>
            <w:pPr>
              <w:spacing w:after="0"/>
              <w:rPr>
                <w:sz w:val="12"/>
                <w:szCs w:val="12"/>
                <w:color w:val="auto"/>
              </w:rPr>
            </w:pPr>
          </w:p>
        </w:tc>
        <w:tc>
          <w:tcPr>
            <w:tcW w:w="14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0" w:type="dxa"/>
            <w:vAlign w:val="bottom"/>
          </w:tcPr>
          <w:p>
            <w:pPr>
              <w:spacing w:after="0"/>
              <w:rPr>
                <w:sz w:val="1"/>
                <w:szCs w:val="1"/>
                <w:color w:val="auto"/>
              </w:rPr>
            </w:pPr>
          </w:p>
        </w:tc>
      </w:tr>
      <w:tr>
        <w:trPr>
          <w:trHeight w:val="149"/>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6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Amount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Portion and</w:t>
            </w:r>
          </w:p>
        </w:tc>
        <w:tc>
          <w:tcPr>
            <w:tcW w:w="180" w:type="dxa"/>
            <w:vAlign w:val="bottom"/>
          </w:tcPr>
          <w:p>
            <w:pPr>
              <w:spacing w:after="0"/>
              <w:rPr>
                <w:sz w:val="12"/>
                <w:szCs w:val="12"/>
                <w:color w:val="auto"/>
              </w:rPr>
            </w:pPr>
          </w:p>
        </w:tc>
        <w:tc>
          <w:tcPr>
            <w:tcW w:w="14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Income on Derivative</w:t>
            </w:r>
          </w:p>
        </w:tc>
        <w:tc>
          <w:tcPr>
            <w:tcW w:w="0" w:type="dxa"/>
            <w:vAlign w:val="bottom"/>
          </w:tcPr>
          <w:p>
            <w:pPr>
              <w:spacing w:after="0"/>
              <w:rPr>
                <w:sz w:val="1"/>
                <w:szCs w:val="1"/>
                <w:color w:val="auto"/>
              </w:rPr>
            </w:pPr>
          </w:p>
        </w:tc>
      </w:tr>
      <w:tr>
        <w:trPr>
          <w:trHeight w:val="148"/>
        </w:trPr>
        <w:tc>
          <w:tcPr>
            <w:tcW w:w="302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1780" w:type="dxa"/>
            <w:vAlign w:val="bottom"/>
            <w:gridSpan w:val="4"/>
          </w:tcPr>
          <w:p>
            <w:pPr>
              <w:jc w:val="center"/>
              <w:ind w:right="300"/>
              <w:spacing w:after="0" w:line="148" w:lineRule="exact"/>
              <w:rPr>
                <w:sz w:val="20"/>
                <w:szCs w:val="20"/>
                <w:color w:val="auto"/>
              </w:rPr>
            </w:pPr>
            <w:r>
              <w:rPr>
                <w:rFonts w:ascii="Arial" w:cs="Arial" w:eastAsia="Arial" w:hAnsi="Arial"/>
                <w:sz w:val="14"/>
                <w:szCs w:val="14"/>
                <w:b w:val="1"/>
                <w:bCs w:val="1"/>
                <w:color w:val="auto"/>
                <w:w w:val="90"/>
              </w:rPr>
              <w:t>Amount of (Loss)/Gain</w:t>
            </w:r>
          </w:p>
        </w:tc>
        <w:tc>
          <w:tcPr>
            <w:tcW w:w="12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2"/>
              </w:rPr>
              <w:t>from AOCI into</w:t>
            </w:r>
          </w:p>
        </w:tc>
        <w:tc>
          <w:tcPr>
            <w:tcW w:w="1620" w:type="dxa"/>
            <w:vAlign w:val="bottom"/>
            <w:gridSpan w:val="5"/>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(Loss)/Gain</w:t>
            </w: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2"/>
                <w:szCs w:val="12"/>
                <w:color w:val="auto"/>
              </w:rPr>
            </w:pPr>
          </w:p>
        </w:tc>
        <w:tc>
          <w:tcPr>
            <w:tcW w:w="1440" w:type="dxa"/>
            <w:vAlign w:val="bottom"/>
            <w:gridSpan w:val="4"/>
          </w:tcPr>
          <w:p>
            <w:pPr>
              <w:jc w:val="center"/>
              <w:ind w:right="80"/>
              <w:spacing w:after="0" w:line="148" w:lineRule="exact"/>
              <w:rPr>
                <w:sz w:val="20"/>
                <w:szCs w:val="20"/>
                <w:color w:val="auto"/>
              </w:rPr>
            </w:pPr>
            <w:r>
              <w:rPr>
                <w:rFonts w:ascii="Arial" w:cs="Arial" w:eastAsia="Arial" w:hAnsi="Arial"/>
                <w:sz w:val="14"/>
                <w:szCs w:val="14"/>
                <w:b w:val="1"/>
                <w:bCs w:val="1"/>
                <w:color w:val="auto"/>
                <w:w w:val="88"/>
              </w:rPr>
              <w:t>(Ineffective Portion</w:t>
            </w:r>
          </w:p>
        </w:tc>
        <w:tc>
          <w:tcPr>
            <w:tcW w:w="0" w:type="dxa"/>
            <w:vAlign w:val="bottom"/>
          </w:tcPr>
          <w:p>
            <w:pPr>
              <w:spacing w:after="0"/>
              <w:rPr>
                <w:sz w:val="1"/>
                <w:szCs w:val="1"/>
                <w:color w:val="auto"/>
              </w:rPr>
            </w:pPr>
          </w:p>
        </w:tc>
      </w:tr>
      <w:tr>
        <w:trPr>
          <w:trHeight w:val="149"/>
        </w:trPr>
        <w:tc>
          <w:tcPr>
            <w:tcW w:w="3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Flow</w:t>
            </w:r>
          </w:p>
        </w:tc>
        <w:tc>
          <w:tcPr>
            <w:tcW w:w="1100" w:type="dxa"/>
            <w:vAlign w:val="bottom"/>
          </w:tcPr>
          <w:p>
            <w:pPr>
              <w:spacing w:after="0"/>
              <w:rPr>
                <w:sz w:val="12"/>
                <w:szCs w:val="12"/>
                <w:color w:val="auto"/>
              </w:rPr>
            </w:pPr>
          </w:p>
        </w:tc>
        <w:tc>
          <w:tcPr>
            <w:tcW w:w="17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Recognized in AOCI on</w:t>
            </w: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Income</w:t>
            </w:r>
          </w:p>
        </w:tc>
        <w:tc>
          <w:tcPr>
            <w:tcW w:w="16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Excluded from</w:t>
            </w:r>
          </w:p>
        </w:tc>
        <w:tc>
          <w:tcPr>
            <w:tcW w:w="180" w:type="dxa"/>
            <w:vAlign w:val="bottom"/>
          </w:tcPr>
          <w:p>
            <w:pPr>
              <w:spacing w:after="0"/>
              <w:rPr>
                <w:sz w:val="12"/>
                <w:szCs w:val="12"/>
                <w:color w:val="auto"/>
              </w:rPr>
            </w:pPr>
          </w:p>
        </w:tc>
        <w:tc>
          <w:tcPr>
            <w:tcW w:w="14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and Amount Excluded</w:t>
            </w:r>
          </w:p>
        </w:tc>
        <w:tc>
          <w:tcPr>
            <w:tcW w:w="0" w:type="dxa"/>
            <w:vAlign w:val="bottom"/>
          </w:tcPr>
          <w:p>
            <w:pPr>
              <w:spacing w:after="0"/>
              <w:rPr>
                <w:sz w:val="1"/>
                <w:szCs w:val="1"/>
                <w:color w:val="auto"/>
              </w:rPr>
            </w:pPr>
          </w:p>
        </w:tc>
      </w:tr>
      <w:tr>
        <w:trPr>
          <w:trHeight w:val="149"/>
        </w:trPr>
        <w:tc>
          <w:tcPr>
            <w:tcW w:w="3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Hedging</w:t>
            </w:r>
          </w:p>
        </w:tc>
        <w:tc>
          <w:tcPr>
            <w:tcW w:w="1100" w:type="dxa"/>
            <w:vAlign w:val="bottom"/>
          </w:tcPr>
          <w:p>
            <w:pPr>
              <w:spacing w:after="0"/>
              <w:rPr>
                <w:sz w:val="12"/>
                <w:szCs w:val="12"/>
                <w:color w:val="auto"/>
              </w:rPr>
            </w:pPr>
          </w:p>
        </w:tc>
        <w:tc>
          <w:tcPr>
            <w:tcW w:w="17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(Effective</w:t>
            </w:r>
          </w:p>
        </w:tc>
        <w:tc>
          <w:tcPr>
            <w:tcW w:w="16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AOCI into Income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Effectiveness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3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1100" w:type="dxa"/>
            <w:vAlign w:val="bottom"/>
          </w:tcPr>
          <w:p>
            <w:pPr>
              <w:spacing w:after="0"/>
              <w:rPr>
                <w:sz w:val="12"/>
                <w:szCs w:val="12"/>
                <w:color w:val="auto"/>
              </w:rPr>
            </w:pPr>
          </w:p>
        </w:tc>
        <w:tc>
          <w:tcPr>
            <w:tcW w:w="1780" w:type="dxa"/>
            <w:vAlign w:val="bottom"/>
            <w:gridSpan w:val="4"/>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12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Portion)</w:t>
            </w:r>
          </w:p>
        </w:tc>
        <w:tc>
          <w:tcPr>
            <w:tcW w:w="1620" w:type="dxa"/>
            <w:vAlign w:val="bottom"/>
            <w:gridSpan w:val="5"/>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Testing)</w:t>
            </w:r>
          </w:p>
        </w:tc>
        <w:tc>
          <w:tcPr>
            <w:tcW w:w="180" w:type="dxa"/>
            <w:vAlign w:val="bottom"/>
          </w:tcPr>
          <w:p>
            <w:pPr>
              <w:spacing w:after="0"/>
              <w:rPr>
                <w:sz w:val="12"/>
                <w:szCs w:val="12"/>
                <w:color w:val="auto"/>
              </w:rPr>
            </w:pPr>
          </w:p>
        </w:tc>
        <w:tc>
          <w:tcPr>
            <w:tcW w:w="1440" w:type="dxa"/>
            <w:vAlign w:val="bottom"/>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83"/>
              </w:rPr>
              <w:t>Effectiveness Testing)</w:t>
            </w: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top w:val="single" w:sz="8" w:color="auto"/>
            </w:tcBorders>
          </w:tcPr>
          <w:p>
            <w:pPr>
              <w:jc w:val="right"/>
              <w:ind w:right="70"/>
              <w:spacing w:after="0" w:line="129"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Foreign exchange contracts</w:t>
            </w:r>
          </w:p>
        </w:tc>
        <w:tc>
          <w:tcPr>
            <w:tcW w:w="1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Foreign</w:t>
            </w: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Foreign</w:t>
            </w:r>
          </w:p>
        </w:tc>
        <w:tc>
          <w:tcPr>
            <w:tcW w:w="1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exchange</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(13,430)</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$ 2,081</w:t>
            </w: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(loss)/gain</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$(4,882)</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$1,527</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(loss)/gain</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7"/>
              </w:rPr>
              <w:t>Amount of (Loss)/Gain</w:t>
            </w:r>
          </w:p>
        </w:tc>
      </w:tr>
      <w:tr>
        <w:trPr>
          <w:trHeight w:val="149"/>
        </w:trPr>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Recognized in Income on</w:t>
            </w:r>
          </w:p>
        </w:tc>
      </w:tr>
      <w:tr>
        <w:trPr>
          <w:trHeight w:val="161"/>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w:t>
            </w:r>
          </w:p>
        </w:tc>
        <w:tc>
          <w:tcPr>
            <w:tcW w:w="23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Location of (Loss)/Gain</w:t>
            </w:r>
          </w:p>
        </w:tc>
        <w:tc>
          <w:tcPr>
            <w:tcW w:w="340" w:type="dxa"/>
            <w:vAlign w:val="bottom"/>
          </w:tcPr>
          <w:p>
            <w:pPr>
              <w:spacing w:after="0"/>
              <w:rPr>
                <w:sz w:val="14"/>
                <w:szCs w:val="14"/>
                <w:color w:val="auto"/>
              </w:rPr>
            </w:pPr>
          </w:p>
        </w:tc>
        <w:tc>
          <w:tcPr>
            <w:tcW w:w="1220" w:type="dxa"/>
            <w:vAlign w:val="bottom"/>
            <w:tcBorders>
              <w:bottom w:val="single" w:sz="8" w:color="auto"/>
            </w:tcBorders>
            <w:gridSpan w:val="2"/>
          </w:tcPr>
          <w:p>
            <w:pPr>
              <w:jc w:val="center"/>
              <w:ind w:left="452"/>
              <w:spacing w:after="0"/>
              <w:rPr>
                <w:sz w:val="20"/>
                <w:szCs w:val="20"/>
                <w:color w:val="auto"/>
              </w:rPr>
            </w:pPr>
            <w:r>
              <w:rPr>
                <w:rFonts w:ascii="Arial" w:cs="Arial" w:eastAsia="Arial" w:hAnsi="Arial"/>
                <w:sz w:val="14"/>
                <w:szCs w:val="14"/>
                <w:b w:val="1"/>
                <w:bCs w:val="1"/>
                <w:color w:val="auto"/>
                <w:w w:val="88"/>
              </w:rPr>
              <w:t>Derivatives</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6"/>
        </w:trPr>
        <w:tc>
          <w:tcPr>
            <w:tcW w:w="3320" w:type="dxa"/>
            <w:vAlign w:val="bottom"/>
            <w:gridSpan w:val="2"/>
          </w:tcPr>
          <w:p>
            <w:pPr>
              <w:spacing w:after="0" w:line="116" w:lineRule="exact"/>
              <w:rPr>
                <w:sz w:val="20"/>
                <w:szCs w:val="20"/>
                <w:color w:val="auto"/>
              </w:rPr>
            </w:pPr>
            <w:r>
              <w:rPr>
                <w:rFonts w:ascii="Arial" w:cs="Arial" w:eastAsia="Arial" w:hAnsi="Arial"/>
                <w:sz w:val="12"/>
                <w:szCs w:val="12"/>
                <w:b w:val="1"/>
                <w:bCs w:val="1"/>
                <w:color w:val="auto"/>
              </w:rPr>
              <w:t>as Hedging</w:t>
            </w:r>
          </w:p>
        </w:tc>
        <w:tc>
          <w:tcPr>
            <w:tcW w:w="2380" w:type="dxa"/>
            <w:vAlign w:val="bottom"/>
          </w:tcPr>
          <w:p>
            <w:pPr>
              <w:spacing w:after="0"/>
              <w:rPr>
                <w:sz w:val="10"/>
                <w:szCs w:val="10"/>
                <w:color w:val="auto"/>
              </w:rPr>
            </w:pPr>
          </w:p>
        </w:tc>
        <w:tc>
          <w:tcPr>
            <w:tcW w:w="170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Recognized in Income on</w:t>
            </w: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1"/>
        </w:trPr>
        <w:tc>
          <w:tcPr>
            <w:tcW w:w="332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Instruments</w:t>
            </w:r>
          </w:p>
        </w:tc>
        <w:tc>
          <w:tcPr>
            <w:tcW w:w="2380" w:type="dxa"/>
            <w:vAlign w:val="bottom"/>
          </w:tcPr>
          <w:p>
            <w:pPr>
              <w:spacing w:after="0"/>
              <w:rPr>
                <w:sz w:val="14"/>
                <w:szCs w:val="14"/>
                <w:color w:val="auto"/>
              </w:rPr>
            </w:pPr>
          </w:p>
        </w:tc>
        <w:tc>
          <w:tcPr>
            <w:tcW w:w="17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Derivatives</w:t>
            </w:r>
          </w:p>
        </w:tc>
        <w:tc>
          <w:tcPr>
            <w:tcW w:w="1080" w:type="dxa"/>
            <w:vAlign w:val="bottom"/>
            <w:gridSpan w:val="2"/>
          </w:tcPr>
          <w:p>
            <w:pPr>
              <w:jc w:val="right"/>
              <w:ind w:right="152"/>
              <w:spacing w:after="0" w:line="141"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520" w:type="dxa"/>
            <w:vAlign w:val="bottom"/>
            <w:gridSpan w:val="2"/>
          </w:tcPr>
          <w:p>
            <w:pPr>
              <w:jc w:val="right"/>
              <w:ind w:right="120"/>
              <w:spacing w:after="0" w:line="141"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0"/>
        </w:trPr>
        <w:tc>
          <w:tcPr>
            <w:tcW w:w="74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88"/>
        </w:trPr>
        <w:tc>
          <w:tcPr>
            <w:tcW w:w="33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Foreign exchange contracts</w:t>
            </w:r>
          </w:p>
        </w:tc>
        <w:tc>
          <w:tcPr>
            <w:tcW w:w="23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exchange</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(loss)/gain</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(2,596)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405</w:t>
            </w:r>
          </w:p>
        </w:tc>
        <w:tc>
          <w:tcPr>
            <w:tcW w:w="100" w:type="dxa"/>
            <w:vAlign w:val="bottom"/>
            <w:shd w:val="clear" w:color="auto" w:fill="CCEEFF"/>
          </w:tcPr>
          <w:p>
            <w:pPr>
              <w:spacing w:after="0"/>
              <w:rPr>
                <w:sz w:val="19"/>
                <w:szCs w:val="19"/>
                <w:color w:val="auto"/>
              </w:rPr>
            </w:pPr>
          </w:p>
        </w:tc>
      </w:tr>
      <w:tr>
        <w:trPr>
          <w:trHeight w:val="363"/>
        </w:trPr>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380" w:type="dxa"/>
            <w:vAlign w:val="bottom"/>
          </w:tcPr>
          <w:p>
            <w:pPr>
              <w:jc w:val="right"/>
              <w:ind w:right="732"/>
              <w:spacing w:after="0"/>
              <w:rPr>
                <w:sz w:val="20"/>
                <w:szCs w:val="20"/>
                <w:color w:val="auto"/>
              </w:rPr>
            </w:pPr>
            <w:r>
              <w:rPr>
                <w:rFonts w:ascii="Arial" w:cs="Arial" w:eastAsia="Arial" w:hAnsi="Arial"/>
                <w:sz w:val="18"/>
                <w:szCs w:val="18"/>
                <w:color w:val="auto"/>
              </w:rPr>
              <w:t>13</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six months ended June 30, 2012 and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Location of</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Gain/(Loss)</w:t>
            </w:r>
          </w:p>
        </w:tc>
        <w:tc>
          <w:tcPr>
            <w:tcW w:w="13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13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Gain/(Loss)</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Income on</w:t>
            </w:r>
          </w:p>
        </w:tc>
        <w:tc>
          <w:tcPr>
            <w:tcW w:w="13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Location of</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3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(Loss)/Gain</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13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Derivative</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2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Portion and</w:t>
            </w:r>
          </w:p>
        </w:tc>
        <w:tc>
          <w:tcPr>
            <w:tcW w:w="13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(Ineffective Portion</w:t>
            </w:r>
          </w:p>
        </w:tc>
        <w:tc>
          <w:tcPr>
            <w:tcW w:w="0" w:type="dxa"/>
            <w:vAlign w:val="bottom"/>
          </w:tcPr>
          <w:p>
            <w:pPr>
              <w:spacing w:after="0"/>
              <w:rPr>
                <w:sz w:val="1"/>
                <w:szCs w:val="1"/>
                <w:color w:val="auto"/>
              </w:rPr>
            </w:pPr>
          </w:p>
        </w:tc>
      </w:tr>
      <w:tr>
        <w:trPr>
          <w:trHeight w:val="148"/>
        </w:trPr>
        <w:tc>
          <w:tcPr>
            <w:tcW w:w="4200" w:type="dxa"/>
            <w:vAlign w:val="bottom"/>
            <w:gridSpan w:val="2"/>
            <w:vMerge w:val="continue"/>
          </w:tcPr>
          <w:p>
            <w:pPr>
              <w:spacing w:after="0"/>
              <w:rPr>
                <w:sz w:val="12"/>
                <w:szCs w:val="12"/>
                <w:color w:val="auto"/>
              </w:rPr>
            </w:pPr>
          </w:p>
        </w:tc>
        <w:tc>
          <w:tcPr>
            <w:tcW w:w="1500" w:type="dxa"/>
            <w:vAlign w:val="bottom"/>
            <w:gridSpan w:val="5"/>
          </w:tcPr>
          <w:p>
            <w:pPr>
              <w:jc w:val="center"/>
              <w:spacing w:after="0" w:line="148" w:lineRule="exact"/>
              <w:rPr>
                <w:sz w:val="20"/>
                <w:szCs w:val="20"/>
                <w:color w:val="auto"/>
              </w:rPr>
            </w:pPr>
            <w:r>
              <w:rPr>
                <w:rFonts w:ascii="Arial" w:cs="Arial" w:eastAsia="Arial" w:hAnsi="Arial"/>
                <w:sz w:val="14"/>
                <w:szCs w:val="14"/>
                <w:b w:val="1"/>
                <w:bCs w:val="1"/>
                <w:color w:val="auto"/>
                <w:w w:val="90"/>
              </w:rPr>
              <w:t>Amount of (Loss)/Gain</w:t>
            </w:r>
          </w:p>
        </w:tc>
        <w:tc>
          <w:tcPr>
            <w:tcW w:w="30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from AOCI into</w:t>
            </w:r>
          </w:p>
        </w:tc>
        <w:tc>
          <w:tcPr>
            <w:tcW w:w="200" w:type="dxa"/>
            <w:vAlign w:val="bottom"/>
          </w:tcPr>
          <w:p>
            <w:pPr>
              <w:spacing w:after="0"/>
              <w:rPr>
                <w:sz w:val="12"/>
                <w:szCs w:val="12"/>
                <w:color w:val="auto"/>
              </w:rPr>
            </w:pPr>
          </w:p>
        </w:tc>
        <w:tc>
          <w:tcPr>
            <w:tcW w:w="134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88"/>
              </w:rPr>
              <w:t>(Loss)/Gain</w:t>
            </w:r>
          </w:p>
        </w:tc>
        <w:tc>
          <w:tcPr>
            <w:tcW w:w="280" w:type="dxa"/>
            <w:vAlign w:val="bottom"/>
          </w:tcPr>
          <w:p>
            <w:pPr>
              <w:spacing w:after="0"/>
              <w:rPr>
                <w:sz w:val="12"/>
                <w:szCs w:val="12"/>
                <w:color w:val="auto"/>
              </w:rPr>
            </w:pPr>
          </w:p>
        </w:tc>
        <w:tc>
          <w:tcPr>
            <w:tcW w:w="11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0"/>
              </w:rPr>
              <w:t>Amount</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Flow</w:t>
            </w:r>
          </w:p>
        </w:tc>
        <w:tc>
          <w:tcPr>
            <w:tcW w:w="15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7"/>
              </w:rPr>
              <w:t>Recognized in AOCI on</w:t>
            </w:r>
          </w:p>
        </w:tc>
        <w:tc>
          <w:tcPr>
            <w:tcW w:w="3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2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Excluded from</w:t>
            </w:r>
          </w:p>
        </w:tc>
        <w:tc>
          <w:tcPr>
            <w:tcW w:w="13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Amount Excluded</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Hedging</w:t>
            </w:r>
          </w:p>
        </w:tc>
        <w:tc>
          <w:tcPr>
            <w:tcW w:w="1060" w:type="dxa"/>
            <w:vAlign w:val="bottom"/>
            <w:gridSpan w:val="4"/>
          </w:tcPr>
          <w:p>
            <w:pPr>
              <w:jc w:val="center"/>
              <w:ind w:left="389"/>
              <w:spacing w:after="0" w:line="149" w:lineRule="exact"/>
              <w:rPr>
                <w:sz w:val="20"/>
                <w:szCs w:val="20"/>
                <w:color w:val="auto"/>
              </w:rPr>
            </w:pPr>
            <w:r>
              <w:rPr>
                <w:rFonts w:ascii="Arial" w:cs="Arial" w:eastAsia="Arial" w:hAnsi="Arial"/>
                <w:sz w:val="14"/>
                <w:szCs w:val="14"/>
                <w:b w:val="1"/>
                <w:bCs w:val="1"/>
                <w:color w:val="auto"/>
                <w:w w:val="89"/>
              </w:rPr>
              <w:t>Derivative</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(Effective</w:t>
            </w:r>
          </w:p>
        </w:tc>
        <w:tc>
          <w:tcPr>
            <w:tcW w:w="2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2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13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150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300" w:type="dxa"/>
            <w:vAlign w:val="bottom"/>
          </w:tcPr>
          <w:p>
            <w:pPr>
              <w:spacing w:after="0"/>
              <w:rPr>
                <w:sz w:val="12"/>
                <w:szCs w:val="12"/>
                <w:color w:val="auto"/>
              </w:rPr>
            </w:pP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Portion)</w:t>
            </w:r>
          </w:p>
        </w:tc>
        <w:tc>
          <w:tcPr>
            <w:tcW w:w="200" w:type="dxa"/>
            <w:vAlign w:val="bottom"/>
          </w:tcPr>
          <w:p>
            <w:pPr>
              <w:spacing w:after="0"/>
              <w:rPr>
                <w:sz w:val="12"/>
                <w:szCs w:val="12"/>
                <w:color w:val="auto"/>
              </w:rPr>
            </w:pPr>
          </w:p>
        </w:tc>
        <w:tc>
          <w:tcPr>
            <w:tcW w:w="13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280" w:type="dxa"/>
            <w:vAlign w:val="bottom"/>
          </w:tcPr>
          <w:p>
            <w:pPr>
              <w:spacing w:after="0"/>
              <w:rPr>
                <w:sz w:val="12"/>
                <w:szCs w:val="12"/>
                <w:color w:val="auto"/>
              </w:rPr>
            </w:pPr>
          </w:p>
        </w:tc>
        <w:tc>
          <w:tcPr>
            <w:tcW w:w="11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4"/>
              </w:rPr>
              <w:t>Testing)</w:t>
            </w:r>
          </w:p>
        </w:tc>
        <w:tc>
          <w:tcPr>
            <w:tcW w:w="380" w:type="dxa"/>
            <w:vAlign w:val="bottom"/>
          </w:tcPr>
          <w:p>
            <w:pPr>
              <w:spacing w:after="0"/>
              <w:rPr>
                <w:sz w:val="12"/>
                <w:szCs w:val="12"/>
                <w:color w:val="auto"/>
              </w:rPr>
            </w:pPr>
          </w:p>
        </w:tc>
        <w:tc>
          <w:tcPr>
            <w:tcW w:w="960" w:type="dxa"/>
            <w:vAlign w:val="bottom"/>
            <w:gridSpan w:val="4"/>
          </w:tcPr>
          <w:p>
            <w:pPr>
              <w:jc w:val="center"/>
              <w:ind w:right="460"/>
              <w:spacing w:after="0" w:line="129" w:lineRule="exact"/>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620" w:type="dxa"/>
            <w:vAlign w:val="bottom"/>
            <w:tcBorders>
              <w:top w:val="single" w:sz="8" w:color="auto"/>
            </w:tcBorders>
          </w:tcPr>
          <w:p>
            <w:pPr>
              <w:jc w:val="right"/>
              <w:ind w:right="109"/>
              <w:spacing w:after="0" w:line="129"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top w:val="single" w:sz="8" w:color="auto"/>
            </w:tcBorders>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0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Foreign exchange contracts</w:t>
            </w: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CCEEFF"/>
            </w:tcBorders>
            <w:gridSpan w:val="2"/>
            <w:shd w:val="clear" w:color="auto" w:fill="CCEEFF"/>
          </w:tcPr>
          <w:p>
            <w:pPr>
              <w:ind w:left="300"/>
              <w:spacing w:after="0" w:line="188" w:lineRule="exact"/>
              <w:rPr>
                <w:sz w:val="20"/>
                <w:szCs w:val="20"/>
                <w:color w:val="auto"/>
              </w:rPr>
            </w:pPr>
            <w:r>
              <w:rPr>
                <w:rFonts w:ascii="Arial" w:cs="Arial" w:eastAsia="Arial" w:hAnsi="Arial"/>
                <w:sz w:val="18"/>
                <w:szCs w:val="18"/>
                <w:color w:val="auto"/>
              </w:rPr>
              <w:t>Foreign</w:t>
            </w: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CCEEFF"/>
            </w:tcBorders>
            <w:gridSpan w:val="3"/>
            <w:shd w:val="clear" w:color="auto" w:fill="CCEEFF"/>
          </w:tcPr>
          <w:p>
            <w:pPr>
              <w:ind w:left="280"/>
              <w:spacing w:after="0" w:line="188" w:lineRule="exact"/>
              <w:rPr>
                <w:sz w:val="20"/>
                <w:szCs w:val="20"/>
                <w:color w:val="auto"/>
              </w:rPr>
            </w:pPr>
            <w:r>
              <w:rPr>
                <w:rFonts w:ascii="Arial" w:cs="Arial" w:eastAsia="Arial" w:hAnsi="Arial"/>
                <w:sz w:val="18"/>
                <w:szCs w:val="18"/>
                <w:color w:val="auto"/>
              </w:rPr>
              <w:t>Foreign</w:t>
            </w:r>
          </w:p>
        </w:tc>
        <w:tc>
          <w:tcPr>
            <w:tcW w:w="3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exchange</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exchange</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 (5,121)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2,970</w:t>
            </w:r>
          </w:p>
        </w:tc>
        <w:tc>
          <w:tcPr>
            <w:tcW w:w="13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(loss)/gain</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$(5,263)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$2,730</w:t>
            </w:r>
          </w:p>
        </w:tc>
        <w:tc>
          <w:tcPr>
            <w:tcW w:w="1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(loss)/gain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Amount of Gain</w:t>
            </w:r>
          </w:p>
        </w:tc>
      </w:tr>
      <w:tr>
        <w:trPr>
          <w:trHeight w:val="149"/>
        </w:trPr>
        <w:tc>
          <w:tcPr>
            <w:tcW w:w="7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Recognized in</w:t>
            </w:r>
          </w:p>
        </w:tc>
      </w:tr>
      <w:tr>
        <w:trPr>
          <w:trHeight w:val="16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w:t>
            </w:r>
          </w:p>
        </w:tc>
        <w:tc>
          <w:tcPr>
            <w:tcW w:w="1980" w:type="dxa"/>
            <w:vAlign w:val="bottom"/>
          </w:tcPr>
          <w:p>
            <w:pPr>
              <w:spacing w:after="0"/>
              <w:rPr>
                <w:sz w:val="14"/>
                <w:szCs w:val="1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Location of Gain</w:t>
            </w: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Income on Derivatives</w:t>
            </w:r>
          </w:p>
        </w:tc>
      </w:tr>
      <w:tr>
        <w:trPr>
          <w:trHeight w:val="116"/>
        </w:trPr>
        <w:tc>
          <w:tcPr>
            <w:tcW w:w="3920" w:type="dxa"/>
            <w:vAlign w:val="bottom"/>
            <w:gridSpan w:val="2"/>
          </w:tcPr>
          <w:p>
            <w:pPr>
              <w:spacing w:after="0" w:line="116" w:lineRule="exact"/>
              <w:rPr>
                <w:sz w:val="20"/>
                <w:szCs w:val="20"/>
                <w:color w:val="auto"/>
              </w:rPr>
            </w:pPr>
            <w:r>
              <w:rPr>
                <w:rFonts w:ascii="Arial" w:cs="Arial" w:eastAsia="Arial" w:hAnsi="Arial"/>
                <w:sz w:val="12"/>
                <w:szCs w:val="12"/>
                <w:b w:val="1"/>
                <w:bCs w:val="1"/>
                <w:color w:val="auto"/>
              </w:rPr>
              <w:t>as Hedging</w:t>
            </w:r>
          </w:p>
        </w:tc>
        <w:tc>
          <w:tcPr>
            <w:tcW w:w="1980" w:type="dxa"/>
            <w:vAlign w:val="bottom"/>
          </w:tcPr>
          <w:p>
            <w:pPr>
              <w:spacing w:after="0"/>
              <w:rPr>
                <w:sz w:val="10"/>
                <w:szCs w:val="10"/>
                <w:color w:val="auto"/>
              </w:rPr>
            </w:pPr>
          </w:p>
        </w:tc>
        <w:tc>
          <w:tcPr>
            <w:tcW w:w="2040" w:type="dxa"/>
            <w:vAlign w:val="bottom"/>
            <w:gridSpan w:val="2"/>
          </w:tcPr>
          <w:p>
            <w:pPr>
              <w:jc w:val="center"/>
              <w:ind w:right="360"/>
              <w:spacing w:after="0" w:line="116" w:lineRule="exact"/>
              <w:rPr>
                <w:sz w:val="20"/>
                <w:szCs w:val="20"/>
                <w:color w:val="auto"/>
              </w:rPr>
            </w:pPr>
            <w:r>
              <w:rPr>
                <w:rFonts w:ascii="Arial" w:cs="Arial" w:eastAsia="Arial" w:hAnsi="Arial"/>
                <w:sz w:val="12"/>
                <w:szCs w:val="12"/>
                <w:b w:val="1"/>
                <w:bCs w:val="1"/>
                <w:color w:val="auto"/>
                <w:w w:val="99"/>
              </w:rPr>
              <w:t>Recognized in Income on</w:t>
            </w:r>
          </w:p>
        </w:tc>
        <w:tc>
          <w:tcPr>
            <w:tcW w:w="5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61"/>
        </w:trPr>
        <w:tc>
          <w:tcPr>
            <w:tcW w:w="392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Instruments</w:t>
            </w:r>
          </w:p>
        </w:tc>
        <w:tc>
          <w:tcPr>
            <w:tcW w:w="1980" w:type="dxa"/>
            <w:vAlign w:val="bottom"/>
          </w:tcPr>
          <w:p>
            <w:pPr>
              <w:spacing w:after="0"/>
              <w:rPr>
                <w:sz w:val="14"/>
                <w:szCs w:val="14"/>
                <w:color w:val="auto"/>
              </w:rPr>
            </w:pPr>
          </w:p>
        </w:tc>
        <w:tc>
          <w:tcPr>
            <w:tcW w:w="204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5"/>
              </w:rPr>
              <w:t>Derivatives</w:t>
            </w:r>
          </w:p>
        </w:tc>
        <w:tc>
          <w:tcPr>
            <w:tcW w:w="520" w:type="dxa"/>
            <w:vAlign w:val="bottom"/>
          </w:tcPr>
          <w:p>
            <w:pPr>
              <w:jc w:val="right"/>
              <w:ind w:right="48"/>
              <w:spacing w:after="0" w:line="141" w:lineRule="exact"/>
              <w:rPr>
                <w:sz w:val="20"/>
                <w:szCs w:val="20"/>
                <w:color w:val="auto"/>
              </w:rPr>
            </w:pPr>
            <w:r>
              <w:rPr>
                <w:rFonts w:ascii="Arial" w:cs="Arial" w:eastAsia="Arial" w:hAnsi="Arial"/>
                <w:sz w:val="14"/>
                <w:szCs w:val="14"/>
                <w:b w:val="1"/>
                <w:bCs w:val="1"/>
                <w:color w:val="auto"/>
              </w:rPr>
              <w:t>2012</w:t>
            </w:r>
          </w:p>
        </w:tc>
        <w:tc>
          <w:tcPr>
            <w:tcW w:w="1020" w:type="dxa"/>
            <w:vAlign w:val="bottom"/>
            <w:gridSpan w:val="2"/>
          </w:tcPr>
          <w:p>
            <w:pPr>
              <w:jc w:val="right"/>
              <w:ind w:right="140"/>
              <w:spacing w:after="0" w:line="141"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0"/>
        </w:trPr>
        <w:tc>
          <w:tcPr>
            <w:tcW w:w="74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88"/>
        </w:trPr>
        <w:tc>
          <w:tcPr>
            <w:tcW w:w="39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Foreign exchange contracts</w:t>
            </w:r>
          </w:p>
        </w:tc>
        <w:tc>
          <w:tcPr>
            <w:tcW w:w="19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exchange</w:t>
            </w: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74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ind w:left="1980"/>
              <w:spacing w:after="0"/>
              <w:rPr>
                <w:sz w:val="20"/>
                <w:szCs w:val="20"/>
                <w:color w:val="auto"/>
              </w:rPr>
            </w:pPr>
            <w:r>
              <w:rPr>
                <w:rFonts w:ascii="Arial" w:cs="Arial" w:eastAsia="Arial" w:hAnsi="Arial"/>
                <w:sz w:val="18"/>
                <w:szCs w:val="18"/>
                <w:color w:val="auto"/>
              </w:rPr>
              <w:t>(loss)/gain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302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776</w:t>
            </w:r>
          </w:p>
        </w:tc>
        <w:tc>
          <w:tcPr>
            <w:tcW w:w="100" w:type="dxa"/>
            <w:vAlign w:val="bottom"/>
            <w:shd w:val="clear" w:color="auto" w:fill="CCEEFF"/>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fixed assets, net of accumulated depreciation,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June 30,</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08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 Assets:</w:t>
            </w: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Network equipment, computers and software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58,548</w:t>
            </w:r>
          </w:p>
        </w:tc>
        <w:tc>
          <w:tcPr>
            <w:tcW w:w="34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55,499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Buildings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Land</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improvements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23,080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Office furniture and equipment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9,852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Motor vehicles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440"/>
              <w:spacing w:after="0"/>
              <w:rPr>
                <w:sz w:val="20"/>
                <w:szCs w:val="20"/>
                <w:color w:val="auto"/>
              </w:rPr>
            </w:pPr>
            <w:r>
              <w:rPr>
                <w:rFonts w:ascii="Arial" w:cs="Arial" w:eastAsia="Arial" w:hAnsi="Arial"/>
                <w:sz w:val="18"/>
                <w:szCs w:val="18"/>
                <w:color w:val="auto"/>
              </w:rPr>
              <w:t>Capital work in progress</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96,218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w w:val="92"/>
              </w:rPr>
              <w:t>Less: Accumulated depreciation and amortization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(58,723)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(54,736)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37,495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080" w:type="dxa"/>
            <w:vAlign w:val="bottom"/>
          </w:tcPr>
          <w:p>
            <w:pPr>
              <w:spacing w:after="0"/>
              <w:rPr>
                <w:sz w:val="20"/>
                <w:szCs w:val="20"/>
                <w:color w:val="auto"/>
              </w:rPr>
            </w:pPr>
            <w:r>
              <w:rPr>
                <w:rFonts w:ascii="Arial" w:cs="Arial" w:eastAsia="Arial" w:hAnsi="Arial"/>
                <w:sz w:val="18"/>
                <w:szCs w:val="18"/>
                <w:b w:val="1"/>
                <w:bCs w:val="1"/>
                <w:color w:val="auto"/>
              </w:rPr>
              <w:t>Assets Under Capital Leases:</w:t>
            </w:r>
          </w:p>
        </w:tc>
        <w:tc>
          <w:tcPr>
            <w:tcW w:w="2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Network equipment, computers and software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Leasehold improvements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Office furniture and equipment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440"/>
              <w:spacing w:after="0"/>
              <w:rPr>
                <w:sz w:val="20"/>
                <w:szCs w:val="20"/>
                <w:color w:val="auto"/>
              </w:rPr>
            </w:pPr>
            <w:r>
              <w:rPr>
                <w:rFonts w:ascii="Arial" w:cs="Arial" w:eastAsia="Arial" w:hAnsi="Arial"/>
                <w:sz w:val="18"/>
                <w:szCs w:val="18"/>
                <w:color w:val="auto"/>
              </w:rPr>
              <w:t>Motor vehicles</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w w:val="92"/>
              </w:rPr>
              <w:t>Less: Accumulated depreciation and amortization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(1,177)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ind w:left="440"/>
              <w:spacing w:after="0"/>
              <w:rPr>
                <w:sz w:val="20"/>
                <w:szCs w:val="20"/>
                <w:color w:val="auto"/>
              </w:rPr>
            </w:pPr>
            <w:r>
              <w:rPr>
                <w:rFonts w:ascii="Arial" w:cs="Arial" w:eastAsia="Arial" w:hAnsi="Arial"/>
                <w:sz w:val="18"/>
                <w:szCs w:val="18"/>
                <w:color w:val="auto"/>
              </w:rPr>
              <w:t>Fixed assets, net</w:t>
            </w:r>
          </w:p>
        </w:tc>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80" w:type="dxa"/>
            <w:vAlign w:val="bottom"/>
            <w:vMerge w:val="continue"/>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41,252</w:t>
            </w:r>
          </w:p>
        </w:tc>
        <w:tc>
          <w:tcPr>
            <w:tcW w:w="34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00" w:type="dxa"/>
            <w:vAlign w:val="bottom"/>
            <w:vMerge w:val="restart"/>
          </w:tcPr>
          <w:p>
            <w:pPr>
              <w:jc w:val="right"/>
              <w:ind w:right="1972"/>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Depreciation and amortization expense excluding amortization of acquisition-related intangibles for the three months ended June 30, 2012 and 2011 was $4,675 and $4,197, respectively, and $9,640 and $8,414 for the six months ended June 30, 2012 and 2011,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work in progress represents advances paid toward acquisition of fixed assets and the cost of fixed assets not yet ready to be placed in service.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three months ended June 30, 2012, the Company acquired 5,410 shares of common stock from employees in connection with withholding tax payments related to the vesting of restricted stock for a total consideration of $149. The purchase price of $27.62 per share was the average of the high and low price of the Company’s shares of common stock on the Nasdaq Global Select Market on the trading day prior to the vesting date of the shares of restricted stock. During the six months ended June 30, 2012, the Company acquired 12,865 shares of common stock from employees in connection with withholding tax payments related to the vesting of restricted stock for a total consideration of $331.</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the three months ended June 30, 2011, the Company acquired 7,882 shares of common stock from employees in connection with withholding tax payments related to the vesting of restricted stock for a total consideration of $170. The purchase price of $19.16 per share was the average of the high and low price of the Company’s shares of common stock on the Nasdaq Global Select Market on the trading day prior to the vesting date of the shares of restricted stock. During the six months ended June 30, 2011, the Company acquired 9,596 shares of common stock from employees in connection with withholding tax payments related to the vesting of restricted stock for a total consideration of $204.</w:t>
      </w:r>
    </w:p>
    <w:p>
      <w:pPr>
        <w:spacing w:after="0" w:line="1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During the three and six months ended June 30, 2011, the Company also acquired 61,299 shares of common stock for a total consideration of $1,439 pursuant to an option agreement between the Company and Prudential Financial, Inc. (“Prudential”) dated July 1, 2004. The purchase price of $23.47 per share was the average closing price for the 30-day period on the Nasdaq Global Select Market preceding the date of exercise of options by Prudential.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acquired as mentioned above are held as treasury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Gratuity Plans in India and the Philippines provide a lump-sum payment to vested employees on retirement or 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Plans are accrued in the year to which they relate. Actuarial gains or losses or prior service costs, if any, resulting from amendments to the plans are recognized and amortized over the remaining period of service of the employees.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w w:val="89"/>
              </w:rPr>
              <w:t>Three months ended June 30,</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55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w w:val="96"/>
              </w:rPr>
              <w:t>2012</w:t>
            </w:r>
          </w:p>
        </w:tc>
        <w:tc>
          <w:tcPr>
            <w:tcW w:w="7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2012</w:t>
            </w:r>
          </w:p>
        </w:tc>
        <w:tc>
          <w:tcPr>
            <w:tcW w:w="7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Actuarial loss</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Gratuity Plans are funded plans that are managed and administered by Life Insurance Corporation of India and HDFC Standard Life Insurance Company. They calculate the annual contribution required to be made by the Company and manage the investment as well as payouts under the plans. The Company expects a return on the fund assets to be approximately 9% per annum for the year ended June 30, 2012. Fund managers manage these funds on a cash accumulation basis and declare interest retrospectively on March 31 of each year.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Plan assets at January 1, 2012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$1,015</w:t>
            </w: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Employer contribution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Expected return</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222"/>
        </w:trPr>
        <w:tc>
          <w:tcPr>
            <w:tcW w:w="7140" w:type="dxa"/>
            <w:vAlign w:val="bottom"/>
          </w:tcPr>
          <w:p>
            <w:pPr>
              <w:ind w:left="440"/>
              <w:spacing w:after="0"/>
              <w:rPr>
                <w:sz w:val="20"/>
                <w:szCs w:val="20"/>
                <w:color w:val="auto"/>
              </w:rPr>
            </w:pPr>
            <w:r>
              <w:rPr>
                <w:rFonts w:ascii="Arial" w:cs="Arial" w:eastAsia="Arial" w:hAnsi="Arial"/>
                <w:sz w:val="18"/>
                <w:szCs w:val="18"/>
                <w:color w:val="auto"/>
              </w:rPr>
              <w:t>Plan assets at June 30, 2012</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2,073</w:t>
            </w:r>
          </w:p>
        </w:tc>
        <w:tc>
          <w:tcPr>
            <w:tcW w:w="12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Company maintains the Exl Service Inc. 401(k) Plan under Section 401(k) of the Internal Revenue Code of 1986, covering all eligible employees, as defined. The Company may make discretionary contributions of up to a maximum of 3% of employee compensation within certain limits. The Company has made a provision for contributions to the 401(k) Plans amounting to $303 and $175 during the three month periods ended June 30, 2012 and June 30, 2011, respectively, and $680 and $321 during the six month periods ended June 30, 2012 and June 30, 2011, respectively under the plans as applicable for these years.</w:t>
      </w:r>
    </w:p>
    <w:p>
      <w:pPr>
        <w:spacing w:after="0" w:line="9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the three and six month periods ended June 30, 2012 and 2011, the Company contributed the following amounts to various defined contribution plans on behalf of its employees in India, the Philippines, Romania, Bulgaria, Malaysia and the Czech Republic:</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2012</w:t>
            </w:r>
          </w:p>
        </w:tc>
        <w:tc>
          <w:tcPr>
            <w:tcW w:w="2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$1,362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Three months ended June 30, 2011</w:t>
            </w:r>
          </w:p>
        </w:tc>
        <w:tc>
          <w:tcPr>
            <w:tcW w:w="2960" w:type="dxa"/>
            <w:vAlign w:val="bottom"/>
          </w:tcPr>
          <w:p>
            <w:pPr>
              <w:jc w:val="right"/>
              <w:ind w:right="12"/>
              <w:spacing w:after="0"/>
              <w:rPr>
                <w:sz w:val="20"/>
                <w:szCs w:val="20"/>
                <w:color w:val="auto"/>
              </w:rPr>
            </w:pPr>
            <w:r>
              <w:rPr>
                <w:rFonts w:ascii="Arial" w:cs="Arial" w:eastAsia="Arial" w:hAnsi="Arial"/>
                <w:sz w:val="18"/>
                <w:szCs w:val="18"/>
                <w:color w:val="auto"/>
              </w:rPr>
              <w:t>$1,228</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2012</w:t>
            </w:r>
          </w:p>
        </w:tc>
        <w:tc>
          <w:tcPr>
            <w:tcW w:w="2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$2,843</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Six months ended June 30, 2011</w:t>
            </w:r>
          </w:p>
        </w:tc>
        <w:tc>
          <w:tcPr>
            <w:tcW w:w="2960" w:type="dxa"/>
            <w:vAlign w:val="bottom"/>
          </w:tcPr>
          <w:p>
            <w:pPr>
              <w:jc w:val="right"/>
              <w:ind w:right="12"/>
              <w:spacing w:after="0"/>
              <w:rPr>
                <w:sz w:val="20"/>
                <w:szCs w:val="20"/>
                <w:color w:val="auto"/>
              </w:rPr>
            </w:pPr>
            <w:r>
              <w:rPr>
                <w:rFonts w:ascii="Arial" w:cs="Arial" w:eastAsia="Arial" w:hAnsi="Arial"/>
                <w:sz w:val="18"/>
                <w:szCs w:val="18"/>
                <w:color w:val="auto"/>
              </w:rPr>
              <w:t>$2,250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Company finances its use of certain facilities, computer hardware, leasehold improvements, furniture, fixtures, office equipment and motor vehicles under various lease arrangements provided by financial institutions. Future minimum lease payments under these capital leases as of June 30, 2012 are as follows:</w:t>
      </w:r>
    </w:p>
    <w:p>
      <w:pPr>
        <w:spacing w:after="0" w:line="11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3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2013</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2015</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2017</w:t>
            </w:r>
          </w:p>
        </w:tc>
        <w:tc>
          <w:tcPr>
            <w:tcW w:w="37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7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8"/>
              </w:rPr>
              <w:t>Present value of minimum lease payments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Less: current portion</w:t>
            </w:r>
          </w:p>
        </w:tc>
        <w:tc>
          <w:tcPr>
            <w:tcW w:w="37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780" w:type="dxa"/>
            <w:vAlign w:val="bottom"/>
            <w:vMerge w:val="restart"/>
          </w:tcPr>
          <w:p>
            <w:pPr>
              <w:jc w:val="right"/>
              <w:ind w:right="3112"/>
              <w:spacing w:after="0"/>
              <w:rPr>
                <w:sz w:val="20"/>
                <w:szCs w:val="20"/>
                <w:color w:val="auto"/>
              </w:rPr>
            </w:pPr>
            <w:r>
              <w:rPr>
                <w:rFonts w:ascii="Arial" w:cs="Arial" w:eastAsia="Arial" w:hAnsi="Arial"/>
                <w:sz w:val="18"/>
                <w:szCs w:val="18"/>
                <w:color w:val="auto"/>
              </w:rPr>
              <w:t>16</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 conducts its operations using facilities leased under non-cancelable operating lease agreements that expire at various dates. Future minimum lease payments under non-cancelable operating lease agreements expiring after more than twelve months are as follows:</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9,017</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28,630</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operating leases are subject to renewal periodically and have scheduled rent increases. The Company accounts for scheduled rent on a straight-line basis over the lease period. Rent expense under both cancellable and non-cancellable operating leases was $4,302 and $3,345 for the three months ended June 30, 2012 and 2011, respectively, and $8,984 and $6,153 for the six months ended June 30, 2012 and 2011, respectively. Deferred rent as of June 30, 2012 and December 31, 2011 was $4,248 and $3,815, respectively, and is included in “Accrued expenses and other current liabilities” and “Non-current liabilities” in the unaudited consolidated balance sheets.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recorded income tax expense of $3,626 and $3,381 for the three months ended June 30, 2012 and 2011, respectively, and $6,646 and $4,501 for the six months ended June 30, 2012 and 2011, respectively. The effective rate of taxes increased marginally from 28.5% during the three months ended June 30, 2011 to 28.6% during the three months ended June 30, 2012. The effective rate of taxes increased from 21.1% during the six months ended June 30, 2011 to 27.0% during the six months ended June 30, 2012. The increase in the effective tax rate is primarily due to the expiry of a tax holiday period for most of the Company’s operating units in India that ended on April 1, 2011, completion of the first five years of operations in certain operating units in special economic zones (“SEZs”) in India after which the company is entitled to a 50% exemption from profits and release of a valuation allowance on deferred tax assets of $1,961 during the three months ended March 31, 2011.</w:t>
      </w:r>
    </w:p>
    <w:p>
      <w:pPr>
        <w:spacing w:after="0" w:line="11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fiscal year under the Indian Income Tax Act ends on March 31. Certain of the Company’s operations centers in India qualified for an exemption from corporate tax under Section 10A or 10B of the Indian Income Tax Act. This exemption was available for a period of ten consecutive years beginning with the financial year in which an operations center began to manufacture or produce eligible goods and services and expired on April 1, 2011. Thereafter, profits generated from the services provided from such operations centers have become fully taxable and, consequently, the Company’s tax expense increased significantly during the six months ended June 30, 2012 as compared to the six months ended June 30, 2011, respectively, and may continue to be higher in the future.</w:t>
      </w:r>
    </w:p>
    <w:p>
      <w:pPr>
        <w:spacing w:after="0" w:line="14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currently benefits from a four-year income tax holiday for one of its operations centers in the Philippines that expired in the middle of 2012 but is extendable for an additional two years. The Company has applied to the Authority for an extension of the tax holiday which, if granted, would be effective retrospectively from the date of expiry. The Company’s new operations center in the Philippines, inaugurated in January 2012, will also benefit from a four-year income tax holiday that is extendable for an additional two years. While the Company is reasonably certain that the Philippines authority will extend such tax holidays, it is possible that such extensions could be denied, or that these holidays could be conditioned or removed entirely due to changes in applicable legislation by the government of the Philippines. Should any of these events occur, the Company’s tax liability in the Philippines could increase.</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Company’s operations centers in Jaipur and Noida, which were established in SEZs in 2010, are eligible for tax incentives until 2020. As part of the OPI Acquisition, the Company also acquired operations centers in Bengaluru and Kochi, India that are also established in SEZs. The operations center in Bengaluru completed its first five years of operations on March 31, 2012. Under the tax regulations, the Bengaluru operations center has been entitled to a 50% tax exemption on export profits for five years from April 1, 2012, after which there has been an increase in the tax expense for such center. The Company has also established a new operations center in Pune, India in June 2012 which is located in an SEZ. The Company anticipates establishing additional operations centers in SEZs in the future.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June 30, 2012, the Company performed an analysis of the deferred tax asset valuation allowance for net operating loss carry forward for its domestic entities. Based on this analysis, the Company continues to carry a valuation allowance on the deferred tax assets on net operating loss carry forwards. The valuation allowance was approximately $919 as of both June 30, 2012 and December 31, 2011.</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the OPI Acquisition, the Company also acquired OPI’s federal and state net operating losses in the United States. Thus, as of June 30, 2012, the Company has federal net operating loss carry forwards of approximately $20,260, which expire in 2027. The Company’s federal net operating loss carry forwards are subject to certain annual utilization limitations under Section 382 of the United States Internal Revenue Code. The Company also has state and local net operating loss carry forwards of varying amounts, which also are subject to limitations under the applicable rules and regulations of those taxing jurisdictions. The Company estimates that it will be able to utilize all of the losses before their expiry.</w:t>
      </w:r>
    </w:p>
    <w:p>
      <w:pPr>
        <w:spacing w:after="0" w:line="1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During 2007, the Indian government passed tax legislation that, among other items, subjects Indian taxpayers to a Minimum Alternative Tax (“MAT”). As of June 30, 2012 and December 31, 2011, deferred income taxes related to the MAT were approximately $2,519 and $2,793, respectively.</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Company’s provision for income taxes also includes the impact of provisions established for uncertain income tax positions determined in accordance with ASC No. 740, “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 as well as the related net interest. Tax exposures can involve complex issues and may require an extended resolution period.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the gross unrecognized tax benefits from January 1, 2012 through June 30, 2012:</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2012</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19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1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current year tax positions</w:t>
            </w:r>
          </w:p>
        </w:tc>
        <w:tc>
          <w:tcPr>
            <w:tcW w:w="1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9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2012</w:t>
            </w:r>
          </w:p>
        </w:tc>
        <w:tc>
          <w:tcPr>
            <w:tcW w:w="196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5,452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as of June 30, 2012 of $5,452, if recognized, would impact the effective tax rate.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recognized interest and penalties of $129 and $246 during the three and six months ended June 30, 2012, respectively. The unrecognized tax benefits may increase or decrease in the next twelve months depending on the Company’s tax positions.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statements of income:</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86"/>
              </w:rPr>
              <w:t>Three months ended 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4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2,605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2,715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2,879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5,458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04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w w:val="98"/>
              </w:rPr>
              <w:t>Three months ended June 30,</w:t>
            </w:r>
          </w:p>
        </w:tc>
        <w:tc>
          <w:tcPr>
            <w:tcW w:w="22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2"/>
        </w:trPr>
        <w:tc>
          <w:tcPr>
            <w:tcW w:w="51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9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Expected life (years)</w:t>
            </w:r>
          </w:p>
        </w:tc>
        <w:tc>
          <w:tcPr>
            <w:tcW w:w="640" w:type="dxa"/>
            <w:vAlign w:val="bottom"/>
          </w:tcPr>
          <w:p>
            <w:pPr>
              <w:jc w:val="right"/>
              <w:spacing w:after="0"/>
              <w:rPr>
                <w:sz w:val="20"/>
                <w:szCs w:val="20"/>
                <w:color w:val="auto"/>
              </w:rPr>
            </w:pPr>
            <w:r>
              <w:rPr>
                <w:rFonts w:ascii="Arial" w:cs="Arial" w:eastAsia="Arial" w:hAnsi="Arial"/>
                <w:sz w:val="18"/>
                <w:szCs w:val="18"/>
                <w:color w:val="auto"/>
              </w:rPr>
              <w:t>4.50</w:t>
            </w:r>
          </w:p>
        </w:tc>
        <w:tc>
          <w:tcPr>
            <w:tcW w:w="96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5.38</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0.74%</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0.00%</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0.97%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Volatility</w:t>
            </w: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40%</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40%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 of comparative companies. The risk-free interest rate that the Company uses in the option valuation model is based on U.S. treasury zero-coupon bonds with a remaining term similar to the expected term of the options.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Weighted-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Number</w:t>
            </w: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of</w:t>
            </w: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5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2011</w:t>
            </w:r>
          </w:p>
        </w:tc>
        <w:tc>
          <w:tcPr>
            <w:tcW w:w="2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3,030,128</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$ 28,318</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Granted</w:t>
            </w:r>
          </w:p>
        </w:tc>
        <w:tc>
          <w:tcPr>
            <w:tcW w:w="3420" w:type="dxa"/>
            <w:vAlign w:val="bottom"/>
            <w:gridSpan w:val="3"/>
          </w:tcPr>
          <w:p>
            <w:pPr>
              <w:jc w:val="right"/>
              <w:ind w:right="540"/>
              <w:spacing w:after="0"/>
              <w:rPr>
                <w:sz w:val="20"/>
                <w:szCs w:val="20"/>
                <w:color w:val="auto"/>
              </w:rPr>
            </w:pPr>
            <w:r>
              <w:rPr>
                <w:rFonts w:ascii="Arial" w:cs="Arial" w:eastAsia="Arial" w:hAnsi="Arial"/>
                <w:sz w:val="18"/>
                <w:szCs w:val="18"/>
                <w:color w:val="auto"/>
              </w:rPr>
              <w:t>416,129</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25.36</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(590,724)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12.32</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21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(81,020)</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12.37</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2012</w:t>
            </w:r>
          </w:p>
        </w:tc>
        <w:tc>
          <w:tcPr>
            <w:tcW w:w="2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2,774,513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15.25</w:t>
            </w:r>
          </w:p>
        </w:tc>
        <w:tc>
          <w:tcPr>
            <w:tcW w:w="8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5"/>
              </w:rPr>
              <w:t>$ 26,397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June 30, 2012</w:t>
            </w:r>
          </w:p>
        </w:tc>
        <w:tc>
          <w:tcPr>
            <w:tcW w:w="2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8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1,392,968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12.90</w:t>
            </w:r>
          </w:p>
        </w:tc>
        <w:tc>
          <w:tcPr>
            <w:tcW w:w="880" w:type="dxa"/>
            <w:vAlign w:val="bottom"/>
            <w:gridSpan w:val="2"/>
          </w:tcPr>
          <w:p>
            <w:pPr>
              <w:jc w:val="center"/>
              <w:ind w:left="192"/>
              <w:spacing w:after="0"/>
              <w:rPr>
                <w:sz w:val="20"/>
                <w:szCs w:val="20"/>
                <w:color w:val="auto"/>
              </w:rPr>
            </w:pPr>
            <w:r>
              <w:rPr>
                <w:rFonts w:ascii="Arial" w:cs="Arial" w:eastAsia="Arial" w:hAnsi="Arial"/>
                <w:sz w:val="18"/>
                <w:szCs w:val="18"/>
                <w:color w:val="auto"/>
                <w:w w:val="85"/>
              </w:rPr>
              <w:t>$ 16,355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June 30, 2012</w:t>
            </w:r>
          </w:p>
        </w:tc>
        <w:tc>
          <w:tcPr>
            <w:tcW w:w="3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2,101,132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120" w:type="dxa"/>
            <w:vAlign w:val="bottom"/>
            <w:vMerge w:val="restart"/>
          </w:tcPr>
          <w:p>
            <w:pPr>
              <w:jc w:val="right"/>
              <w:ind w:right="672"/>
              <w:spacing w:after="0"/>
              <w:rPr>
                <w:sz w:val="20"/>
                <w:szCs w:val="20"/>
                <w:color w:val="auto"/>
              </w:rPr>
            </w:pPr>
            <w:r>
              <w:rPr>
                <w:rFonts w:ascii="Arial" w:cs="Arial" w:eastAsia="Arial" w:hAnsi="Arial"/>
                <w:sz w:val="18"/>
                <w:szCs w:val="18"/>
                <w:color w:val="auto"/>
              </w:rPr>
              <w:t>19</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unrecognized compensation cost for unvested options as of June 30, 2012 was $7,394, which is expected to be expensed over a weighted average period of 2.78 years. The weighted-average fair value of options granted during the three months ended June 30, 2012 was $9.41. No options were granted during the three months ended June 30, 2011. The weighted-average fair value of options granted during the six months ended June 30, 2012 and 2011 was $9.43 and $8.21, respectively. The total fair value of shares vested during the three months ended June 30, 2012 and 2011 was $311 and $628, respectively. The total fair value of shares vested during the six months ended June 30, 2012 and 2011 was $2,348 and $2,136,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80" w:type="dxa"/>
            <w:vAlign w:val="bottom"/>
            <w:gridSpan w:val="5"/>
          </w:tcPr>
          <w:p>
            <w:pPr>
              <w:jc w:val="right"/>
              <w:ind w:right="276"/>
              <w:spacing w:after="0"/>
              <w:rPr>
                <w:sz w:val="20"/>
                <w:szCs w:val="20"/>
                <w:color w:val="auto"/>
              </w:rPr>
            </w:pPr>
            <w:r>
              <w:rPr>
                <w:rFonts w:ascii="Arial" w:cs="Arial" w:eastAsia="Arial" w:hAnsi="Arial"/>
                <w:sz w:val="14"/>
                <w:szCs w:val="14"/>
                <w:b w:val="1"/>
                <w:bCs w:val="1"/>
                <w:color w:val="auto"/>
              </w:rPr>
              <w:t>Restricted Stock</w:t>
            </w:r>
          </w:p>
        </w:tc>
        <w:tc>
          <w:tcPr>
            <w:tcW w:w="500" w:type="dxa"/>
            <w:vAlign w:val="bottom"/>
          </w:tcPr>
          <w:p>
            <w:pPr>
              <w:spacing w:after="0"/>
              <w:rPr>
                <w:sz w:val="14"/>
                <w:szCs w:val="14"/>
                <w:color w:val="auto"/>
              </w:rPr>
            </w:pPr>
          </w:p>
        </w:tc>
        <w:tc>
          <w:tcPr>
            <w:tcW w:w="1940" w:type="dxa"/>
            <w:vAlign w:val="bottom"/>
            <w:gridSpan w:val="6"/>
          </w:tcPr>
          <w:p>
            <w:pPr>
              <w:ind w:left="2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5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5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939,659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345,050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(51,026)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(179,202)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23.82</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(49,020)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1,056,487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2012, unrecognized compensation cost of $18,657 is expected to be expensed over a weighted average period of 2.69 years.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provides services to Oak Hill Capital Partners, an affiliate of the Oak Hill Capital Partners, L.P., one of the Company’s significant stockholders. The Company recognized revenues of approximately $23 and $20 during the three months ended June 30, 2012 and 2011, respectively, and $38 and $35 during the six months ended June 30, 2012 and 2011, respectively. As of June 30, 2012 and December 31, 2011, the Company had an account receivable of $30 and $3, respectively, related to these services.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84"/>
              </w:rPr>
              <w:t>Three months ended June 30,</w:t>
            </w:r>
          </w:p>
        </w:tc>
        <w:tc>
          <w:tcPr>
            <w:tcW w:w="420" w:type="dxa"/>
            <w:vAlign w:val="bottom"/>
          </w:tcPr>
          <w:p>
            <w:pPr>
              <w:spacing w:after="0"/>
              <w:rPr>
                <w:sz w:val="14"/>
                <w:szCs w:val="14"/>
                <w:color w:val="auto"/>
              </w:rPr>
            </w:pPr>
          </w:p>
        </w:tc>
        <w:tc>
          <w:tcPr>
            <w:tcW w:w="1800" w:type="dxa"/>
            <w:vAlign w:val="bottom"/>
            <w:gridSpan w:val="7"/>
          </w:tcPr>
          <w:p>
            <w:pPr>
              <w:ind w:left="6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920" w:type="dxa"/>
            <w:vAlign w:val="bottom"/>
            <w:tcBorders>
              <w:bottom w:val="single" w:sz="8" w:color="CCEEFF"/>
            </w:tcBorders>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6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77,617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61,060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$153,565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$ 113,478</w:t>
            </w:r>
          </w:p>
        </w:tc>
        <w:tc>
          <w:tcPr>
            <w:tcW w:w="10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19,673</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42,985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38,114</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8,342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4,295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16,088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6,343</w:t>
            </w:r>
          </w:p>
        </w:tc>
        <w:tc>
          <w:tcPr>
            <w:tcW w:w="10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108,030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85,028</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212,638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$ 157,935</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9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920" w:type="dxa"/>
            <w:vAlign w:val="bottom"/>
          </w:tcPr>
          <w:p>
            <w:pPr>
              <w:spacing w:after="0"/>
              <w:rPr>
                <w:sz w:val="14"/>
                <w:szCs w:val="14"/>
                <w:color w:val="auto"/>
              </w:rPr>
            </w:pPr>
          </w:p>
        </w:tc>
        <w:tc>
          <w:tcPr>
            <w:tcW w:w="5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India</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$32,918</w:t>
            </w:r>
          </w:p>
        </w:tc>
        <w:tc>
          <w:tcPr>
            <w:tcW w:w="160" w:type="dxa"/>
            <w:vAlign w:val="bottom"/>
          </w:tcPr>
          <w:p>
            <w:pPr>
              <w:spacing w:after="0"/>
              <w:rPr>
                <w:sz w:val="18"/>
                <w:szCs w:val="18"/>
                <w:color w:val="auto"/>
              </w:rPr>
            </w:pP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35,787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2,261</w:t>
            </w: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Philippines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4,957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1,116</w:t>
            </w: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41,252</w:t>
            </w:r>
          </w:p>
        </w:tc>
        <w:tc>
          <w:tcPr>
            <w:tcW w:w="160" w:type="dxa"/>
            <w:vAlign w:val="bottom"/>
          </w:tcPr>
          <w:p>
            <w:pPr>
              <w:spacing w:after="0"/>
              <w:rPr>
                <w:sz w:val="19"/>
                <w:szCs w:val="19"/>
                <w:color w:val="auto"/>
              </w:rPr>
            </w:pP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42,320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As of June 30, 2012, the Company had committed to spend approximately $2,327 under agreements to purchase fixed assets. This amount is net of advances paid in respect of these purchases.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Certain units of the Company’s Indian subsidiaries had been established as 100% Export-Oriented units under the Export Import Policy or Software Technology Parks of India units (“STPI”) under the STPI guidelines issued by the Government of India which had provided the Company with certain incentives on imported and indigenous capital goods on fulfillment of certain conditions. Although the corporate tax incentives are no longer available, the units are required to fulfill such conditions for a limited time. In the event that these units are unable to meet those conditions over the specified period, the Company may be required to refund those incentives along with penalties and fines. However, management believes that these units have in the past satisfied and will continue to satisfy those conditions.</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ExlService Philippines, Inc. (“Exl Philippines”) is registered as an Ecozone IT Enterprise with the Philippines Economic Zone Authority. The registration provides the Company with certain incentives on the import of capital goods and requires Exl Philippines to meet certain export obligations. The Company currently benefits from a four-year income tax holiday for one of its operations centers in the Philippines that expired in the middle of 2012 but is extendable for an additional two years. The Company has applied to the Authority for an extension of the tax holiday, if granted, which would be effective retrospectively from the date of expiry. The Company’s new operations center in the Philippines, inaugurated in January 2012, will also benefit from a four-year income tax holiday that is extendable for an additional two years.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tax authorities over the application of some of its transfer pricing policies. The Company has received a number of assessment orders from the Indian tax authorities with respect to their audit of certain of the Company’s subsidiaries. The Indian tax authorities are examining income tax returns for other tax years.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details of the assessment orders, as well as amounts deposited or bank guarantees provided by the company as of June 30, 2012 are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Bank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Amount</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Guarantee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Deposited</w:t>
            </w:r>
          </w:p>
        </w:tc>
        <w:tc>
          <w:tcPr>
            <w:tcW w:w="12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Issued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Demanded</w:t>
            </w:r>
          </w:p>
        </w:tc>
        <w:tc>
          <w:tcPr>
            <w:tcW w:w="3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(Including</w:t>
            </w: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(Including</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2"/>
              </w:rPr>
              <w:t>Entity</w:t>
            </w:r>
          </w:p>
        </w:tc>
        <w:tc>
          <w:tcPr>
            <w:tcW w:w="6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80" w:type="dxa"/>
            <w:vAlign w:val="bottom"/>
            <w:vMerge w:val="restart"/>
          </w:tcPr>
          <w:p>
            <w:pPr>
              <w:ind w:left="320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(Including</w:t>
            </w: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additional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Tax Year</w:t>
            </w:r>
          </w:p>
        </w:tc>
        <w:tc>
          <w:tcPr>
            <w:tcW w:w="140" w:type="dxa"/>
            <w:vAlign w:val="bottom"/>
          </w:tcPr>
          <w:p>
            <w:pPr>
              <w:spacing w:after="0"/>
              <w:rPr>
                <w:sz w:val="14"/>
                <w:szCs w:val="14"/>
                <w:color w:val="auto"/>
              </w:rPr>
            </w:pPr>
          </w:p>
        </w:tc>
        <w:tc>
          <w:tcPr>
            <w:tcW w:w="6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7"/>
              </w:rPr>
              <w:t>Interest)</w:t>
            </w:r>
          </w:p>
        </w:tc>
        <w:tc>
          <w:tcPr>
            <w:tcW w:w="300" w:type="dxa"/>
            <w:vAlign w:val="bottom"/>
          </w:tcPr>
          <w:p>
            <w:pPr>
              <w:spacing w:after="0"/>
              <w:rPr>
                <w:sz w:val="14"/>
                <w:szCs w:val="14"/>
                <w:color w:val="auto"/>
              </w:rPr>
            </w:pPr>
          </w:p>
        </w:tc>
        <w:tc>
          <w:tcPr>
            <w:tcW w:w="92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Interest)</w:t>
            </w:r>
          </w:p>
        </w:tc>
        <w:tc>
          <w:tcPr>
            <w:tcW w:w="72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95"/>
        </w:trPr>
        <w:tc>
          <w:tcPr>
            <w:tcW w:w="100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Exl India</w:t>
            </w:r>
          </w:p>
        </w:tc>
        <w:tc>
          <w:tcPr>
            <w:tcW w:w="640" w:type="dxa"/>
            <w:vAlign w:val="bottom"/>
            <w:tcBorders>
              <w:top w:val="single" w:sz="8" w:color="auto"/>
            </w:tcBorders>
            <w:shd w:val="clear" w:color="auto" w:fill="CCEEFF"/>
          </w:tcPr>
          <w:p>
            <w:pPr>
              <w:ind w:left="60"/>
              <w:spacing w:after="0" w:line="195" w:lineRule="exact"/>
              <w:rPr>
                <w:sz w:val="20"/>
                <w:szCs w:val="20"/>
                <w:color w:val="auto"/>
              </w:rPr>
            </w:pPr>
            <w:r>
              <w:rPr>
                <w:rFonts w:ascii="Arial" w:cs="Arial" w:eastAsia="Arial" w:hAnsi="Arial"/>
                <w:sz w:val="18"/>
                <w:szCs w:val="18"/>
                <w:color w:val="auto"/>
                <w:w w:val="84"/>
              </w:rPr>
              <w:t>2003-04</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9"/>
              </w:rPr>
              <w:t>The assessment order alleges that the transfer price we applied to transactions between EXL</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India and EXL Inc. in the 2003-04 tax year was not appropriate and also disallows certain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 claimed as tax deductible by EXL India.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00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2004-05</w:t>
            </w:r>
          </w:p>
        </w:tc>
        <w:tc>
          <w:tcPr>
            <w:tcW w:w="6820" w:type="dxa"/>
            <w:vAlign w:val="bottom"/>
            <w:gridSpan w:val="2"/>
          </w:tcPr>
          <w:p>
            <w:pPr>
              <w:ind w:left="140"/>
              <w:spacing w:after="0"/>
              <w:rPr>
                <w:sz w:val="20"/>
                <w:szCs w:val="20"/>
                <w:color w:val="auto"/>
              </w:rPr>
            </w:pPr>
            <w:r>
              <w:rPr>
                <w:rFonts w:ascii="Arial" w:cs="Arial" w:eastAsia="Arial" w:hAnsi="Arial"/>
                <w:sz w:val="18"/>
                <w:szCs w:val="18"/>
                <w:color w:val="auto"/>
                <w:w w:val="89"/>
              </w:rPr>
              <w:t>The assessment order alleges that the transfer price we applied to transactions between EXL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8"/>
                <w:szCs w:val="18"/>
                <w:color w:val="auto"/>
                <w:w w:val="89"/>
              </w:rPr>
              <w:t>India and EXL Inc. for the 2004-05 tax year was not appropriate and also disallows certain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80" w:type="dxa"/>
            <w:vAlign w:val="bottom"/>
          </w:tcPr>
          <w:p>
            <w:pPr>
              <w:ind w:left="220"/>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1,695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2005-06</w:t>
            </w:r>
          </w:p>
        </w:tc>
        <w:tc>
          <w:tcPr>
            <w:tcW w:w="6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9"/>
              </w:rPr>
              <w:t>The assessment order alleges that the transfer price we applied to transactions between EXL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India and EXL Inc. for the 2005-06 tax year was not appropriate and also disallows certain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3,269</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00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2006-07</w:t>
            </w:r>
          </w:p>
        </w:tc>
        <w:tc>
          <w:tcPr>
            <w:tcW w:w="6820" w:type="dxa"/>
            <w:vAlign w:val="bottom"/>
            <w:gridSpan w:val="2"/>
          </w:tcPr>
          <w:p>
            <w:pPr>
              <w:ind w:left="140"/>
              <w:spacing w:after="0"/>
              <w:rPr>
                <w:sz w:val="20"/>
                <w:szCs w:val="20"/>
                <w:color w:val="auto"/>
              </w:rPr>
            </w:pPr>
            <w:r>
              <w:rPr>
                <w:rFonts w:ascii="Arial" w:cs="Arial" w:eastAsia="Arial" w:hAnsi="Arial"/>
                <w:sz w:val="18"/>
                <w:szCs w:val="18"/>
                <w:color w:val="auto"/>
                <w:w w:val="89"/>
              </w:rPr>
              <w:t>The assessment order alleges that the transfer price we applied to transactions between EXL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8"/>
                <w:szCs w:val="18"/>
                <w:color w:val="auto"/>
                <w:w w:val="89"/>
              </w:rPr>
              <w:t>India and EXL Inc. for the 2006-07 tax year was not appropriate and also disallows certain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80" w:type="dxa"/>
            <w:vAlign w:val="bottom"/>
          </w:tcPr>
          <w:p>
            <w:pPr>
              <w:ind w:left="220"/>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3,253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2007-08</w:t>
            </w:r>
          </w:p>
        </w:tc>
        <w:tc>
          <w:tcPr>
            <w:tcW w:w="6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9"/>
              </w:rPr>
              <w:t>The assessment order alleges that the transfer price we applied to transactions between EXL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India and EXL Inc. for the 2007-08 tax year was not appropriate and also disallows certain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2003-04</w:t>
            </w:r>
          </w:p>
        </w:tc>
        <w:tc>
          <w:tcPr>
            <w:tcW w:w="6820" w:type="dxa"/>
            <w:vAlign w:val="bottom"/>
            <w:gridSpan w:val="2"/>
          </w:tcPr>
          <w:p>
            <w:pPr>
              <w:ind w:left="140"/>
              <w:spacing w:after="0"/>
              <w:rPr>
                <w:sz w:val="20"/>
                <w:szCs w:val="20"/>
                <w:color w:val="auto"/>
              </w:rPr>
            </w:pPr>
            <w:r>
              <w:rPr>
                <w:rFonts w:ascii="Arial" w:cs="Arial" w:eastAsia="Arial" w:hAnsi="Arial"/>
                <w:sz w:val="18"/>
                <w:szCs w:val="18"/>
                <w:color w:val="auto"/>
                <w:w w:val="98"/>
              </w:rPr>
              <w:t>The assessment order alleges that EXL Inc. has a permanent establishment in India.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2,637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2004-05</w:t>
            </w:r>
          </w:p>
        </w:tc>
        <w:tc>
          <w:tcPr>
            <w:tcW w:w="6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The assessment order alleges that EXL Inc. has a permanent establishment in India.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2005-06</w:t>
            </w:r>
          </w:p>
        </w:tc>
        <w:tc>
          <w:tcPr>
            <w:tcW w:w="6820" w:type="dxa"/>
            <w:vAlign w:val="bottom"/>
            <w:gridSpan w:val="2"/>
          </w:tcPr>
          <w:p>
            <w:pPr>
              <w:ind w:left="140"/>
              <w:spacing w:after="0"/>
              <w:rPr>
                <w:sz w:val="20"/>
                <w:szCs w:val="20"/>
                <w:color w:val="auto"/>
              </w:rPr>
            </w:pPr>
            <w:r>
              <w:rPr>
                <w:rFonts w:ascii="Arial" w:cs="Arial" w:eastAsia="Arial" w:hAnsi="Arial"/>
                <w:sz w:val="18"/>
                <w:szCs w:val="18"/>
                <w:color w:val="auto"/>
                <w:w w:val="98"/>
              </w:rPr>
              <w:t>The assessment order alleges that EXL Inc. has a permanent establishment in India.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2006-07</w:t>
            </w:r>
          </w:p>
        </w:tc>
        <w:tc>
          <w:tcPr>
            <w:tcW w:w="6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The assessment order alleges that EXL Inc. has a permanent establishment in India.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000" w:type="dxa"/>
            <w:vAlign w:val="bottom"/>
            <w:gridSpan w:val="2"/>
          </w:tcPr>
          <w:p>
            <w:pPr>
              <w:spacing w:after="0"/>
              <w:rPr>
                <w:sz w:val="20"/>
                <w:szCs w:val="20"/>
                <w:color w:val="auto"/>
              </w:rPr>
            </w:pPr>
            <w:r>
              <w:rPr>
                <w:rFonts w:ascii="Arial" w:cs="Arial" w:eastAsia="Arial" w:hAnsi="Arial"/>
                <w:sz w:val="18"/>
                <w:szCs w:val="18"/>
                <w:color w:val="auto"/>
              </w:rPr>
              <w:t>BPO India</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2004-05</w:t>
            </w:r>
          </w:p>
        </w:tc>
        <w:tc>
          <w:tcPr>
            <w:tcW w:w="6820" w:type="dxa"/>
            <w:vAlign w:val="bottom"/>
            <w:gridSpan w:val="2"/>
          </w:tcPr>
          <w:p>
            <w:pPr>
              <w:ind w:left="140"/>
              <w:spacing w:after="0"/>
              <w:rPr>
                <w:sz w:val="20"/>
                <w:szCs w:val="20"/>
                <w:color w:val="auto"/>
              </w:rPr>
            </w:pPr>
            <w:r>
              <w:rPr>
                <w:rFonts w:ascii="Arial" w:cs="Arial" w:eastAsia="Arial" w:hAnsi="Arial"/>
                <w:sz w:val="18"/>
                <w:szCs w:val="18"/>
                <w:color w:val="auto"/>
                <w:w w:val="89"/>
              </w:rPr>
              <w:t>The assessment order alleges the transfer price we applied to transactions between OPI India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8"/>
                <w:szCs w:val="18"/>
                <w:color w:val="auto"/>
              </w:rPr>
              <w:t>and OPI Inc., for the 2004-05 tax year was not appropriate and proposes certain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80" w:type="dxa"/>
            <w:vAlign w:val="bottom"/>
          </w:tcPr>
          <w:p>
            <w:pPr>
              <w:ind w:left="220"/>
              <w:spacing w:after="0"/>
              <w:rPr>
                <w:sz w:val="20"/>
                <w:szCs w:val="20"/>
                <w:color w:val="auto"/>
              </w:rPr>
            </w:pPr>
            <w:r>
              <w:rPr>
                <w:rFonts w:ascii="Arial" w:cs="Arial" w:eastAsia="Arial" w:hAnsi="Arial"/>
                <w:sz w:val="18"/>
                <w:szCs w:val="18"/>
                <w:color w:val="auto"/>
              </w:rPr>
              <w:t>adjustments to the methodology for computing the amount of the tax exemption.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BPO India</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2008-09</w:t>
            </w:r>
          </w:p>
        </w:tc>
        <w:tc>
          <w:tcPr>
            <w:tcW w:w="6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2"/>
              </w:rPr>
              <w:t>The assessment order proposes certain adjustments to the methodology for computing the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the tax exemption.</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000" w:type="dxa"/>
            <w:vAlign w:val="bottom"/>
            <w:gridSpan w:val="2"/>
          </w:tcPr>
          <w:p>
            <w:pPr>
              <w:spacing w:after="0"/>
              <w:rPr>
                <w:sz w:val="20"/>
                <w:szCs w:val="20"/>
                <w:color w:val="auto"/>
              </w:rPr>
            </w:pPr>
            <w:r>
              <w:rPr>
                <w:rFonts w:ascii="Arial" w:cs="Arial" w:eastAsia="Arial" w:hAnsi="Arial"/>
                <w:sz w:val="18"/>
                <w:szCs w:val="18"/>
                <w:color w:val="auto"/>
              </w:rPr>
              <w:t>OPI India</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2008-09</w:t>
            </w:r>
          </w:p>
        </w:tc>
        <w:tc>
          <w:tcPr>
            <w:tcW w:w="6820" w:type="dxa"/>
            <w:vAlign w:val="bottom"/>
            <w:gridSpan w:val="2"/>
          </w:tcPr>
          <w:p>
            <w:pPr>
              <w:ind w:left="140"/>
              <w:spacing w:after="0"/>
              <w:rPr>
                <w:sz w:val="20"/>
                <w:szCs w:val="20"/>
                <w:color w:val="auto"/>
              </w:rPr>
            </w:pPr>
            <w:r>
              <w:rPr>
                <w:rFonts w:ascii="Arial" w:cs="Arial" w:eastAsia="Arial" w:hAnsi="Arial"/>
                <w:sz w:val="18"/>
                <w:szCs w:val="18"/>
                <w:color w:val="auto"/>
                <w:w w:val="92"/>
              </w:rPr>
              <w:t>The assessment order proposes certain adjustments to the methodology for computing the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80" w:type="dxa"/>
            <w:vAlign w:val="bottom"/>
          </w:tcPr>
          <w:p>
            <w:pPr>
              <w:ind w:left="220"/>
              <w:spacing w:after="0"/>
              <w:rPr>
                <w:sz w:val="20"/>
                <w:szCs w:val="20"/>
                <w:color w:val="auto"/>
              </w:rPr>
            </w:pPr>
            <w:r>
              <w:rPr>
                <w:rFonts w:ascii="Arial" w:cs="Arial" w:eastAsia="Arial" w:hAnsi="Arial"/>
                <w:sz w:val="18"/>
                <w:szCs w:val="18"/>
                <w:color w:val="auto"/>
              </w:rPr>
              <w:t>amount of the tax exemption.</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18,418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12,172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unaudited consolidated financial statements. The Company does not expect any impact from these assessments on its future income tax expense. There is a likelihood that the Company might receive similar orders for subsequent years until the above disputes are resolved.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Amounts paid as deposits in respect of the assessments described above aggregating to $12,172 and $11,662 as of June 30, 2012 and December 31, 2011, respectively, are included in “Other assets” and amounts deposited for bank guarantees aggregating to $2,382 as of June 30, 2012 and $2,494 as of December 31, 2011, respectively, are included in “Restricted cash non-current” in the Company’s unaudited consolidated balance sheet as of June 30, 2012 and the audited consolidated balance sheet as of December 31, 2011.</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2011. Some of the statements in the following discussion are forward looking statements. See “Forward Looking Statements.” Dollar amounts within Item 2 are presented as actual dollar amounts.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acquisitions, including the OPI Acquisition;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80"/>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Quarterly Report on Form 10-Q, or elsewhere, speaks only as of the date on which we make it.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are a leading provider of outsourcing and transformation services and focus on providing our clients with a positive business impact and enhancing their long term financial value. We customize our services to improve the economics of business performance and transform organizations to be leaner and more flexible. Our outsourcing services provide front-, middle- and back-office processing services for our primarily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finance transformation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We serve primarily the needs of Global 1000 companies in the insurance and healthcare, utilities, banking and financial services, transportation and logistics and travel sectors.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31, 2011, we completed the acquisition of Business Process Outsourcing Inc. (“OPI”), pursuant to a Merger Agreement, dated as of April 30, 2011 (the “OPI Acquisition”). We acquired OPI to strengthen our position as a provider of finance and accounting outsourcing services. By combining our existing finance and accounting outsourcing and transformation capabilities with OPI’s finance and accounting outsourcing capabilities and proprietary technology tools, we intend to provide a comprehensive set of finance and accounting services to our clients. The OPI Acquisition also furthers a strategic objective of leveraging technology and proprietary intellectual property in our service delivery.</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October 1, 2011, we acquired Trumbull Services, LLC (“Trumbull”), a market leader in subrogation services for property and casualty insurance companies, from the Hartford Financial Services Group, Inc. (the “Trumbull Acquisition”). With the Trumbull Acquisition, we have strengthened our leadership position in the insurance industry with a highly skilled and experienced employee base and access to an advanced software platform, and have become a leading provider of complex insurance subrogation outsourcing services.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market our services to our existing and prospective clients through our sales and client management teams, which are aligned by industry verticals and cross-industry domains such as finance and accounting. Our sales and client management teams operate from the U.S. and Europe and are supported by our business development team, which operates from the U.S. and India. We operate 13 operations centers in India including a new operations center in Pune, India inaugurated in June 2012 which is located in a special economic zone and is eligible for tax incentives, two operations centers in the U.S., two operations centers in the Philippines, and one operations center in each of Romania and the Czech Republic. In addition to these operations centers, we acquired three operations centers in India, two operations centers in Bulgaria, one operations center in Malaysia and two operations centers in the U.S. as part of the OPI Acquisition. We also acquired an operations center in the U.S. as part of the Trumbull Acquisition.</w:t>
      </w:r>
    </w:p>
    <w:p>
      <w:pPr>
        <w:spacing w:after="0" w:line="118"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February 2012, we inaugurated the EXL Center for Talent in Noida, India, our first facility dedicated exclusively to recruitment, capability enhancement and talent development. We are also in the process of expanding several of our other operations centers globally.</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generate revenues principally from contracts to provide outsourcing and transformation services. For the three and six months ended June 30, 2012, we had total revenues of $108.0 million and $212.6 million, respectively, compared to total revenues of $85.0 million and $157.9 million in the three and six months ended June 30, 2011, respectively, an increase of $23.0 million and $54.7 million, respectively, or 27.1% and 34.6%, respectively.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5"/>
          <w:szCs w:val="15"/>
          <w:color w:val="auto"/>
        </w:rPr>
        <w:t>Revenues from outsourcing services increased from $68.7 million and $125.6 million for the three and six months ended June 30, 2011, respectively, to $88.9 million and $178.7 million for the three and six months ended June 30, 2012, respectively. The increase in revenues from outsourcing services of $20.2 million and $53.1 million for the three and six months ended June 30, 2012, respectively, was driven primarily by revenues of $17.1 million and $43.8 million from the OPI Acquisition and the Trumbull Acquisition and net volume increases from existing and new clients aggregating to $8.0 million and $16.4 million.</w:t>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These increases were offset partially by a net decrease in revenues of $4.8 million and $7.1 million, primarily due to the depreciation of each of the Indian rupee, U.K. pound sterling and Czech koruna against the U.S. dollar during the three and six months ended June 30, 2012 compared to the three and six months ended June 30, 2011.</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Revenues from transformation services increased from $16.3 million and $32.4 million for the three and six months ended June 30, 2011, respectively to $19.1 million and $34.0 million for the three and six months ended June 30, 2012, respectively. The increase was primarily due to a combination of increased revenues in recurring or annuity decision analytics services and an increase in project-based engagements both in our decision analytics and operations and process excellence practices during the three and six months ended June 30, 2012 compared to the three and six months ended June 30, 2011. Revenues from new clients for transformation services were $1.4 million and $2.4 million during the three and six months ended June 30, 2012, respectively, and $0.2 million and $0.3 million during the three and six months ended June 30, 2011, respectively.</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and client base, both organically and through acquisitions. We provide our clients with a range of outsourcing services principally in the insurance and healthcare, utilities, banking and financial services, transportation and logistics and travel sectors, as well as cross-industry outsourcing services, such as finance and accounting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For outsourcing services, we enter into long-term agreements with our clients with typical initial terms ranging from three to eight years. These contracts also usually contain provisions permitting termination of the contract after a short notice period.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transformation services can be significantly affected by variations in business cycles. In addition, our transformation services consist primarily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 We have experienced a significant increase in demand for our annuity-based transformation services, which are engagements that are contracted for one- to three-year terms.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serve clients mainly in the U.S. and the U.K., with these two regions generating approximately 71.8% and 20.4%, respectively, of our total revenues for the three months ended June 30, 2012 and approximately 71.8% and 23.1%, respectively, of our total revenues for the three months ended June 30, 2011. For the six months ended June 30, 2012, these two regions generated approximately 72.2% and 20.2%, respectively, of our total revenues and approximately 71.9% and 24.1%, respectively, of our total revenues for the six months ended June 30, 2011.</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three months ended June 30, 2012 and 2011, our total revenues from our three largest clients were $28.2 million and $29.6 million, respectively, accounting for 26.1% and 34.8% of our total revenues, respectively, during these periods. In the six months ended June 30, 2012 and 2011, our total revenues from our three largest clients were $56.2 million and $57.5 million, respectively, accounting for 26.4% and 36.4% of our total revenues, respectively, during these periods. Although we are increasing and diversifying our customer base, we expect in the near future that a significant portion of our revenues will continue to be contributed by a limited number of large clients.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provide services to The Travelers Companies (“Travelers”), which represented $11.1 million, or 10.3%, and $22.1 million, or 10.4%, respectively of our total revenues for the three and six months ended June 30, 2012 and $10.3 million, or 12.1%, and $20.4 million, or 12.9%, respectively of our total revenues for the three and six months ended June 30, 2011, under a services agreement. Travelers may terminate the services agreement, or any work assignment or work order thereunder, each of which expires in December 2013, without cause upon 60 days’ prior notice.</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derived revenues from nine and five new clients for our services in the three months ended June 30, 2012 and 2011, respectively, and twenty and eight new clients for our services in the six months ended June 30, 2012 and 2011, respectively.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June 30, 2012 and 2011, 4.9% and 4.1%, respectively, of our revenues represent reimbursement of such expenses. For the six months ended June 30, 2012 and 2011, 4.4% and 4.2%, respectively, of our revenues represent reimbursement of such expenses.</w:t>
      </w:r>
    </w:p>
    <w:p>
      <w:pPr>
        <w:spacing w:after="0" w:line="14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U.K. pound sterling/U.S. dollar exposure.</w:t>
      </w:r>
    </w:p>
    <w:p>
      <w:pPr>
        <w:spacing w:after="0" w:line="6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observed a shift in industry pricing models toward transaction-based pricing and other pricing models. We believe this trend will continue and we have begun to use transaction-based and other pricing models with some of our current clients and are seeking to move certain other clients from a billing rate model to a transaction-based or other pricing model. Such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description of our critical accounting policies and estimates, refer to our Annual Report on Form 10-K for the year ended December 31, 2011.</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6"/>
              </w:rPr>
              <w:t>Three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4"/>
              </w:rPr>
              <w:t>ended 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left="137"/>
              <w:spacing w:after="0" w:line="142" w:lineRule="exact"/>
              <w:rPr>
                <w:sz w:val="20"/>
                <w:szCs w:val="20"/>
                <w:color w:val="auto"/>
              </w:rPr>
            </w:pPr>
            <w:r>
              <w:rPr>
                <w:rFonts w:ascii="Arial" w:cs="Arial" w:eastAsia="Arial" w:hAnsi="Arial"/>
                <w:sz w:val="14"/>
                <w:szCs w:val="14"/>
                <w:b w:val="1"/>
                <w:bCs w:val="1"/>
                <w:color w:val="auto"/>
                <w:w w:val="90"/>
              </w:rPr>
              <w:t>(in million)</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(in million)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r>
              <w:rPr>
                <w:rFonts w:ascii="Arial" w:cs="Arial" w:eastAsia="Arial" w:hAnsi="Arial"/>
                <w:sz w:val="11"/>
                <w:szCs w:val="11"/>
                <w:color w:val="auto"/>
              </w:rPr>
              <w:t>(1)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108.0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85.0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90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r>
              <w:rPr>
                <w:rFonts w:ascii="Arial" w:cs="Arial" w:eastAsia="Arial" w:hAnsi="Arial"/>
                <w:sz w:val="11"/>
                <w:szCs w:val="11"/>
                <w:color w:val="auto"/>
              </w:rPr>
              <w:t>(2)</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4"/>
                <w:szCs w:val="2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52.0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33.0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1"/>
                <w:szCs w:val="11"/>
                <w:color w:val="auto"/>
              </w:rPr>
              <w:t>(3)</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12.4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Selling and marketing expenses</w:t>
            </w:r>
            <w:r>
              <w:rPr>
                <w:rFonts w:ascii="Arial" w:cs="Arial" w:eastAsia="Arial" w:hAnsi="Arial"/>
                <w:sz w:val="11"/>
                <w:szCs w:val="11"/>
                <w:color w:val="auto"/>
              </w:rPr>
              <w:t>(3)</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expenses</w:t>
            </w:r>
            <w:r>
              <w:rPr>
                <w:rFonts w:ascii="Arial" w:cs="Arial" w:eastAsia="Arial" w:hAnsi="Arial"/>
                <w:sz w:val="11"/>
                <w:szCs w:val="11"/>
                <w:color w:val="auto"/>
              </w:rPr>
              <w:t>(4)</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gridSpan w:val="2"/>
            <w:vMerge w:val="continue"/>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23.6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income/(expense):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(loss)/gain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11.9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Income tax provision</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0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include reimbursable expenses of $5.3 million and $3.5 million for the three months ended June 30, 2012 and 2011, respectively, and $9.4 million and $6.7 million for the six months ended June 30, 2012 and 2011, respectively.</w:t>
      </w: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revenues includes $0.6 million each during the three months ended June 30, 2012 and 2011, and $1.2 million and $1.0 million for the six months ended June 30, 2012 and 2011, respectively, of non-cash amortization of stock compensation expense relating to the issuance of equity awards to employees directly involved in providing services to our clients as described in Note 13 to our unaudited consolidated financial statements contained herein.</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 $2.1 million and $2.3 million for the three months ended June 30, 2012 and 2011, respectively, and $4.2 million each during the six months ended June 30, 2012 and 2011, of non-cash amortization of stock compensation expense relating to the issuance of equity awards to our non-operations staff as described in Note 13 to our unaudited consolidated financial statements contained herein.</w:t>
      </w:r>
    </w:p>
    <w:p>
      <w:pPr>
        <w:spacing w:after="0" w:line="1"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and amortization includes $1.4 million and $0.9 million for the three months ended June 30, 2012 and 2011, respectively, and $2.8 million and $1.5 million for the six months ended June 30, 2012 and 2011, respectively, of amortization of intangibles as described in Note 5 to our unaudited consolidated financial statements contained herein.</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June 30, 2012 Compared to Three Months Ended June 30, 2011</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27.1% from $85.0 million for the three months ended June 30, 2011 to $108.0 million for the three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2012. Revenues from outsourcing services increased from $68.7 million during the three months ended June 30, 2011 to $88.9 million during the three months ended June 30, 2012. The increase in revenues from outsourcing services of $20.2 million was primarily driven by revenues of $17.1 million from the OPI Acquisition and the Trumbull Acquisition and net volume increases from existing and new clients aggregating to $8.0 million. These increases were partially offset by a net decrease in revenues of $4.8 million, primarily due to the depreciation of each of the Indian rupee, U.K. pound sterling and Czech koruna against the U.S. dollar during the three months ended June 30, 2012 compared to the three months ended June 30, 2011.</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Revenues from transformation services increased from $16.3 million for the three months ended June 30, 2011 to $19.1 million for the three months ended June 30, 2012. The increase was primarily due to a combination of increased revenues in recurring or annuity decision analytics services and an increase in project-based engagements both in our decision analytics and operations and process excellence practices during the three months ended June 30, 2012 compared to the three months ended June 30, 2011. Revenues from new clients for transformation services were $1.4 million and $0.2 million during the three months ended June 30, 2012 and 2011, respectively.</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27.0% from $52.0 million for the three months ended June 30, 2011 to $66.0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2012. The increase in cost of revenues was primarily due to an increase in employee-related costs of $16.9 million as a result of an increase in the number of our personnel directly involved in providing services to our clients, including $8.9 million of employee-related costs related to the OPI Acquisition and the Trumbull Acquisition. We also experienced an increase in reimbursable expenses of $1.8 million (resulting in an increase in revenues) and an increase in facilities, technology and other operating expenses of $3.3 million (primarily due to our acquisitions and new operations centers to support business growth). These increases were partially offset by a decrease of $8.0 million due to the net effect of depreciation of the Indian rupee and Czech koruna and appreciation of the Philippines peso against the U.S. dollar during the three months ended June 30, 2012 compared to the three months ended June 30, 2011. Cost of revenues as a percentage of revenues decreased marginally from 61.2% for the three months ended June 30, 2011 to 61.1% for the three months ended June 30, 2012.</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27.1% from $33.0 million for the three months ended June 30, 2011 to $42.0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2012. The increase in gross profit was primarily due to an increase in revenues of $23.0 million, offset by an increase in cost of revenues of $14.0 million. Gross profit as a percentage of revenues increased marginally from 38.8% for the three months ended June 30, 2011 to 38.9% for the three months ended June 30, 2012, primarily due to the depreciation of the Indian rupee against the U.S. dollar, partially offset by the impact of acquisitions in 2011 and a one-time client payment of $2.2 million, with no associated costs, received during the three months ended June 30, 2011.</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(“SG&amp;A”) expenses increased 16.4% from $18.5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2011 to $21.6 million for the three months ended June 30, 2012. The increase in SG&amp;A expenses was primarily due to an increase in employee-related costs of $3.0 million, including $1.6 million of employee-related costs related to the OPI Acquisition and the Trumbull Acquisitions, an increase in facilities costs of $0.4 million, primarily related to our acquisitions in 2011, and an increase in other SG&amp;A costs of $1.2 million during the three months ended June 30, 2012 compared to the three months ended June 30, 2011. These increases were partially offset by a decrease of $1.6 million due to the net effect of depreciation of the Indian rupee and Czech koruna and appreciation of the Philippines peso against the U.S. dollar during the three months ended June 30, 2012 compared to the three months ended June 30, 2011. As a percentage of revenues, SG&amp;A expenses decreased from 21.8% for the three months ended June 30, 2011 to 19.9% for the three months ended June 30, 2012.</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18.2% from $5.1 million for the three months ended June 30, 2011 to $6.0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June 30, 2012. The increase was primarily due to an increase in amortization of acquisition-related intangibles of $0.5 million, an increase in depreciation of $1.2 million, primarily related to our new operations centers and the OPI Acquisition and the Trumbull Acquisition. As we add more operations centers, we expect that our depreciation expense will increase to reflect the additional investment in equipment and operations centers necessary to meet our service requirements. These increases were partially offset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by a decrease of $0.8 million due to the net effect of depreciation of the Indian rupee and Czech koruna and appreciation of the Philippines peso against the U.S. dollar during the three months ended June 30, 2012 compared to the three months ended June 30, 2011. As a percentage of revenues, depreciation and amortization decreased from 6.0% for the three months ended June 30, 2011 to 5.6% for the three months ended June 30, 2012.</w:t>
      </w:r>
    </w:p>
    <w:p>
      <w:pPr>
        <w:spacing w:after="0" w:line="107" w:lineRule="exact"/>
        <w:rPr>
          <w:sz w:val="20"/>
          <w:szCs w:val="20"/>
          <w:color w:val="auto"/>
        </w:rPr>
      </w:pPr>
    </w:p>
    <w:p>
      <w:pPr>
        <w:ind w:right="260" w:firstLine="456"/>
        <w:spacing w:after="0" w:line="305" w:lineRule="auto"/>
        <w:rPr>
          <w:sz w:val="20"/>
          <w:szCs w:val="20"/>
          <w:color w:val="auto"/>
        </w:rPr>
      </w:pPr>
      <w:r>
        <w:rPr>
          <w:rFonts w:ascii="Arial" w:cs="Arial" w:eastAsia="Arial" w:hAnsi="Arial"/>
          <w:sz w:val="15"/>
          <w:szCs w:val="15"/>
          <w:b w:val="1"/>
          <w:bCs w:val="1"/>
          <w:i w:val="1"/>
          <w:iCs w:val="1"/>
          <w:color w:val="auto"/>
        </w:rPr>
        <w:t xml:space="preserve">Income from Operations. </w:t>
      </w:r>
      <w:r>
        <w:rPr>
          <w:rFonts w:ascii="Arial" w:cs="Arial" w:eastAsia="Arial" w:hAnsi="Arial"/>
          <w:sz w:val="15"/>
          <w:szCs w:val="15"/>
          <w:color w:val="auto"/>
        </w:rPr>
        <w:t>Income from operations increased 53.0% from $9.4 million for the three months ended June 30, 2011 to $14.4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June 30, 2012. As a percentage of revenues, income from operations increased from 11.1% for the three months ended June 30, 2011 to</w:t>
      </w:r>
    </w:p>
    <w:p>
      <w:pPr>
        <w:spacing w:after="0" w:line="323" w:lineRule="auto"/>
        <w:rPr>
          <w:sz w:val="20"/>
          <w:szCs w:val="20"/>
          <w:color w:val="auto"/>
        </w:rPr>
      </w:pPr>
      <w:r>
        <w:rPr>
          <w:rFonts w:ascii="Arial" w:cs="Arial" w:eastAsia="Arial" w:hAnsi="Arial"/>
          <w:sz w:val="16"/>
          <w:szCs w:val="16"/>
          <w:color w:val="auto"/>
        </w:rPr>
        <w:t>13.3% for the three months ended June 30, 2012. The increase in income from operations as a percentage of revenues was primarily due to operating leverage and the OPI and the Trumbull Acquisitions, resulting in lower SG&amp;A expenses as a percentage of revenues during the three months ended June 30, 2012.</w:t>
      </w:r>
    </w:p>
    <w:p>
      <w:pPr>
        <w:spacing w:after="0" w:line="9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Other Income/(Expense). </w:t>
      </w:r>
      <w:r>
        <w:rPr>
          <w:rFonts w:ascii="Arial" w:cs="Arial" w:eastAsia="Arial" w:hAnsi="Arial"/>
          <w:sz w:val="16"/>
          <w:szCs w:val="16"/>
          <w:color w:val="auto"/>
        </w:rPr>
        <w:t>Other income is comprised of foreign exchange gains and losses, interest income and expense and other items. Other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from $2.4 million for the three months ended June 30, 2011 to ($1.7 million) for the three months ended June 30, 2012. This decrease is primarily as a result of net foreign exchange loss of $2.1 million during the three months ended June 30, 2012 compared to a net foreign exchange gain of $1.8 million during the three months ended June 30, 2011, primarily attributable to the movement of the U.S. dollar against the Indian rupee. Net interest income and other income decreased by $0.2 million during the three months ended June 30, 2012 compared to the three months ended June 30, 2011, primarily due to a one-time gain during the three months ended June 30, 2011. The average exchange rate of the Indian rupee against the U.S. dollar was 54.81 during the three months ended June 30, 2012 compared to 44.66 during the three months ended June 30, 2011.</w:t>
      </w:r>
    </w:p>
    <w:p>
      <w:pPr>
        <w:spacing w:after="0" w:line="11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$3.4 million for the three months ended June 30, 2011 to $3.6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2012. The effective rate of taxes increased marginally from 28.5% during the three months ended June 30, 2011 to 28.6% during the three months ended June 30, 2012. Refer to Note 12 to the unaudited consolidated financial statements for further details.</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$8.5 million for the three months ended June 30, 2011 to $9.1 million for the three months ended June 30,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operating income of $5.0 million, offset by a decrease in other income of $4.2 million and an increase in provision for income taxes of $0.2 million. As a percentage of revenues, net income decreased from 10.0% for the three months ended June 30, 2011 to 8.4% for the three months ended June 30,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Six Months Ended June 30, 2012 Compared to Six Months Ended June 30, 2011</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34.6% from $157.9 million for the six months ended June 30, 2011 to $212.6 million for the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2012. Revenues from outsourcing services increased from $125.6 million during the six months ended June 30, 2011 to $178.7 million during the six months ended June 30, 2012. The increase in revenues from outsourcing services of $53.1 million was primarily driven by revenues of $43.8 million from the OPI Acquisition and the Trumbull Acquisition and net volume increases from existing and new clients aggregating to $16.4 million. These increases were partially offset by a net decrease in revenues of $7.1 million, primarily due to the depreciation of each of the Indian rupee, U.K. pound sterling and Czech koruna against the U.S. dollar during the six months ended June 30, 2012 compared to the six months ended June 30, 2011.</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Revenues from transformation services increased from $32.4 million for the six months ended June 30, 2011 to $34.0 million for the six months ended June 30, 2012. The increase was primarily due to a combination of increased revenues in recurring or annuity decision analytics services and an increase in project-based engagements both in our decision analytics and operations and process excellence practices during the six months ended June 30, 2012 compared to the six months ended June 30, 2011. Revenues from new clients for transformation services were $2.4 million and $0.3 million during the six months ended June 30, 2012 and 2011, respectively.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Cost of revenues increased 37.9% from $96.2 million for the six months ended June 30, 2011 to $132.7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2012. The increase in cost of revenues was primarily due to an increase in employee-related costs of $37.6 million as a result of an increase in the number of our personnel directly involved in providing services to our clients, including $23.6 million of employee-related costs related to the OPI Acquisition and the Trumbull Acquisition. We also experienced an increase in reimbursable expenses of $2.8 million (resulting in an increase in revenues) and an increase in facilities, technology and other operating expenses of $7.2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million (primarily due to our acquisitions and new operations centers to support business growth). These increases were partially offset by a decrease of $11.1 million due to the net effect of depreciation of the Indian rupee and Czech koruna and appreciation of the Philippines peso against the U.S. dollar during the six months ended June 30, 2012 compared to the six months ended June 30, 2011. Cost of revenues as a percentage of revenues increased from 60.9% for the six months ended June 30, 2011 to 62.4% for the six months ended June 30, 2012.</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29.5% from $61.7 million for the six months ended June 30, 2011 to $79.9 million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 The increase in gross profit was primarily due to an increase in revenues of $54.7 million, offset by an increase in cost of revenues of $36.5 million. Gross profit as a percentage of revenues decreased from 39.1% for the six months ended June 30, 2011 to 37.6% for the six months ended June 30, 2012, primarily due to the impact of our acquisitions in 2011 and a one-time client payment of $2.2 million, with no associated costs, received during the six months ended June 30, 2011, partially offset by the depreciation of the Indian rupee against the U.S. dollar during the six months ended June 30, 2012 compared to the six months ended June 30, 2011.</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22.6% from $34.8 million for the six months ended June 30, 2011 to $42.7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2012. The increase in SG&amp;A expenses was primarily due to an increase in employee-related costs of $7.0 million, including $4.0 million of employee-related costs related to the OPI Acquisition and the Trumbull Acquisition, an increase in facilities costs of $0.7 million, primarily related to our acquisitions in 2011, and an increase in other SG&amp;A costs of $2.3 million during the six months ended June 30, 2012 compared to the six months ended June 30, 2011. These increases were partially offset by a decrease of $2.1 million due to the net effect of depreciation of the Indian rupee and Czech koruna and appreciation of the Philippines peso against the U.S. dollar during the six months ended June 30, 2012 compared to the six months ended June 30, 2011. As a percentage of revenues, SG&amp;A expenses decreased from 22.1% for the six months ended June 30, 2011 to 20.1% for the six months ended June 30, 2012.</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24.5% from $10.0 million for the six months ended June 30, 2011 to $12.4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six months ended June 30, 2012. The increase was primarily due to an increase in amortization of acquisition-related intangibles of $1.2 million, an increase in depreciation of $2.3 million, primarily related to our new operations centers and the OPI Acquisition and the Trumbull Acquisition. As we add more operations centers, we expect that our depreciation expense will increase to reflect the additional investment in equipment and operations centers necessary to meet our service requirements. These increases were partially offset by a decrease of $1.1 million due to the net effect of depreciation of the Indian rupee and Czech koruna and appreciation of the Philippines peso against the U.S. dollar during the six months ended June 30, 2012 compared to the six months ended June 30, 2011. As a percentage of revenues, depreciation and amortization decreased from 6.3% for the six months ended June 30, 2011 to 5.8% for the six months ended June 30, 2012.</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increased 46.7% from $16.9 million for the six months ended June 30, 2011 to $24.8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2012. As a percentage of revenues, income from operations increased from 10.7% for the six months ended June 30, 2011 to 11.7% for the six months ended June 30, 2012. The increase in income from operations as a percentage of revenues was primarily due to operating leverage and the OPI Acquisition, resulting in lower SG&amp;A expenses as a percentage of revenues, partially offset by lower gross margins during the six months ended June 30, 2012.</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Other Income/(Expense). </w:t>
      </w:r>
      <w:r>
        <w:rPr>
          <w:rFonts w:ascii="Arial" w:cs="Arial" w:eastAsia="Arial" w:hAnsi="Arial"/>
          <w:sz w:val="16"/>
          <w:szCs w:val="16"/>
          <w:color w:val="auto"/>
        </w:rPr>
        <w:t>Other income is comprised of foreign exchange gains and losses, interest income and expense and other items. Other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from $4.4 million for the six months ended June 30, 2011 to ($0.2 million) for the six months ended June 30, 2012. This decrease is primarily as a result of net foreign exchange loss of $1.0 million during the six months ended June 30, 2012 compared to net foreign exchange gain of $3.5 million during the six months ended June 30, 2011, primarily attributable to the movement of the U.S. dollar against the Indian rupee. Net interest income and other income decreased by $0.2 million during the six months ended June 30, 2012 compared to the six months ended June 30, 2011, primarily due to a one-time gain during the six months ended June 30, 2011. The average exchange rate of the Indian rupee against the U.S. dollar was 52.30 during the six months ended June 30, 2012 compared to 44.96 during the six months ended June 30, 2011.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$4.5 million for the six months ended June 30, 2011 to $6.6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2012. The effective rate of taxes increased from 21.1% during the six months ended June 30, 2011 to 27.0% during the six months ended June 30, 2012. The increase is primarily due to the release of a valuation allowance on deferred tax assets of $2.0 million during the six months ended June 30, 2011. Refer to Note 12 to the unaudited consolidated financial statements for further details.</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$16.8 million for the six months ended June 30, 2011 to $18.0 million for the six months ended June 30,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operating income of $7.9 million, offset by a decrease in other income of $4.6 million and an increase in provision for income taxes of $2.1 million. As a percentage of revenues, net income decreased from 10.7% for the six months ended June 30, 2011 to 8.5% for the six months ended June 30,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we had $101.0 million in cash and cash equivalents and short-term investments.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Cash flows provided by operating activities decreased from $26.8 million in the six months ended June 30, 2011 to $19.5 million in the six months ended June 30, 2012. Cash flows from net income adjusted for non-cash items increased by $1.4 million during the six months ended June 30, 2012 compared to the six months ended June 30, 2011, primarily due to an increase in net income of $1.1 million, an increase in depreciation, amortization and stock-based compensation of $2.8 million and a decrease in unrealized foreign exchange gain of $2.5 million.</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Cash flows used for working capital increased from $4.6 million in the six months ended June 30, 2011 to $13.4 million in the six months ended June 30, 2012, primarily due to decrease in accrued employee costs and increase in prepaid expenses and other current assets. Our days’ sales outstanding was 51 days as of June 30, 2012 compared to 49 days as of December 31, 2011.</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Cash flows used for investing activities decreased from $90.2 million in the six months ended June 30, 2011 to $12.2 million in the six months ended June 30, 2012. The decrease is primarily due to payment of purchase consideration of $80.1 million for the OPI acquisition in the six months ended June 2011. This decrease was partially offset by increase in capital expenditure of $4.6 million during the six months ended June 30, 2012 compared to the six months ended June 30, 2011.</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Cash flows provided by financing activities decreased from $31.2 million in the six months ended June 30, 2011 to $6.1 million in the six months ended June 30, 2012. The decrease is primarily due to short term borrowing of $30.0 million under the Credit Facility during the six months ended June 30, 2011. This decrease was partially offset by proceeds from the exercise of stock options of $7.3 million during the six months ended June 30, 2012 compared to $3.6 million during the six months ended June 30, 2011.</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out our facilities and the purchase of telecommunications equipment and computer hardware and software in connection with managing client operations. We incurred approximately $13.2 million of capital expenditures in the six months ended June 30, 2012. We expect to incur capital expenditures of approximately $10.0 million to $15.0 million in the remainder of 2012 primarily to meet the growth requirements of our clients, including adding to our existing facilities and expanding our operations centers in India as well as to improve our internal technology. The timing and volume of such capital expenditures in the future will be affected by new client contracts we may enter into or the expansion of business under our existing client contracts.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tax assessment orders issued against Exl India and Exl Inc., we may be required to deposit additional amounts with respect to the assessment orders received by us and for similar orders for subsequent years that may be received by us. Refer to Note 16 to our unaudited consolidated financial statements for further details.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On May 26, 2011, the Company entered into a three-year credit agreement (the “Credit Facility”) with certain lenders and JPMorgan Chase Bank, N.A., as Administrative Agent. Borrowings under the Credit Facility may be used for working capital and general corporate purposes. Originally a $50.0 million revolving facility, including a letter of credit sub-facility, the availability under the Credit Facility was reduced to $15.0 million in June 2012 and may be increased up to the original availability upon fulfillment of certain conditions. As of June 30, 2012, we did not have any borrowings under the Credit Facility.</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anticipate that we will continue to rely upon cash from operating activities and the Credit Facility to finance our acquisitions, capital expenditures and working capital needs. If we have significant growth through acquisitions or otherwise, we may need to obtain additional financing.</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and December 31, 2011, we had no off-balance sheet arrangements or obligations.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June 30,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Less</w:t>
            </w:r>
          </w:p>
        </w:tc>
        <w:tc>
          <w:tcPr>
            <w:tcW w:w="380" w:type="dxa"/>
            <w:vAlign w:val="bottom"/>
          </w:tcPr>
          <w:p>
            <w:pPr>
              <w:spacing w:after="0"/>
              <w:rPr>
                <w:sz w:val="14"/>
                <w:szCs w:val="14"/>
                <w:color w:val="auto"/>
              </w:rPr>
            </w:pPr>
          </w:p>
        </w:tc>
        <w:tc>
          <w:tcPr>
            <w:tcW w:w="1600" w:type="dxa"/>
            <w:vAlign w:val="bottom"/>
            <w:tcBorders>
              <w:bottom w:val="single" w:sz="8" w:color="auto"/>
            </w:tcBorders>
            <w:gridSpan w:val="5"/>
          </w:tcPr>
          <w:p>
            <w:pPr>
              <w:jc w:val="right"/>
              <w:ind w:right="38"/>
              <w:spacing w:after="0"/>
              <w:rPr>
                <w:sz w:val="20"/>
                <w:szCs w:val="20"/>
                <w:color w:val="auto"/>
              </w:rPr>
            </w:pPr>
            <w:r>
              <w:rPr>
                <w:rFonts w:ascii="Arial" w:cs="Arial" w:eastAsia="Arial" w:hAnsi="Arial"/>
                <w:sz w:val="14"/>
                <w:szCs w:val="14"/>
                <w:b w:val="1"/>
                <w:bCs w:val="1"/>
                <w:color w:val="auto"/>
                <w:w w:val="93"/>
              </w:rPr>
              <w:t>Payment Due by Period</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than</w:t>
            </w:r>
          </w:p>
        </w:tc>
        <w:tc>
          <w:tcPr>
            <w:tcW w:w="980" w:type="dxa"/>
            <w:vAlign w:val="bottom"/>
            <w:gridSpan w:val="2"/>
          </w:tcPr>
          <w:p>
            <w:pPr>
              <w:jc w:val="right"/>
              <w:ind w:right="122"/>
              <w:spacing w:after="0" w:line="149" w:lineRule="exact"/>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98"/>
              <w:spacing w:after="0" w:line="149" w:lineRule="exact"/>
              <w:rPr>
                <w:sz w:val="20"/>
                <w:szCs w:val="20"/>
                <w:color w:val="auto"/>
              </w:rPr>
            </w:pPr>
            <w:r>
              <w:rPr>
                <w:rFonts w:ascii="Arial" w:cs="Arial" w:eastAsia="Arial" w:hAnsi="Arial"/>
                <w:sz w:val="14"/>
                <w:szCs w:val="14"/>
                <w:b w:val="1"/>
                <w:bCs w:val="1"/>
                <w:color w:val="auto"/>
              </w:rPr>
              <w:t>4-5</w:t>
            </w:r>
          </w:p>
        </w:tc>
        <w:tc>
          <w:tcPr>
            <w:tcW w:w="3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After</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1 year</w:t>
            </w:r>
          </w:p>
        </w:tc>
        <w:tc>
          <w:tcPr>
            <w:tcW w:w="38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8"/>
              <w:spacing w:after="0"/>
              <w:rPr>
                <w:sz w:val="20"/>
                <w:szCs w:val="20"/>
                <w:color w:val="auto"/>
              </w:rPr>
            </w:pPr>
            <w:r>
              <w:rPr>
                <w:rFonts w:ascii="Arial" w:cs="Arial" w:eastAsia="Arial" w:hAnsi="Arial"/>
                <w:sz w:val="14"/>
                <w:szCs w:val="14"/>
                <w:b w:val="1"/>
                <w:bCs w:val="1"/>
                <w:color w:val="auto"/>
                <w:w w:val="81"/>
              </w:rPr>
              <w:t>years</w:t>
            </w:r>
          </w:p>
        </w:tc>
        <w:tc>
          <w:tcPr>
            <w:tcW w:w="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5 years</w:t>
            </w:r>
          </w:p>
        </w:tc>
        <w:tc>
          <w:tcPr>
            <w:tcW w:w="40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1"/>
                <w:szCs w:val="11"/>
                <w:color w:val="auto"/>
              </w:rPr>
              <w:t>(a)</w:t>
            </w:r>
          </w:p>
        </w:tc>
        <w:tc>
          <w:tcPr>
            <w:tcW w:w="24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1"/>
                <w:szCs w:val="11"/>
                <w:color w:val="auto"/>
              </w:rPr>
              <w:t>(b)</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18.0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estimated payments under the Company’s Gratuity Plan.</w:t>
      </w:r>
    </w:p>
    <w:p>
      <w:pPr>
        <w:spacing w:after="0" w:line="15" w:lineRule="exact"/>
        <w:rPr>
          <w:rFonts w:ascii="Arial" w:cs="Arial" w:eastAsia="Arial" w:hAnsi="Arial"/>
          <w:sz w:val="18"/>
          <w:szCs w:val="18"/>
          <w:color w:val="auto"/>
        </w:rPr>
      </w:pPr>
    </w:p>
    <w:p>
      <w:pPr>
        <w:ind w:left="460" w:right="6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$5.5 million related to uncertain tax positions, since the extent of the amount and timing of payment is currently not reliably estimable or determinable.</w:t>
      </w:r>
    </w:p>
    <w:p>
      <w:pPr>
        <w:spacing w:after="0" w:line="13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Certain units of our Indian subsidiaries had been established as 100% Export-Oriented units under the Export Import Policy or Software Technology Parks of India units (“STPI”) under the STPI guidelines issued by the Government of India which had provided us with certain incentives on imported and indigenous capital goods on fulfillment of certain conditions. Although the corporate tax incentives are no longer available, the units are required to fulfill such conditions for a limited time. In the event that these units are unable to meet those conditions over the specified period, we may be required to refund those incentives along with penalties and fines. However, we believe that these units have in the past satisfied and will continue to satisfy those conditions.</w:t>
      </w:r>
    </w:p>
    <w:p>
      <w:pPr>
        <w:spacing w:after="0" w:line="11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ExlService Philippines, Inc. (“Exl Philippines”) is registered as an Ecozone IT Enterprise with the Philippines Economic Zone Authority. The registration provides us with certain incentives on the import of capital goods and requires Exl Philippines to meet certain export obligations. We currently benefits from a four-year income tax holiday for one of its operations centers in the Philippines that expired in the middle of 2012 but is extendable for an additional two years. We have applied to the Authority for an extension of the tax holiday which, if granted, would be effective retrospectively from the date of expiry. Our new operations center in the Philippines, inaugurated in January 2012, will also benefit from a four-year income tax holiday that is extendable for an additional two years.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May 2011, the Financial Accounting Standards Board (“FASB”) issued update No. 2011-04, “</w:t>
      </w:r>
      <w:r>
        <w:rPr>
          <w:rFonts w:ascii="Arial" w:cs="Arial" w:eastAsia="Arial" w:hAnsi="Arial"/>
          <w:sz w:val="16"/>
          <w:szCs w:val="16"/>
          <w:i w:val="1"/>
          <w:iCs w:val="1"/>
          <w:color w:val="auto"/>
        </w:rPr>
        <w:t>Amendments to Achieve Common 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Disclosure Requirements in U.S. GAAP and IFRS </w:t>
      </w:r>
      <w:r>
        <w:rPr>
          <w:rFonts w:ascii="Arial" w:cs="Arial" w:eastAsia="Arial" w:hAnsi="Arial"/>
          <w:sz w:val="16"/>
          <w:szCs w:val="16"/>
          <w:color w:val="auto"/>
        </w:rPr>
        <w:t>” (ASU No. 2011-04). ASU No. 2011-04 was intended to improve the comparability of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presented and disclosed in financial statements prepared in accordance with Generally Accepted Accounting Principles (“GAAP”) and International Financial Reporting Standards (“IFRS”). The amendments in this update result in common fair value measurement and disclosure requirements in GAAP and IFRS. The update explains how to measure fair value and does not require additional measurements. The adoption of this accounting pronouncement from January 1, 2012 did not have any impact on our unaudited consolidated financial statements.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June 2011, the FASB issued update No.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(ASU No. 2011-05). ASU No. 2011-05, effective retrospectively for the interim and annual periods beginning on or after December 15, 2011 (early adoption is permitted), requires presentation of total comprehensive income, the components of net income, and the components of other comprehensive income either in a single continuous statement of comprehensive income or in two separate but consecutive statements. In December 2011, the FASB issued update No. 2011-12, which deferred the requirement to present on the face of the financial statements the effects of reclassifications out of accumulated other comprehensive income on the components of net income and other comprehensive income for annual and interim financial statements. The adoption of this accounting pronouncement from January 1, 2012 did not have any impact on our unaudited consolidated financial statements. We adopted the option of presentation in two separate but consecutive statements. Refer to our unaudited consolidated statements of comprehensive income/(loss) for further details.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2011, the FASB issued update No.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(ASU No. 2011-08), which allows entities to use a qualitative approach to test goodwill for impairment. ASU No. 2011-08 permits an entity to first perform a qualitative assessment to determine whether it is more likely than not that the fair value of a reporting unit is less than its carrying value. If it is concluded that this is the case, it is necessary to perform the currently prescribed two-step goodwill impairment test. Otherwise, the two-step goodwill impairment test is not required. ASU No. 2011-08 is effective for annual and interim goodwill impairment tests performed for fiscal years beginning after December 15, 2011. The adoption of this accounting pronouncement did not have a material impact on our unaudited consolidated financial statements and we do not expect it to have a material impact on our annual goodwill impairment assessment in the fourth quarter of fiscal 2012.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six months ended June 30, 2012,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2011.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Quarterly Report on Form 10-Q, the Company’s management carried out an evaluation, under the supervision and with the participation of the CEO and CFO, of the effectiveness and operation of our disclosure controls and procedures as of June 30, 2012. Based upon that evaluation, the CEO and CFO have concluded that, as of June 30, 2012, our disclosure controls and procedures were effective.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During the six months ended June 30, 2012,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16 to our unaudited consolidated financial statements contained herein for details regarding our tax proceedings.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disclosed under the heading “Risk Factors” in our Annual Report on Form 10-K for the year ended December 31, 2011 a number of risks which may materially affect our business, financial condition or results of operations. You should carefully consider the “Risk Factors” set forth in our Annual Report on Form 10-K for the year ended December 31, 2011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During the three months ended June 30, 2012, the Company acquired 5,410 shares of common stock from employees in connection with withholding tax payments related to the vesting of restricted stock for a total consideration of $149,424. The purchase price of $27.62 per share was the average of the high and low price of the Company’s shares of common stock on the Nasdaq Global Select Market on the trading day prior to the vesting date of the shares of restricted stock.</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1400" w:type="dxa"/>
            <w:vAlign w:val="bottom"/>
            <w:gridSpan w:val="2"/>
          </w:tcPr>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tc>
      </w:tr>
      <w:tr>
        <w:trPr>
          <w:trHeight w:val="412"/>
        </w:trPr>
        <w:tc>
          <w:tcPr>
            <w:tcW w:w="860" w:type="dxa"/>
            <w:vAlign w:val="bottom"/>
          </w:tcPr>
          <w:p>
            <w:pPr>
              <w:ind w:left="100"/>
              <w:spacing w:after="0"/>
              <w:rPr>
                <w:sz w:val="20"/>
                <w:szCs w:val="20"/>
                <w:color w:val="auto"/>
              </w:rPr>
            </w:pPr>
            <w:r>
              <w:rPr>
                <w:rFonts w:ascii="Arial" w:cs="Arial" w:eastAsia="Arial" w:hAnsi="Arial"/>
                <w:sz w:val="18"/>
                <w:szCs w:val="18"/>
                <w:color w:val="auto"/>
              </w:rPr>
              <w:t>31.1</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Vice Chairman and Chief Executive Officer of ExlService Holdings, pursuant to Rule 13a-14 of the Exchange Act, as adopted</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31.2</w:t>
            </w: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Certification of the Executive Vice President and Chief Financial Officer of ExlService Holdings, pursuant to Rule 13a-14 of the Exchange Act,</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32.1</w:t>
            </w: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Certification of the Vice Chairman and Chief Executive Officer of ExlService Holdings, pursuant to Rule 13a-14(b) of the Exchange Act and 18</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U.S.C. Section 1350, as adopted pursuant to Section 906 of the Sarbanes-Oxley Act of 2002.</w:t>
            </w: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32.2</w:t>
            </w: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Certification of the Executive Vice President and Chief Financial Officer of ExlService Holdings, pursuant to Rule 13a-14(b) of the Exchange</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Act and 18 U.S.C. Section 1350, as adopted pursuant to Section 906 of the Sarbanes-Oxley Act of 2002.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Instance Document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220" w:right="60" w:hanging="212"/>
        <w:spacing w:after="0" w:line="259"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Securities Exchange Act of 1934 (15 U.S.C. 78r), or otherwise subject to the liability of that section. Such exhibit will not be deemed to be incorporated by reference into any filing under the Securities Act or Securities Exchange Act, except to the extent that the Company specifically incorporates it by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560" w:val="left"/>
          <w:tab w:leader="none" w:pos="7620" w:val="left"/>
          <w:tab w:leader="none" w:pos="8060" w:val="left"/>
        </w:tabs>
        <w:rPr>
          <w:sz w:val="20"/>
          <w:szCs w:val="20"/>
          <w:color w:val="auto"/>
        </w:rPr>
      </w:pPr>
      <w:r>
        <w:rPr>
          <w:rFonts w:ascii="Arial" w:cs="Arial" w:eastAsia="Arial" w:hAnsi="Arial"/>
          <w:sz w:val="18"/>
          <w:szCs w:val="18"/>
          <w:color w:val="auto"/>
        </w:rPr>
        <w:t>Date: August 3,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 </w:t>
      </w:r>
      <w:r>
        <w:rPr>
          <w:rFonts w:ascii="Arial" w:cs="Arial" w:eastAsia="Arial" w:hAnsi="Arial"/>
          <w:sz w:val="14"/>
          <w:szCs w:val="14"/>
          <w:color w:val="auto"/>
        </w:rPr>
        <w:t>S</w:t>
      </w:r>
      <w:r>
        <w:rPr>
          <w:rFonts w:ascii="Arial" w:cs="Arial" w:eastAsia="Arial" w:hAnsi="Arial"/>
          <w:sz w:val="18"/>
          <w:szCs w:val="18"/>
          <w:color w:val="auto"/>
        </w:rPr>
        <w:t xml:space="preserve"> /</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Vishal Chhibbar</w:t>
      </w:r>
    </w:p>
    <w:p>
      <w:pPr>
        <w:jc w:val="center"/>
        <w:ind w:left="59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2"/>
          <w:szCs w:val="12"/>
          <w:b w:val="1"/>
          <w:bCs w:val="1"/>
          <w:color w:val="auto"/>
        </w:rPr>
        <w:t>(Duly Authorized Signatory, Principal Financial and Accounting Officer)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800"/>
          </w:cols>
          <w:pgMar w:left="240" w:top="459" w:right="8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pacing w:after="0" w:line="212"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Vice Chairman and Chief Executive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pacing w:after="0" w:line="212"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ending June 30, 2012 as filed with the Securities and Exchange Commission on the date hereof (the Report), I, Rohit Kapoor, Vice Chairman and Chief Executive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Vice Chairman and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ending June 30, 2012 as filed with the Securities and Exchange Commission on the date hereof (the Report), I, Vishal Chhibbar, Executive Vice President and Chief Financial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2019-12-09T16:42:24Z</dcterms:created>
  <dcterms:modified xsi:type="dcterms:W3CDTF">2019-12-09T16:42:24Z</dcterms:modified>
</cp:coreProperties>
</file>