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Pursuant to Sections 13 or 15(d) of the Securities Exchange Act of 1934</w:t>
      </w:r>
    </w:p>
    <w:p>
      <w:pPr>
        <w:spacing w:after="0" w:line="7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6"/>
          <w:szCs w:val="16"/>
          <w:color w:val="auto"/>
        </w:rPr>
        <w:t>Date of Report (Date of earliest event reported): October 27, 2026</w:t>
      </w:r>
    </w:p>
    <w:p>
      <w:pPr>
        <w:spacing w:after="0" w:line="5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ectPr>
          <w:pgSz w:w="11900" w:h="16838" w:orient="portrait"/>
          <w:cols w:equalWidth="0" w:num="1">
            <w:col w:w="11240"/>
          </w:cols>
          <w:pgMar w:left="320" w:top="1168" w:right="339" w:bottom="1440" w:gutter="0" w:footer="0" w:header="0"/>
        </w:sectPr>
      </w:pPr>
    </w:p>
    <w:p>
      <w:pPr>
        <w:spacing w:after="0" w:line="13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82-0572194</w:t>
      </w:r>
    </w:p>
    <w:p>
      <w:pPr>
        <w:spacing w:after="0" w:line="44" w:lineRule="exact"/>
        <w:rPr>
          <w:sz w:val="24"/>
          <w:szCs w:val="24"/>
          <w:color w:val="auto"/>
        </w:rPr>
      </w:pPr>
    </w:p>
    <w:p>
      <w:pPr>
        <w:sectPr>
          <w:pgSz w:w="11900" w:h="16838" w:orient="portrait"/>
          <w:cols w:equalWidth="0" w:num="3">
            <w:col w:w="4540" w:space="720"/>
            <w:col w:w="3000" w:space="720"/>
            <w:col w:w="2260"/>
          </w:cols>
          <w:pgMar w:left="320" w:top="1168" w:right="339" w:bottom="1440" w:gutter="0" w:footer="0" w:header="0"/>
          <w:type w:val="continuous"/>
        </w:sectPr>
      </w:pPr>
    </w:p>
    <w:p>
      <w:pPr>
        <w:jc w:val="center"/>
        <w:ind w:right="260"/>
        <w:spacing w:after="0"/>
        <w:rPr>
          <w:sz w:val="20"/>
          <w:szCs w:val="20"/>
          <w:color w:val="auto"/>
        </w:rPr>
      </w:pPr>
      <w:r>
        <w:rPr>
          <w:rFonts w:ascii="Times New Roman" w:cs="Times New Roman" w:eastAsia="Times New Roman" w:hAnsi="Times New Roman"/>
          <w:sz w:val="16"/>
          <w:szCs w:val="16"/>
          <w:color w:val="auto"/>
        </w:rPr>
        <w:t>(State or other jurisdiction</w:t>
      </w:r>
    </w:p>
    <w:p>
      <w:pPr>
        <w:jc w:val="center"/>
        <w:ind w:right="260"/>
        <w:spacing w:after="0"/>
        <w:rPr>
          <w:sz w:val="20"/>
          <w:szCs w:val="20"/>
          <w:color w:val="auto"/>
        </w:rPr>
      </w:pPr>
      <w:r>
        <w:rPr>
          <w:rFonts w:ascii="Times New Roman" w:cs="Times New Roman" w:eastAsia="Times New Roman" w:hAnsi="Times New Roman"/>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68" w:right="339" w:bottom="1440" w:gutter="0" w:footer="0" w:header="0"/>
          <w:type w:val="continuous"/>
        </w:sectPr>
      </w:pPr>
    </w:p>
    <w:p>
      <w:pPr>
        <w:spacing w:after="0" w:line="19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320 Park Avenue, 29</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5"/>
          <w:szCs w:val="15"/>
          <w:b w:val="1"/>
          <w:bCs w:val="1"/>
          <w:color w:val="auto"/>
        </w:rPr>
        <w:t xml:space="preserve"> Floor,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10022</w:t>
      </w:r>
    </w:p>
    <w:p>
      <w:pPr>
        <w:spacing w:after="0" w:line="46" w:lineRule="exact"/>
        <w:rPr>
          <w:sz w:val="24"/>
          <w:szCs w:val="24"/>
          <w:color w:val="auto"/>
        </w:rPr>
      </w:pPr>
    </w:p>
    <w:p>
      <w:pPr>
        <w:sectPr>
          <w:pgSz w:w="11900" w:h="16838" w:orient="portrait"/>
          <w:cols w:equalWidth="0" w:num="2">
            <w:col w:w="7620" w:space="720"/>
            <w:col w:w="2900"/>
          </w:cols>
          <w:pgMar w:left="320" w:top="1168" w:right="339" w:bottom="1440" w:gutter="0" w:footer="0" w:header="0"/>
          <w:type w:val="continuous"/>
        </w:sectPr>
      </w:pPr>
    </w:p>
    <w:p>
      <w:pPr>
        <w:ind w:left="4960"/>
        <w:spacing w:after="0"/>
        <w:rPr>
          <w:sz w:val="20"/>
          <w:szCs w:val="20"/>
          <w:color w:val="auto"/>
        </w:rPr>
      </w:pPr>
      <w:r>
        <w:rPr>
          <w:rFonts w:ascii="Times New Roman" w:cs="Times New Roman" w:eastAsia="Times New Roman" w:hAnsi="Times New Roman"/>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46" w:lineRule="exact"/>
        <w:rPr>
          <w:sz w:val="24"/>
          <w:szCs w:val="24"/>
          <w:color w:val="auto"/>
        </w:rPr>
      </w:pPr>
    </w:p>
    <w:p>
      <w:pPr>
        <w:sectPr>
          <w:pgSz w:w="11900" w:h="16838" w:orient="portrait"/>
          <w:cols w:equalWidth="0" w:num="2">
            <w:col w:w="7480" w:space="720"/>
            <w:col w:w="3040"/>
          </w:cols>
          <w:pgMar w:left="320" w:top="1168"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6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277-7100</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address, if changed since last report)</w:t>
      </w:r>
    </w:p>
    <w:p>
      <w:pPr>
        <w:spacing w:after="0" w:line="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ectPr>
          <w:pgSz w:w="11900" w:h="16838" w:orient="portrait"/>
          <w:cols w:equalWidth="0" w:num="1">
            <w:col w:w="11240"/>
          </w:cols>
          <w:pgMar w:left="320" w:top="1168" w:right="339" w:bottom="1440" w:gutter="0" w:footer="0" w:header="0"/>
          <w:type w:val="continuous"/>
        </w:sect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81"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1"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8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2"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Emerging growth company</w:t>
      </w:r>
    </w:p>
    <w:p>
      <w:pPr>
        <w:spacing w:after="0" w:line="235" w:lineRule="exact"/>
        <w:rPr>
          <w:rFonts w:ascii="MS PGothic" w:cs="MS PGothic" w:eastAsia="MS PGothic" w:hAnsi="MS PGothic"/>
          <w:sz w:val="22"/>
          <w:szCs w:val="22"/>
          <w:color w:val="auto"/>
        </w:rPr>
      </w:pPr>
    </w:p>
    <w:p>
      <w:pPr>
        <w:ind w:left="620" w:right="480" w:hanging="594"/>
        <w:spacing w:after="0" w:line="219" w:lineRule="auto"/>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471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71170"/>
                    </a:xfrm>
                    <a:prstGeom prst="rect">
                      <a:avLst/>
                    </a:prstGeom>
                    <a:noFill/>
                  </pic:spPr>
                </pic:pic>
              </a:graphicData>
            </a:graphic>
          </wp:anchor>
        </w:drawing>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20" w:type="dxa"/>
            <w:vAlign w:val="bottom"/>
          </w:tcPr>
          <w:p>
            <w:pPr>
              <w:spacing w:after="0"/>
              <w:rPr>
                <w:sz w:val="19"/>
                <w:szCs w:val="19"/>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47"/>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27, 2026, ExlService Holdings, Inc. (the “Company”) reported its results of operations for the three months ended September 30, 2026. A copy of the press release issued by the Company concerning the foregoing is furnished herewith as Exhibit 99.1 and is incorporated herein by reference.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provided in Item 2.02 of this report, including Exhibit 99.1, shall not be deemed to be “filed” for purposes of Section 18 of the Securities Exchange Act of 1934, as amended.</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140" w:type="dxa"/>
            <w:vAlign w:val="bottom"/>
          </w:tcPr>
          <w:p>
            <w:pPr>
              <w:spacing w:after="0"/>
              <w:rPr>
                <w:sz w:val="19"/>
                <w:szCs w:val="19"/>
                <w:color w:val="auto"/>
              </w:rPr>
            </w:pPr>
          </w:p>
        </w:tc>
        <w:tc>
          <w:tcPr>
            <w:tcW w:w="5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October 27, 2026 (furnished pursuant to Item 2.02).</w:t>
            </w:r>
          </w:p>
        </w:tc>
        <w:tc>
          <w:tcPr>
            <w:tcW w:w="29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w:t>
            </w:r>
          </w:p>
        </w:tc>
      </w:tr>
      <w:tr>
        <w:trPr>
          <w:trHeight w:val="24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140" w:type="dxa"/>
            <w:vAlign w:val="bottom"/>
          </w:tcPr>
          <w:p>
            <w:pPr>
              <w:spacing w:after="0"/>
              <w:rPr>
                <w:sz w:val="21"/>
                <w:szCs w:val="21"/>
                <w:color w:val="auto"/>
              </w:rPr>
            </w:pPr>
          </w:p>
        </w:tc>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43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810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120" w:type="dxa"/>
            <w:vAlign w:val="bottom"/>
          </w:tcPr>
          <w:p>
            <w:pPr>
              <w:spacing w:after="0"/>
              <w:rPr>
                <w:sz w:val="20"/>
                <w:szCs w:val="20"/>
                <w:color w:val="auto"/>
              </w:rPr>
            </w:pPr>
          </w:p>
        </w:tc>
        <w:tc>
          <w:tcPr>
            <w:tcW w:w="31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(Registrant)</w:t>
            </w:r>
          </w:p>
        </w:tc>
        <w:tc>
          <w:tcPr>
            <w:tcW w:w="4960" w:type="dxa"/>
            <w:vAlign w:val="bottom"/>
          </w:tcPr>
          <w:p>
            <w:pPr>
              <w:spacing w:after="0"/>
              <w:rPr>
                <w:sz w:val="20"/>
                <w:szCs w:val="20"/>
                <w:color w:val="auto"/>
              </w:rPr>
            </w:pPr>
          </w:p>
        </w:tc>
      </w:tr>
      <w:tr>
        <w:trPr>
          <w:trHeight w:val="76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October 27, 2026</w:t>
            </w:r>
          </w:p>
        </w:tc>
        <w:tc>
          <w:tcPr>
            <w:tcW w:w="31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Maurizio Nicolelli</w:t>
            </w:r>
          </w:p>
        </w:tc>
      </w:tr>
      <w:tr>
        <w:trPr>
          <w:trHeight w:val="27"/>
        </w:trPr>
        <w:tc>
          <w:tcPr>
            <w:tcW w:w="3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50"/>
        </w:trPr>
        <w:tc>
          <w:tcPr>
            <w:tcW w:w="3120" w:type="dxa"/>
            <w:vAlign w:val="bottom"/>
          </w:tcPr>
          <w:p>
            <w:pPr>
              <w:spacing w:after="0"/>
              <w:rPr>
                <w:sz w:val="21"/>
                <w:szCs w:val="21"/>
                <w:color w:val="auto"/>
              </w:rPr>
            </w:pPr>
          </w:p>
        </w:tc>
        <w:tc>
          <w:tcPr>
            <w:tcW w:w="31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Nicolelli</w:t>
            </w:r>
          </w:p>
        </w:tc>
      </w:tr>
      <w:tr>
        <w:trPr>
          <w:trHeight w:val="243"/>
        </w:trPr>
        <w:tc>
          <w:tcPr>
            <w:tcW w:w="3120" w:type="dxa"/>
            <w:vAlign w:val="bottom"/>
          </w:tcPr>
          <w:p>
            <w:pPr>
              <w:spacing w:after="0"/>
              <w:rPr>
                <w:sz w:val="21"/>
                <w:szCs w:val="21"/>
                <w:color w:val="auto"/>
              </w:rPr>
            </w:pPr>
          </w:p>
        </w:tc>
        <w:tc>
          <w:tcPr>
            <w:tcW w:w="31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EXL REPORTS 2026 THIRD QUARTER RESULTS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2026 Third Quarter Revenue of $634.0 Million, up 19.7% year-over-year</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Q3 Diluted EPS (GAAP) of $0.45, up 25.3% from $0.36 in Q3 of 2025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Q3 Adjusted Diluted EPS (Non-GAAP) </w:t>
      </w:r>
      <w:r>
        <w:rPr>
          <w:rFonts w:ascii="Times New Roman" w:cs="Times New Roman" w:eastAsia="Times New Roman" w:hAnsi="Times New Roman"/>
          <w:sz w:val="28"/>
          <w:szCs w:val="28"/>
          <w:b w:val="1"/>
          <w:bCs w:val="1"/>
          <w:i w:val="1"/>
          <w:iCs w:val="1"/>
          <w:color w:val="auto"/>
          <w:vertAlign w:val="superscript"/>
        </w:rPr>
        <w:t>(1)</w:t>
      </w:r>
      <w:r>
        <w:rPr>
          <w:rFonts w:ascii="Times New Roman" w:cs="Times New Roman" w:eastAsia="Times New Roman" w:hAnsi="Times New Roman"/>
          <w:sz w:val="22"/>
          <w:szCs w:val="22"/>
          <w:b w:val="1"/>
          <w:bCs w:val="1"/>
          <w:i w:val="1"/>
          <w:iCs w:val="1"/>
          <w:color w:val="auto"/>
        </w:rPr>
        <w:t xml:space="preserve"> of $0.62, up 28.5% from $0.48 in Q3 of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New York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October 27, 2026 </w:t>
      </w:r>
      <w:r>
        <w:rPr>
          <w:rFonts w:ascii="Times New Roman" w:cs="Times New Roman" w:eastAsia="Times New Roman" w:hAnsi="Times New Roman"/>
          <w:sz w:val="18"/>
          <w:szCs w:val="18"/>
          <w:color w:val="auto"/>
        </w:rPr>
        <w:t>(GLOBE NEWSWIRE) - ExlService Holdings, Inc. (NASDAQ: EXLS), a global data and AI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financial results for the quarter ended September 30, 2026.</w:t>
      </w:r>
    </w:p>
    <w:p>
      <w:pPr>
        <w:spacing w:after="0" w:line="22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auto"/>
        </w:rPr>
        <w:t>Chairman and Chief Executive Officer Rohit Kapoor said, “We entered 2026 with strong momentum that has accelerated through the year, delivering third quarter revenue growth of 20% year-on-year and adjusted diluted EPS growth of 29% year-on-year. Every segment of our business grew more than 15% organically. Data and AI-led revenue, almost two-thirds of our business, grew 36% on a reported basis and 31% organically. These results reflect the strength of our data and AI strategy and our differentiated market position: deep domain expertise combined with data and AI capabilities that help clients make AI work effectively across the enterprise. Our business model affords us very good visibility into the balance of the year, and we look forward to a solid finish to 2026.”</w:t>
      </w:r>
    </w:p>
    <w:p>
      <w:pPr>
        <w:spacing w:after="0" w:line="212"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Chief Financial Officer Maurizio Nicolelli said, “Our strong third quarter performance gives us the confidence to raise our full-year outlook once again. We now expect full-year 2026 total revenue to be in the range of $2.430 billion to $2.440 billion, up from our prior guidance of $2.390 billion to $2.415 billion, reflecting 16% to 17% year-over-year growth on a reported basis and 15% on an organic constant currency basis. We now expect adjusted diluted earnings per share of $2.34 to $2.36, a 20% to 21% increase over 2025, up from our prior guidance of $2.25 to $2.29.”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__________________________________________________________</w:t>
      </w:r>
    </w:p>
    <w:p>
      <w:pPr>
        <w:spacing w:after="0" w:line="117" w:lineRule="exact"/>
        <w:rPr>
          <w:sz w:val="20"/>
          <w:szCs w:val="20"/>
          <w:color w:val="auto"/>
        </w:rPr>
      </w:pPr>
    </w:p>
    <w:p>
      <w:pPr>
        <w:jc w:val="both"/>
        <w:ind w:left="340" w:hanging="332"/>
        <w:spacing w:after="0" w:line="28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 Third Quarter 2026</w:t>
      </w:r>
    </w:p>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31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quarter ended September 30, 2026, increased to $634.0 million compared to $529.6 million for the third quarter of 2025, an increase of 19.7% on a reported basis and 19.9% on a constant currency basis. Revenue increased by 6.6% sequentially, both on a reported basis and on a constant currency basis, from the second quarter of 2026.</w:t>
      </w:r>
    </w:p>
    <w:p>
      <w:pPr>
        <w:spacing w:after="0" w:line="8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7"/>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180" w:type="dxa"/>
            <w:vAlign w:val="bottom"/>
            <w:gridSpan w:val="3"/>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16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92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18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100"/>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1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0" w:type="dxa"/>
            <w:vAlign w:val="bottom"/>
          </w:tcPr>
          <w:p>
            <w:pPr>
              <w:spacing w:after="0"/>
              <w:rPr>
                <w:sz w:val="1"/>
                <w:szCs w:val="1"/>
                <w:color w:val="auto"/>
              </w:rPr>
            </w:pPr>
          </w:p>
        </w:tc>
      </w:tr>
      <w:tr>
        <w:trPr>
          <w:trHeight w:val="214"/>
        </w:trPr>
        <w:tc>
          <w:tcPr>
            <w:tcW w:w="2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8"/>
                <w:szCs w:val="18"/>
                <w:color w:val="auto"/>
              </w:rPr>
            </w:pPr>
          </w:p>
        </w:tc>
        <w:tc>
          <w:tcPr>
            <w:tcW w:w="120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6"/>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Healthcare and Life Sciences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264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Banking, Capital Markets and</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Diversified Industries</w:t>
            </w: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 Growth Markets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594.8</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38.0 %</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38.5 %</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38.0 %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left="660" w:hanging="328"/>
        <w:spacing w:after="0" w:line="32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margin for the quarter ended September 30, 2026 was 14.0%, compared to 14.4% for the third quarter of 2025 and 14.7% for the second quarter of 2026. Adjusted operating income margin for the quarter ended September 30, 2026 was 19.3%, compared to 19.4% for the third quarter of 2025 and 19.7% for the second quarter of 2026.</w:t>
      </w:r>
    </w:p>
    <w:p>
      <w:pPr>
        <w:spacing w:after="0" w:line="204" w:lineRule="exact"/>
        <w:rPr>
          <w:rFonts w:ascii="Times New Roman" w:cs="Times New Roman" w:eastAsia="Times New Roman" w:hAnsi="Times New Roman"/>
          <w:sz w:val="18"/>
          <w:szCs w:val="18"/>
          <w:color w:val="auto"/>
        </w:rPr>
      </w:pPr>
    </w:p>
    <w:p>
      <w:pPr>
        <w:jc w:val="both"/>
        <w:ind w:left="660" w:hanging="328"/>
        <w:spacing w:after="0" w:line="32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quarter ended September 30, 2026 was $0.45, compared to $0.36 for the third quarter of 2025 and $0.42 for the second quarter of 2026. Adjusted diluted earnings per share for the quarter ended September 30, 2026 was $0.62, compared to $0.48 for the third quarter of 2025 and $0.59 for the second quarter of 2026.</w:t>
      </w:r>
    </w:p>
    <w:p>
      <w:pPr>
        <w:sectPr>
          <w:pgSz w:w="11900" w:h="16838" w:orient="portrait"/>
          <w:cols w:equalWidth="0" w:num="1">
            <w:col w:w="11240"/>
          </w:cols>
          <w:pgMar w:left="320" w:top="10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Highlights: Third Quarter 2026</w:t>
      </w:r>
    </w:p>
    <w:p>
      <w:pPr>
        <w:spacing w:after="0" w:line="189"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iMerit, establishing a Model Training Solutions practice.</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14 new clients in the third quarter of 2026.</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Marked EXL’s 20th year as a publicly listed company by launching its new “Go Beyond” brand.</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multiple Leader recognitions from ISG in Healthcare AI and Insurance Services.</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2026 Great Place To Work Certification™ in the U.S. and Colombia.</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closed new $1 billion senior secured credit facility.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Guidance</w:t>
      </w:r>
    </w:p>
    <w:p>
      <w:pPr>
        <w:spacing w:after="0" w:line="81"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auto"/>
        </w:rPr>
        <w:t>Based on current visibility, and a U.S. dollar to Indian rupee exchange rate of 95, U.K. pound sterling to U.S. dollar exchange rate of 1.33, U.S. dollar to the Philippine peso exchange rate of 63 and all other currencies at current exchange rates, we are providing the following guidance for the full year 2026:</w:t>
      </w:r>
    </w:p>
    <w:p>
      <w:pPr>
        <w:spacing w:after="0" w:line="176" w:lineRule="exact"/>
        <w:rPr>
          <w:sz w:val="20"/>
          <w:szCs w:val="20"/>
          <w:color w:val="auto"/>
        </w:rPr>
      </w:pPr>
    </w:p>
    <w:p>
      <w:pPr>
        <w:ind w:left="340" w:hanging="332"/>
        <w:spacing w:after="0" w:line="328" w:lineRule="auto"/>
        <w:tabs>
          <w:tab w:leader="none" w:pos="33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Revenue of $2.430 billion to $2.440 billion, representing an increase of 16% to 17% on a reported basis, and 15% on an organic constant currency basis from 2025.</w:t>
      </w:r>
    </w:p>
    <w:p>
      <w:pPr>
        <w:spacing w:after="0" w:line="189"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Adjusted diluted earnings per share of $2.34 to $2.36, representing an increase of 20% to 21% from 2025.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31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 xml:space="preserve">ExlService Holdings, Inc. will host a conference call on Wednesday, October 28, 2026, at 10:00 A.M. ET to discuss the Company’s third quarter operating and financial results. The conference call will be available live via the internet by accessing the investor relations section of EXL’s website at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000000"/>
        </w:rPr>
        <w:t>, where an accompanying investor-friendly spreadsheet of historical operating and financial data can also be accessed. Please access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website at least fifteen minutes prior to the call to register, download and install any necessary audio software.</w:t>
      </w:r>
    </w:p>
    <w:p>
      <w:pPr>
        <w:spacing w:after="0" w:line="21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To join the live call, please register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auto"/>
        </w:rPr>
        <w:t xml:space="preserve">. A dial-in and unique PIN will be provided to join the call. For those who cannot access the live broadcast, a replay will be available on the EXL website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xml:space="preserve"> for a period of twelve months.</w:t>
      </w:r>
    </w:p>
    <w:p>
      <w:pPr>
        <w:sectPr>
          <w:pgSz w:w="11900" w:h="16838" w:orient="portrait"/>
          <w:cols w:equalWidth="0" w:num="1">
            <w:col w:w="11240"/>
          </w:cols>
          <w:pgMar w:left="320" w:top="11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216"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EXL (NASDAQ: EXLS) is a global data and artificial intelligence ("AI") company that offers services and solutions to reinvent client business models, drive better outcomes and unlock growth with speed. EXL harnesses the power of data, AI, and deep industry knowledge to transform businesses,</w:t>
      </w:r>
    </w:p>
    <w:p>
      <w:pPr>
        <w:spacing w:after="0" w:line="1"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including the world’s leading corporations in industries including insurance, healthcare and life sciences, banking and capital markets, retail, communications and media, and energy and infrastructure, among others. EXL was founded in 1999 with the core values of innovation, collaboration, excellence, integrity and respect. We are headquartered in New York and have over 74,000 employees spanning six continents. For more information, visit</w:t>
      </w:r>
    </w:p>
    <w:p>
      <w:pPr>
        <w:spacing w:after="0"/>
        <w:rPr>
          <w:sz w:val="20"/>
          <w:szCs w:val="20"/>
          <w:color w:val="auto"/>
        </w:rPr>
      </w:pPr>
      <w:r>
        <w:rPr>
          <w:rFonts w:ascii="Times New Roman" w:cs="Times New Roman" w:eastAsia="Times New Roman" w:hAnsi="Times New Roman"/>
          <w:sz w:val="18"/>
          <w:szCs w:val="18"/>
          <w:u w:val="single" w:color="auto"/>
          <w:color w:val="0000FF"/>
        </w:rPr>
        <w:t>www.exlservice.com</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2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Cautionary Statement Regarding Forward-Looking Statements </w:t>
      </w:r>
      <w:r>
        <w:rPr>
          <w:rFonts w:ascii="Times New Roman" w:cs="Times New Roman" w:eastAsia="Times New Roman" w:hAnsi="Times New Roman"/>
          <w:sz w:val="18"/>
          <w:szCs w:val="18"/>
          <w:i w:val="1"/>
          <w:iCs w:val="1"/>
          <w:color w:val="auto"/>
        </w:rPr>
        <w:t>This press release contains forward-looking statements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integrate the iMerit acquisition or future strategic acquisitions or achieve anticipated synergies, our ability to maintain and grow client demand, risks related to the use of AI technology, impact on client demands by our selling cycles, our ability to hire and retain sufficiently trained employees, and our ability to accurately estimate and/or manage costs, and risks related to the international nature of our business and other factors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sectPr>
          <w:pgSz w:w="11900" w:h="16838" w:orient="portrait"/>
          <w:cols w:equalWidth="0" w:num="1">
            <w:col w:w="11240"/>
          </w:cols>
          <w:pgMar w:left="320" w:top="941" w:right="339" w:bottom="1440" w:gutter="0" w:footer="0" w:header="0"/>
        </w:sectPr>
      </w:pPr>
    </w:p>
    <w:bookmarkStart w:id="7" w:name="page8"/>
    <w:bookmarkEnd w:id="7"/>
    <w:p>
      <w:pPr>
        <w:ind w:left="41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20" w:type="dxa"/>
            <w:vAlign w:val="bottom"/>
          </w:tcPr>
          <w:p>
            <w:pPr>
              <w:spacing w:after="0"/>
              <w:rPr>
                <w:sz w:val="17"/>
                <w:szCs w:val="17"/>
                <w:color w:val="auto"/>
              </w:rPr>
            </w:pPr>
          </w:p>
        </w:tc>
        <w:tc>
          <w:tcPr>
            <w:tcW w:w="2720" w:type="dxa"/>
            <w:vAlign w:val="bottom"/>
            <w:gridSpan w:val="4"/>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633,959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1,545,064</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Cost of revenues</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392,824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325,649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1,109,894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953,626</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Gross profit</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241,135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203,936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689,179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591,438</w:t>
            </w:r>
          </w:p>
        </w:tc>
        <w:tc>
          <w:tcPr>
            <w:tcW w:w="0" w:type="dxa"/>
            <w:vAlign w:val="bottom"/>
          </w:tcPr>
          <w:p>
            <w:pPr>
              <w:spacing w:after="0"/>
              <w:rPr>
                <w:sz w:val="1"/>
                <w:szCs w:val="1"/>
                <w:color w:val="auto"/>
              </w:rPr>
            </w:pP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223,359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185,217</w:t>
            </w:r>
          </w:p>
        </w:tc>
        <w:tc>
          <w:tcPr>
            <w:tcW w:w="0" w:type="dxa"/>
            <w:vAlign w:val="bottom"/>
          </w:tcPr>
          <w:p>
            <w:pPr>
              <w:spacing w:after="0"/>
              <w:rPr>
                <w:sz w:val="1"/>
                <w:szCs w:val="1"/>
                <w:color w:val="auto"/>
              </w:rPr>
            </w:pPr>
          </w:p>
        </w:tc>
      </w:tr>
      <w:tr>
        <w:trPr>
          <w:trHeight w:val="227"/>
        </w:trPr>
        <w:tc>
          <w:tcPr>
            <w:tcW w:w="4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127,754</w:t>
            </w: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18,865</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42,740</w:t>
            </w:r>
          </w:p>
        </w:tc>
        <w:tc>
          <w:tcPr>
            <w:tcW w:w="0" w:type="dxa"/>
            <w:vAlign w:val="bottom"/>
          </w:tcPr>
          <w:p>
            <w:pPr>
              <w:spacing w:after="0"/>
              <w:rPr>
                <w:sz w:val="1"/>
                <w:szCs w:val="1"/>
                <w:color w:val="auto"/>
              </w:rPr>
            </w:pPr>
          </w:p>
        </w:tc>
      </w:tr>
      <w:tr>
        <w:trPr>
          <w:trHeight w:val="22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152,279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355,711</w:t>
            </w: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88,856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267,977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235,727</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gain/(loss),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(13,349)</w:t>
            </w:r>
          </w:p>
        </w:tc>
        <w:tc>
          <w:tcPr>
            <w:tcW w:w="0" w:type="dxa"/>
            <w:vAlign w:val="bottom"/>
          </w:tcPr>
          <w:p>
            <w:pPr>
              <w:spacing w:after="0"/>
              <w:rPr>
                <w:sz w:val="1"/>
                <w:szCs w:val="1"/>
                <w:color w:val="auto"/>
              </w:rPr>
            </w:pPr>
          </w:p>
        </w:tc>
      </w:tr>
      <w:tr>
        <w:trPr>
          <w:trHeight w:val="22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14,833</w:t>
            </w: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 expense and earnings from equity affiliates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86,661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262,028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239,601</w:t>
            </w:r>
          </w:p>
        </w:tc>
        <w:tc>
          <w:tcPr>
            <w:tcW w:w="0" w:type="dxa"/>
            <w:vAlign w:val="bottom"/>
          </w:tcPr>
          <w:p>
            <w:pPr>
              <w:spacing w:after="0"/>
              <w:rPr>
                <w:sz w:val="1"/>
                <w:szCs w:val="1"/>
                <w:color w:val="auto"/>
              </w:rPr>
            </w:pPr>
          </w:p>
        </w:tc>
      </w:tr>
      <w:tr>
        <w:trPr>
          <w:trHeight w:val="22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48,498</w:t>
            </w:r>
          </w:p>
        </w:tc>
        <w:tc>
          <w:tcPr>
            <w:tcW w:w="0" w:type="dxa"/>
            <w:vAlign w:val="bottom"/>
          </w:tcPr>
          <w:p>
            <w:pPr>
              <w:spacing w:after="0"/>
              <w:rPr>
                <w:sz w:val="1"/>
                <w:szCs w:val="1"/>
                <w:color w:val="auto"/>
              </w:rPr>
            </w:pPr>
          </w:p>
        </w:tc>
      </w:tr>
      <w:tr>
        <w:trPr>
          <w:trHeight w:val="22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68,722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200,345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191,103</w:t>
            </w:r>
          </w:p>
        </w:tc>
        <w:tc>
          <w:tcPr>
            <w:tcW w:w="0" w:type="dxa"/>
            <w:vAlign w:val="bottom"/>
          </w:tcPr>
          <w:p>
            <w:pPr>
              <w:spacing w:after="0"/>
              <w:rPr>
                <w:sz w:val="1"/>
                <w:szCs w:val="1"/>
                <w:color w:val="auto"/>
              </w:rPr>
            </w:pPr>
          </w:p>
        </w:tc>
      </w:tr>
      <w:tr>
        <w:trPr>
          <w:trHeight w:val="22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 (loss) from equity-method investment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5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68,771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200,363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190,773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27"/>
        </w:trPr>
        <w:tc>
          <w:tcPr>
            <w:tcW w:w="49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3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used in computing earnings per share:</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9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151,784,913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160,495,712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153,447,201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161,963,152</w:t>
            </w: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152,570,075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161,714,486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154,086,471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163,481,053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ectPr>
          <w:pgSz w:w="11900" w:h="16838" w:orient="portrait"/>
          <w:cols w:equalWidth="0" w:num="1">
            <w:col w:w="10960"/>
          </w:cols>
          <w:pgMar w:left="460" w:top="1103" w:right="47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2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65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146,326</w:t>
            </w:r>
          </w:p>
        </w:tc>
        <w:tc>
          <w:tcPr>
            <w:tcW w:w="0" w:type="dxa"/>
            <w:vAlign w:val="bottom"/>
          </w:tcPr>
          <w:p>
            <w:pPr>
              <w:spacing w:after="0"/>
              <w:rPr>
                <w:sz w:val="1"/>
                <w:szCs w:val="1"/>
                <w:color w:val="auto"/>
              </w:rPr>
            </w:pP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182,041</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12,392</w:t>
            </w:r>
          </w:p>
        </w:tc>
        <w:tc>
          <w:tcPr>
            <w:tcW w:w="0" w:type="dxa"/>
            <w:vAlign w:val="bottom"/>
          </w:tcPr>
          <w:p>
            <w:pPr>
              <w:spacing w:after="0"/>
              <w:rPr>
                <w:sz w:val="1"/>
                <w:szCs w:val="1"/>
                <w:color w:val="auto"/>
              </w:rPr>
            </w:pP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343,105</w:t>
            </w: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155,262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146,093</w:t>
            </w:r>
          </w:p>
        </w:tc>
        <w:tc>
          <w:tcPr>
            <w:tcW w:w="0" w:type="dxa"/>
            <w:vAlign w:val="bottom"/>
          </w:tcPr>
          <w:p>
            <w:pPr>
              <w:spacing w:after="0"/>
              <w:rPr>
                <w:sz w:val="1"/>
                <w:szCs w:val="1"/>
                <w:color w:val="auto"/>
              </w:rPr>
            </w:pP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959,143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829,957</w:t>
            </w: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111,821</w:t>
            </w:r>
          </w:p>
        </w:tc>
        <w:tc>
          <w:tcPr>
            <w:tcW w:w="0" w:type="dxa"/>
            <w:vAlign w:val="bottom"/>
          </w:tcPr>
          <w:p>
            <w:pPr>
              <w:spacing w:after="0"/>
              <w:rPr>
                <w:sz w:val="1"/>
                <w:szCs w:val="1"/>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97,411</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7,251</w:t>
            </w:r>
          </w:p>
        </w:tc>
        <w:tc>
          <w:tcPr>
            <w:tcW w:w="0" w:type="dxa"/>
            <w:vAlign w:val="bottom"/>
          </w:tcPr>
          <w:p>
            <w:pPr>
              <w:spacing w:after="0"/>
              <w:rPr>
                <w:sz w:val="1"/>
                <w:szCs w:val="1"/>
                <w:color w:val="auto"/>
              </w:rPr>
            </w:pP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129,968</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419,654</w:t>
            </w:r>
          </w:p>
        </w:tc>
        <w:tc>
          <w:tcPr>
            <w:tcW w:w="0" w:type="dxa"/>
            <w:vAlign w:val="bottom"/>
          </w:tcPr>
          <w:p>
            <w:pPr>
              <w:spacing w:after="0"/>
              <w:rPr>
                <w:sz w:val="1"/>
                <w:szCs w:val="1"/>
                <w:color w:val="auto"/>
              </w:rPr>
            </w:pPr>
          </w:p>
        </w:tc>
      </w:tr>
      <w:tr>
        <w:trPr>
          <w:trHeight w:val="22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36,204</w:t>
            </w: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w:t>
            </w: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61,771</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2,073,409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1,702,235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0" w:type="dxa"/>
            <w:vAlign w:val="bottom"/>
          </w:tcPr>
          <w:p>
            <w:pPr>
              <w:spacing w:after="0"/>
              <w:rPr>
                <w:sz w:val="1"/>
                <w:szCs w:val="1"/>
                <w:color w:val="auto"/>
              </w:rPr>
            </w:pP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employee costs</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146,775</w:t>
            </w:r>
          </w:p>
        </w:tc>
        <w:tc>
          <w:tcPr>
            <w:tcW w:w="0" w:type="dxa"/>
            <w:vAlign w:val="bottom"/>
          </w:tcPr>
          <w:p>
            <w:pPr>
              <w:spacing w:after="0"/>
              <w:rPr>
                <w:sz w:val="1"/>
                <w:szCs w:val="1"/>
                <w:color w:val="auto"/>
              </w:rPr>
            </w:pPr>
          </w:p>
        </w:tc>
      </w:tr>
      <w:tr>
        <w:trPr>
          <w:trHeight w:val="226"/>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135,498</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16,857</w:t>
            </w:r>
          </w:p>
        </w:tc>
        <w:tc>
          <w:tcPr>
            <w:tcW w:w="0" w:type="dxa"/>
            <w:vAlign w:val="bottom"/>
          </w:tcPr>
          <w:p>
            <w:pPr>
              <w:spacing w:after="0"/>
              <w:rPr>
                <w:sz w:val="1"/>
                <w:szCs w:val="1"/>
                <w:color w:val="auto"/>
              </w:rPr>
            </w:pP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444,189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324,125</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 less current portion</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293,712</w:t>
            </w:r>
          </w:p>
        </w:tc>
        <w:tc>
          <w:tcPr>
            <w:tcW w:w="0" w:type="dxa"/>
            <w:vAlign w:val="bottom"/>
          </w:tcPr>
          <w:p>
            <w:pPr>
              <w:spacing w:after="0"/>
              <w:rPr>
                <w:sz w:val="1"/>
                <w:szCs w:val="1"/>
                <w:color w:val="auto"/>
              </w:rPr>
            </w:pP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88,167</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22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81,401</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1,145,321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789,530</w:t>
            </w:r>
          </w:p>
        </w:tc>
        <w:tc>
          <w:tcPr>
            <w:tcW w:w="0" w:type="dxa"/>
            <w:vAlign w:val="bottom"/>
          </w:tcPr>
          <w:p>
            <w:pPr>
              <w:spacing w:after="0"/>
              <w:rPr>
                <w:sz w:val="1"/>
                <w:szCs w:val="1"/>
                <w:color w:val="auto"/>
              </w:rPr>
            </w:pPr>
          </w:p>
        </w:tc>
      </w:tr>
      <w:tr>
        <w:trPr>
          <w:trHeight w:val="20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6520" w:type="dxa"/>
            <w:vAlign w:val="bottom"/>
            <w:shd w:val="clear" w:color="auto" w:fill="CCEEFF"/>
          </w:tcPr>
          <w:p>
            <w:pPr>
              <w:ind w:left="340"/>
              <w:spacing w:after="0" w:line="178" w:lineRule="exact"/>
              <w:rPr>
                <w:sz w:val="20"/>
                <w:szCs w:val="20"/>
                <w:color w:val="auto"/>
              </w:rPr>
            </w:pPr>
            <w:r>
              <w:rPr>
                <w:rFonts w:ascii="Times New Roman" w:cs="Times New Roman" w:eastAsia="Times New Roman" w:hAnsi="Times New Roman"/>
                <w:sz w:val="16"/>
                <w:szCs w:val="16"/>
                <w:color w:val="auto"/>
              </w:rPr>
              <w:t>Common stock, $0.001 par value; 400,000,000 shares authorized, 210,148,341 shares issued</w:t>
            </w: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162"/>
        </w:trPr>
        <w:tc>
          <w:tcPr>
            <w:tcW w:w="652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and 151,027,513 shares outstanding as of September 30, 2026 and 208,855,566 shares issued</w:t>
            </w:r>
          </w:p>
        </w:tc>
        <w:tc>
          <w:tcPr>
            <w:tcW w:w="12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156,430,028 shares outstanding as of December 31, 2025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677,562</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1,733,342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1,532,979</w:t>
            </w:r>
          </w:p>
        </w:tc>
        <w:tc>
          <w:tcPr>
            <w:tcW w:w="0" w:type="dxa"/>
            <w:vAlign w:val="bottom"/>
          </w:tcPr>
          <w:p>
            <w:pPr>
              <w:spacing w:after="0"/>
              <w:rPr>
                <w:sz w:val="1"/>
                <w:szCs w:val="1"/>
                <w:color w:val="auto"/>
              </w:rPr>
            </w:pPr>
          </w:p>
        </w:tc>
      </w:tr>
      <w:tr>
        <w:trPr>
          <w:trHeight w:val="226"/>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(180,727)</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2,253,833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2,030,023</w:t>
            </w:r>
          </w:p>
        </w:tc>
        <w:tc>
          <w:tcPr>
            <w:tcW w:w="0" w:type="dxa"/>
            <w:vAlign w:val="bottom"/>
          </w:tcPr>
          <w:p>
            <w:pPr>
              <w:spacing w:after="0"/>
              <w:rPr>
                <w:sz w:val="1"/>
                <w:szCs w:val="1"/>
                <w:color w:val="auto"/>
              </w:rPr>
            </w:pPr>
          </w:p>
        </w:tc>
      </w:tr>
      <w:tr>
        <w:trPr>
          <w:trHeight w:val="155"/>
        </w:trPr>
        <w:tc>
          <w:tcPr>
            <w:tcW w:w="65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Less: 59,120,828 shares as of September 30, 2026 and 52,425,538 shares as of December 31,</w:t>
            </w:r>
          </w:p>
        </w:tc>
        <w:tc>
          <w:tcPr>
            <w:tcW w:w="12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(1,325,745)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(1,117,318)</w:t>
            </w:r>
          </w:p>
        </w:tc>
        <w:tc>
          <w:tcPr>
            <w:tcW w:w="0" w:type="dxa"/>
            <w:vAlign w:val="bottom"/>
          </w:tcPr>
          <w:p>
            <w:pPr>
              <w:spacing w:after="0"/>
              <w:rPr>
                <w:sz w:val="1"/>
                <w:szCs w:val="1"/>
                <w:color w:val="auto"/>
              </w:rPr>
            </w:pPr>
          </w:p>
        </w:tc>
      </w:tr>
      <w:tr>
        <w:trPr>
          <w:trHeight w:val="129"/>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2025, held in treasury, at cost</w:t>
            </w:r>
          </w:p>
        </w:tc>
        <w:tc>
          <w:tcPr>
            <w:tcW w:w="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52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928,088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912,705</w:t>
            </w:r>
          </w:p>
        </w:tc>
        <w:tc>
          <w:tcPr>
            <w:tcW w:w="0" w:type="dxa"/>
            <w:vAlign w:val="bottom"/>
          </w:tcPr>
          <w:p>
            <w:pPr>
              <w:spacing w:after="0"/>
              <w:rPr>
                <w:sz w:val="1"/>
                <w:szCs w:val="1"/>
                <w:color w:val="auto"/>
              </w:rPr>
            </w:pP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2,073,409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1,702,235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860"/>
          </w:cols>
          <w:pgMar w:left="1020" w:top="887" w:right="10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1"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and adjusted operating income margin;</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diluted earnings per share;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on a constant currency basis.</w:t>
      </w:r>
    </w:p>
    <w:p>
      <w:pPr>
        <w:spacing w:after="0" w:line="306" w:lineRule="exact"/>
        <w:rPr>
          <w:sz w:val="20"/>
          <w:szCs w:val="20"/>
          <w:color w:val="auto"/>
        </w:rPr>
      </w:pPr>
    </w:p>
    <w:p>
      <w:pPr>
        <w:jc w:val="both"/>
        <w:ind w:firstLine="405"/>
        <w:spacing w:after="0" w:line="303" w:lineRule="auto"/>
        <w:rPr>
          <w:sz w:val="20"/>
          <w:szCs w:val="20"/>
          <w:color w:val="auto"/>
        </w:rPr>
      </w:pPr>
      <w:r>
        <w:rPr>
          <w:rFonts w:ascii="Times New Roman" w:cs="Times New Roman" w:eastAsia="Times New Roman" w:hAnsi="Times New Roman"/>
          <w:sz w:val="18"/>
          <w:szCs w:val="18"/>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spacing w:after="0" w:line="212" w:lineRule="exact"/>
        <w:rPr>
          <w:sz w:val="20"/>
          <w:szCs w:val="20"/>
          <w:color w:val="auto"/>
        </w:rPr>
      </w:pPr>
    </w:p>
    <w:p>
      <w:pPr>
        <w:jc w:val="both"/>
        <w:ind w:firstLine="405"/>
        <w:spacing w:after="0" w:line="306" w:lineRule="auto"/>
        <w:rPr>
          <w:sz w:val="20"/>
          <w:szCs w:val="20"/>
          <w:color w:val="auto"/>
        </w:rPr>
      </w:pPr>
      <w:r>
        <w:rPr>
          <w:rFonts w:ascii="Times New Roman" w:cs="Times New Roman" w:eastAsia="Times New Roman" w:hAnsi="Times New Roman"/>
          <w:sz w:val="18"/>
          <w:szCs w:val="18"/>
          <w:color w:val="auto"/>
        </w:rPr>
        <w:t>EXL non-GAAP financial measures exclude, where applicable, stock-based compensation expense, amortization of acquisition-related intangible assets, amortization of prior service cost arising from implementation of new Labor Codes in India, certain defined social security contributions,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spacing w:after="0" w:line="212" w:lineRule="exact"/>
        <w:rPr>
          <w:sz w:val="20"/>
          <w:szCs w:val="20"/>
          <w:color w:val="auto"/>
        </w:rPr>
      </w:pPr>
    </w:p>
    <w:p>
      <w:pPr>
        <w:jc w:val="both"/>
        <w:ind w:firstLine="405"/>
        <w:spacing w:after="0" w:line="309" w:lineRule="auto"/>
        <w:rPr>
          <w:sz w:val="20"/>
          <w:szCs w:val="20"/>
          <w:color w:val="auto"/>
        </w:rPr>
      </w:pPr>
      <w:r>
        <w:rPr>
          <w:rFonts w:ascii="Times New Roman" w:cs="Times New Roman" w:eastAsia="Times New Roman" w:hAnsi="Times New Roman"/>
          <w:sz w:val="18"/>
          <w:szCs w:val="18"/>
          <w:color w:val="auto"/>
        </w:rPr>
        <w:t>EXL provides information about revenues on a constant currency basis so that the revenues may be viewed without the impact of foreign currency exchange rate fluctuations compared to prior fiscal periods, thereby facilitating period-to-period comparisons of the Company's underlying business performance. Revenue growth on a constant currency basis is calculated by restating current-period activity using the prior fiscal period's foreign currency exchange rates adjusted for hedging gains/losses in such period. Foreign currency translation impacted revenue growth, primarily driven by movements in the U.S. dollar against the Indian rupee (INR), the U.K. pound sterling (GBP), and Australian dollar (AUD).</w:t>
      </w:r>
    </w:p>
    <w:p>
      <w:pPr>
        <w:spacing w:after="0" w:line="207" w:lineRule="exact"/>
        <w:rPr>
          <w:sz w:val="20"/>
          <w:szCs w:val="20"/>
          <w:color w:val="auto"/>
        </w:rPr>
      </w:pPr>
    </w:p>
    <w:p>
      <w:pPr>
        <w:jc w:val="both"/>
        <w:ind w:firstLine="405"/>
        <w:spacing w:after="0" w:line="309" w:lineRule="auto"/>
        <w:rPr>
          <w:sz w:val="20"/>
          <w:szCs w:val="20"/>
          <w:color w:val="auto"/>
        </w:rPr>
      </w:pPr>
      <w:r>
        <w:rPr>
          <w:rFonts w:ascii="Times New Roman" w:cs="Times New Roman" w:eastAsia="Times New Roman" w:hAnsi="Times New Roman"/>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ectPr>
          <w:pgSz w:w="11900" w:h="16838" w:orient="portrait"/>
          <w:cols w:equalWidth="0" w:num="1">
            <w:col w:w="11240"/>
          </w:cols>
          <w:pgMar w:left="320" w:top="927" w:right="339" w:bottom="1440" w:gutter="0" w:footer="0" w:header="0"/>
        </w:sectPr>
      </w:pPr>
    </w:p>
    <w:bookmarkStart w:id="10" w:name="page11"/>
    <w:bookmarkEnd w:id="10"/>
    <w:p>
      <w:pPr>
        <w:ind w:left="420"/>
        <w:spacing w:after="0"/>
        <w:rPr>
          <w:sz w:val="20"/>
          <w:szCs w:val="20"/>
          <w:color w:val="auto"/>
        </w:rPr>
      </w:pPr>
      <w:r>
        <w:rPr>
          <w:rFonts w:ascii="Times New Roman" w:cs="Times New Roman" w:eastAsia="Times New Roman" w:hAnsi="Times New Roman"/>
          <w:sz w:val="18"/>
          <w:szCs w:val="18"/>
          <w:color w:val="auto"/>
        </w:rPr>
        <w:t>The following table shows the reconciliation of these non-GAAP financial measures for the three months ended September 30, 2026 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the three months ended June 30, 2026:</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and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23"/>
        </w:trPr>
        <w:tc>
          <w:tcPr>
            <w:tcW w:w="6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23"/>
        </w:trPr>
        <w:tc>
          <w:tcPr>
            <w:tcW w:w="6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68,771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58,161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64,511</w:t>
            </w:r>
          </w:p>
        </w:tc>
      </w:tr>
      <w:tr>
        <w:trPr>
          <w:trHeight w:val="227"/>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 Income tax expense</w:t>
            </w:r>
          </w:p>
        </w:tc>
        <w:tc>
          <w:tcPr>
            <w:tcW w:w="36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19,426</w:t>
            </w:r>
          </w:p>
        </w:tc>
      </w:tr>
      <w:tr>
        <w:trPr>
          <w:trHeight w:val="205"/>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 Foreign exchange gain/(loss), net, interest expense, gain/(loss)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7"/>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from equity-method investment and 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3,358</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(GAAP)</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88,856</w:t>
            </w:r>
          </w:p>
        </w:tc>
        <w:tc>
          <w:tcPr>
            <w:tcW w:w="1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76,174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87,295</w:t>
            </w:r>
          </w:p>
        </w:tc>
      </w:tr>
      <w:tr>
        <w:trPr>
          <w:trHeight w:val="23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25,542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24,631</w:t>
            </w:r>
          </w:p>
        </w:tc>
      </w:tr>
      <w:tr>
        <w:trPr>
          <w:trHeight w:val="227"/>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36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6,297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3,258</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 Acquisition-related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122,480</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102,623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117,078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 margin as a % of revenue (Non-GAAP)</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19.3 %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19.7 %</w:t>
            </w:r>
          </w:p>
        </w:tc>
      </w:tr>
      <w:tr>
        <w:trPr>
          <w:trHeight w:val="227"/>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add: Depreciation on long-lived assets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12,568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11,818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11,346</w:t>
            </w:r>
          </w:p>
        </w:tc>
      </w:tr>
      <w:tr>
        <w:trPr>
          <w:trHeight w:val="251"/>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135,048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114,441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128,424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EBITDA margin as a % of revenue (Non-GAAP)</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21.3 %</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21.6 %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21.6 %</w:t>
            </w:r>
          </w:p>
        </w:tc>
      </w:tr>
    </w:tbl>
    <w:p>
      <w:pPr>
        <w:sectPr>
          <w:pgSz w:w="11900" w:h="16838" w:orient="portrait"/>
          <w:cols w:equalWidth="0" w:num="1">
            <w:col w:w="11240"/>
          </w:cols>
          <w:pgMar w:left="320" w:top="91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Diluted Earnings Per Share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68,771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64,511</w:t>
            </w:r>
          </w:p>
        </w:tc>
        <w:tc>
          <w:tcPr>
            <w:tcW w:w="0" w:type="dxa"/>
            <w:vAlign w:val="bottom"/>
          </w:tcPr>
          <w:p>
            <w:pPr>
              <w:spacing w:after="0"/>
              <w:rPr>
                <w:sz w:val="1"/>
                <w:szCs w:val="1"/>
                <w:color w:val="auto"/>
              </w:rPr>
            </w:pPr>
          </w:p>
        </w:tc>
      </w:tr>
      <w:tr>
        <w:trPr>
          <w:trHeight w:val="227"/>
        </w:trPr>
        <w:tc>
          <w:tcPr>
            <w:tcW w:w="6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25,542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24,631</w:t>
            </w:r>
          </w:p>
        </w:tc>
        <w:tc>
          <w:tcPr>
            <w:tcW w:w="0" w:type="dxa"/>
            <w:vAlign w:val="bottom"/>
          </w:tcPr>
          <w:p>
            <w:pPr>
              <w:spacing w:after="0"/>
              <w:rPr>
                <w:sz w:val="1"/>
                <w:szCs w:val="1"/>
                <w:color w:val="auto"/>
              </w:rPr>
            </w:pPr>
          </w:p>
        </w:tc>
      </w:tr>
      <w:tr>
        <w:trPr>
          <w:trHeight w:val="233"/>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0" w:type="dxa"/>
            <w:vAlign w:val="bottom"/>
          </w:tcPr>
          <w:p>
            <w:pPr>
              <w:spacing w:after="0"/>
              <w:rPr>
                <w:sz w:val="1"/>
                <w:szCs w:val="1"/>
                <w:color w:val="auto"/>
              </w:rPr>
            </w:pPr>
          </w:p>
        </w:tc>
      </w:tr>
      <w:tr>
        <w:trPr>
          <w:trHeight w:val="227"/>
        </w:trPr>
        <w:tc>
          <w:tcPr>
            <w:tcW w:w="6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 Changes in fair value of contingent consideration</w:t>
            </w:r>
          </w:p>
        </w:tc>
        <w:tc>
          <w:tcPr>
            <w:tcW w:w="8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33"/>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 Acquisition-related expenses</w:t>
            </w:r>
          </w:p>
        </w:tc>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0" w:type="dxa"/>
            <w:vAlign w:val="bottom"/>
          </w:tcPr>
          <w:p>
            <w:pPr>
              <w:spacing w:after="0"/>
              <w:rPr>
                <w:sz w:val="1"/>
                <w:szCs w:val="1"/>
                <w:color w:val="auto"/>
              </w:rPr>
            </w:pPr>
          </w:p>
        </w:tc>
      </w:tr>
      <w:tr>
        <w:trPr>
          <w:trHeight w:val="227"/>
        </w:trPr>
        <w:tc>
          <w:tcPr>
            <w:tcW w:w="6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 Amortization of prior service cost (a)</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32"/>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subtract: Tax impact on stock-based compensation expense (b)</w:t>
            </w:r>
          </w:p>
        </w:tc>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(6,097)</w:t>
            </w:r>
          </w:p>
        </w:tc>
        <w:tc>
          <w:tcPr>
            <w:tcW w:w="0" w:type="dxa"/>
            <w:vAlign w:val="bottom"/>
          </w:tcPr>
          <w:p>
            <w:pPr>
              <w:spacing w:after="0"/>
              <w:rPr>
                <w:sz w:val="1"/>
                <w:szCs w:val="1"/>
                <w:color w:val="auto"/>
              </w:rPr>
            </w:pPr>
          </w:p>
        </w:tc>
      </w:tr>
      <w:tr>
        <w:trPr>
          <w:trHeight w:val="227"/>
        </w:trPr>
        <w:tc>
          <w:tcPr>
            <w:tcW w:w="6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subtract: Tax impact on amortization of acquisition-related intangibles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33"/>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subtract: Tax impact on amortization of prior service cost</w:t>
            </w:r>
          </w:p>
        </w:tc>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27"/>
        </w:trPr>
        <w:tc>
          <w:tcPr>
            <w:tcW w:w="6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subtract: Tax impact on acquisition related expense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8"/>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94,586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90,798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(Non-GAAP)</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660" w:type="dxa"/>
            <w:vAlign w:val="bottom"/>
            <w:vMerge w:val="continue"/>
          </w:tcPr>
          <w:p>
            <w:pPr>
              <w:spacing w:after="0"/>
              <w:rPr>
                <w:sz w:val="17"/>
                <w:szCs w:val="17"/>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0.62</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0.48</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480" w:hanging="229"/>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exclude amortization of prior service cost arising from the implementation of the new Labor Codes in India.</w:t>
      </w:r>
    </w:p>
    <w:p>
      <w:pPr>
        <w:spacing w:after="0" w:line="113" w:lineRule="exact"/>
        <w:rPr>
          <w:rFonts w:ascii="Times New Roman" w:cs="Times New Roman" w:eastAsia="Times New Roman" w:hAnsi="Times New Roman"/>
          <w:sz w:val="16"/>
          <w:szCs w:val="16"/>
          <w:color w:val="auto"/>
        </w:rPr>
      </w:pPr>
    </w:p>
    <w:p>
      <w:pPr>
        <w:ind w:left="500" w:hanging="249"/>
        <w:spacing w:after="0" w:line="280" w:lineRule="auto"/>
        <w:tabs>
          <w:tab w:leader="none" w:pos="48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 includes $(55) and $64 during the three months ended September 30, 2026 and 2025 respectively, and $(17) during the three months ended June 30, 2026, related to discrete benefits recognized in income tax expense in accordance with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Thut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+1 617 413 0069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ir@exlservice.com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Little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Vice President, 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+1 703 598 0980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media.relations@exlservice.com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2026-10-27T15:06:04Z</dcterms:created>
  <dcterms:modified xsi:type="dcterms:W3CDTF">2026-10-27T15:06:04Z</dcterms:modified>
</cp:coreProperties>
</file>