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540329.xml.htm"/>
      <w:bookmarkStart w:id="1" w:name="kswkform4_17715403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AYYAPPAN AJAY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&amp; Gen Counsel/Corp. Sec'y.</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56,430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30.04</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54,877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57,372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30.04</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56,043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30.32</w:t>
            </w:r>
            <w:r>
              <w:rPr>
                <w:rFonts w:ascii="Times;serif" w:hAnsi="Times;serif"/>
                <w:color w:val="008000"/>
                <w:position w:val="7"/>
                <w:sz w:val="16"/>
                <w:sz w:val="20"/>
                <w:shd w:fill="FFFFFF" w:val="clear"/>
              </w:rPr>
              <w:t>(3)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54,817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30.32</w:t>
            </w:r>
            <w:r>
              <w:rPr>
                <w:rFonts w:ascii="Times;serif" w:hAnsi="Times;serif"/>
                <w:color w:val="008000"/>
                <w:position w:val="7"/>
                <w:sz w:val="16"/>
                <w:sz w:val="20"/>
                <w:shd w:fill="FFFFFF" w:val="clear"/>
              </w:rPr>
              <w:t>(3)</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53,768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2,495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of ExlService Holdings, Inc. (the "Company") convert into common stock, par value $0.001 per share (the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sale was made pursuant to a 10b5-1 plan previously entered into by the reporting person on August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16, 2022, the reporting person was granted 2,332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became vested on February 16, 2025, and the remaining balance of 25 percent of the restricted stock units became vested on February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February 15, 2023, the reporting person was granted 1,996 (pre-split) restricted stock units, vesting in four equal annual installments beginning on the first anniversary of the grant date. 25 percent of the restricted stock units became vested on February 15, 2024, an additional 25 percent of the restricted stock units became vested on February 15, 2025, an additional 25 percent of the restricted stock units became vested on February 15, 2026, and the remaining balance of 25 percent of the restricted stock units will vest on February 15,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2098"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954</Words>
  <Characters>5012</Characters>
  <CharactersWithSpaces>5852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