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00" w:hanging="617"/>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right="6859" w:hanging="846"/>
        <w:spacing w:after="0" w:line="342"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Lord, Abbett &amp; Co. LLC</w:t>
      </w:r>
    </w:p>
    <w:p>
      <w:pPr>
        <w:spacing w:after="0" w:line="339" w:lineRule="exact"/>
        <w:rPr>
          <w:rFonts w:ascii="Arial" w:cs="Arial" w:eastAsia="Arial" w:hAnsi="Arial"/>
          <w:sz w:val="16"/>
          <w:szCs w:val="16"/>
          <w:color w:val="auto"/>
        </w:rPr>
      </w:pPr>
    </w:p>
    <w:p>
      <w:pPr>
        <w:ind w:left="1240" w:hanging="846"/>
        <w:spacing w:after="0"/>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-347345</wp:posOffset>
            </wp:positionV>
            <wp:extent cx="6466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120" w:lineRule="exact"/>
        <w:rPr>
          <w:sz w:val="20"/>
          <w:szCs w:val="20"/>
          <w:color w:val="auto"/>
        </w:rPr>
      </w:pPr>
    </w:p>
    <w:p>
      <w:pPr>
        <w:ind w:left="1240"/>
        <w:spacing w:after="0"/>
        <w:tabs>
          <w:tab w:leader="none" w:pos="2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48895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97" w:lineRule="exact"/>
        <w:rPr>
          <w:sz w:val="20"/>
          <w:szCs w:val="20"/>
          <w:color w:val="auto"/>
        </w:rPr>
      </w:pPr>
    </w:p>
    <w:p>
      <w:pPr>
        <w:ind w:left="1240"/>
        <w:spacing w:after="0"/>
        <w:tabs>
          <w:tab w:leader="none" w:pos="2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57785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0159"/>
          </w:cols>
          <w:pgMar w:left="300" w:top="746"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64662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40005</wp:posOffset>
            </wp:positionV>
            <wp:extent cx="6466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900" w:right="5679" w:hanging="1328"/>
        <w:spacing w:after="0" w:line="308" w:lineRule="auto"/>
        <w:tabs>
          <w:tab w:leader="none" w:pos="1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1,584,443</w:t>
      </w:r>
    </w:p>
    <w:p>
      <w:pPr>
        <w:spacing w:after="0" w:line="362" w:lineRule="exact"/>
        <w:rPr>
          <w:rFonts w:ascii="Arial" w:cs="Arial" w:eastAsia="Arial" w:hAnsi="Arial"/>
          <w:sz w:val="17"/>
          <w:szCs w:val="17"/>
          <w:color w:val="auto"/>
        </w:rPr>
      </w:pPr>
    </w:p>
    <w:p>
      <w:pPr>
        <w:ind w:left="1900" w:right="5499" w:hanging="1328"/>
        <w:spacing w:after="0" w:line="277" w:lineRule="auto"/>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386" w:lineRule="exact"/>
        <w:rPr>
          <w:rFonts w:ascii="Arial" w:cs="Arial" w:eastAsia="Arial" w:hAnsi="Arial"/>
          <w:sz w:val="18"/>
          <w:szCs w:val="18"/>
          <w:color w:val="auto"/>
        </w:rPr>
      </w:pPr>
    </w:p>
    <w:p>
      <w:pPr>
        <w:ind w:left="1900" w:right="5339" w:hanging="1328"/>
        <w:spacing w:after="0" w:line="277" w:lineRule="auto"/>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1,760,148</w:t>
      </w:r>
    </w:p>
    <w:p>
      <w:pPr>
        <w:spacing w:after="0" w:line="386" w:lineRule="exact"/>
        <w:rPr>
          <w:rFonts w:ascii="Arial" w:cs="Arial" w:eastAsia="Arial" w:hAnsi="Arial"/>
          <w:sz w:val="18"/>
          <w:szCs w:val="18"/>
          <w:color w:val="auto"/>
        </w:rPr>
      </w:pPr>
    </w:p>
    <w:p>
      <w:pPr>
        <w:ind w:left="1900" w:right="5159" w:hanging="1328"/>
        <w:spacing w:after="0" w:line="277" w:lineRule="auto"/>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1169035</wp:posOffset>
            </wp:positionH>
            <wp:positionV relativeFrom="paragraph">
              <wp:posOffset>14605</wp:posOffset>
            </wp:positionV>
            <wp:extent cx="5257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-534035</wp:posOffset>
            </wp:positionV>
            <wp:extent cx="5257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-1082675</wp:posOffset>
            </wp:positionV>
            <wp:extent cx="5257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-1631315</wp:posOffset>
            </wp:positionV>
            <wp:extent cx="5257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360"/>
            <w:col w:w="8919"/>
          </w:cols>
          <w:pgMar w:left="300" w:top="746" w:right="1440" w:bottom="1440" w:gutter="0" w:footer="0" w:header="0"/>
          <w:type w:val="continuous"/>
        </w:sectPr>
      </w:pPr>
    </w:p>
    <w:p>
      <w:pPr>
        <w:spacing w:after="0" w:line="187" w:lineRule="exact"/>
        <w:rPr>
          <w:sz w:val="20"/>
          <w:szCs w:val="20"/>
          <w:color w:val="auto"/>
        </w:rPr>
      </w:pPr>
    </w:p>
    <w:p>
      <w:pPr>
        <w:ind w:left="1240" w:right="4119" w:hanging="846"/>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1,760,148</w:t>
      </w:r>
    </w:p>
    <w:p>
      <w:pPr>
        <w:spacing w:after="0" w:line="386" w:lineRule="exact"/>
        <w:rPr>
          <w:rFonts w:ascii="Arial" w:cs="Arial" w:eastAsia="Arial" w:hAnsi="Arial"/>
          <w:sz w:val="18"/>
          <w:szCs w:val="18"/>
          <w:color w:val="auto"/>
        </w:rPr>
      </w:pPr>
    </w:p>
    <w:p>
      <w:pPr>
        <w:ind w:left="1240" w:hanging="846"/>
        <w:spacing w:after="0"/>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 N/A</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240" w:right="5139" w:hanging="846"/>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5.48%</w:t>
      </w:r>
    </w:p>
    <w:p>
      <w:pPr>
        <w:spacing w:after="0" w:line="386" w:lineRule="exact"/>
        <w:rPr>
          <w:rFonts w:ascii="Arial" w:cs="Arial" w:eastAsia="Arial" w:hAnsi="Arial"/>
          <w:sz w:val="18"/>
          <w:szCs w:val="18"/>
          <w:color w:val="auto"/>
        </w:rPr>
      </w:pPr>
    </w:p>
    <w:p>
      <w:pPr>
        <w:ind w:left="1240" w:hanging="846"/>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40005</wp:posOffset>
            </wp:positionV>
            <wp:extent cx="6466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-508000</wp:posOffset>
            </wp:positionV>
            <wp:extent cx="64662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-1057275</wp:posOffset>
            </wp:positionV>
            <wp:extent cx="64662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-1468755</wp:posOffset>
            </wp:positionV>
            <wp:extent cx="64662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746"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380" w:right="8140" w:hanging="460"/>
        <w:spacing w:after="0" w:line="342"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Exlservice Holdings, Inc.</w:t>
      </w:r>
    </w:p>
    <w:p>
      <w:pPr>
        <w:spacing w:after="0" w:line="29" w:lineRule="exact"/>
        <w:rPr>
          <w:rFonts w:ascii="Arial" w:cs="Arial" w:eastAsia="Arial" w:hAnsi="Arial"/>
          <w:sz w:val="16"/>
          <w:szCs w:val="16"/>
          <w:color w:val="auto"/>
        </w:rPr>
      </w:pPr>
    </w:p>
    <w:p>
      <w:pPr>
        <w:ind w:left="1380" w:right="6540" w:hanging="460"/>
        <w:spacing w:after="0" w:line="212"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38735</wp:posOffset>
            </wp:positionV>
            <wp:extent cx="63715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-474980</wp:posOffset>
            </wp:positionV>
            <wp:extent cx="6371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380" w:right="8160" w:hanging="460"/>
        <w:spacing w:after="0" w:line="308"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Person Filing Lord, Abbett &amp; Co. LLC</w:t>
      </w:r>
    </w:p>
    <w:p>
      <w:pPr>
        <w:spacing w:after="0" w:line="51" w:lineRule="exact"/>
        <w:rPr>
          <w:rFonts w:ascii="Arial" w:cs="Arial" w:eastAsia="Arial" w:hAnsi="Arial"/>
          <w:sz w:val="17"/>
          <w:szCs w:val="17"/>
          <w:color w:val="auto"/>
        </w:rPr>
      </w:pPr>
    </w:p>
    <w:p>
      <w:pPr>
        <w:ind w:left="1380" w:right="5680" w:hanging="460"/>
        <w:spacing w:after="0" w:line="258"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90 Hudson Street</w:t>
      </w:r>
    </w:p>
    <w:p>
      <w:pPr>
        <w:spacing w:after="0" w:line="1"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Jersey City, NJ 07302.</w:t>
      </w:r>
    </w:p>
    <w:p>
      <w:pPr>
        <w:spacing w:after="0" w:line="116" w:lineRule="exact"/>
        <w:rPr>
          <w:rFonts w:ascii="Arial" w:cs="Arial" w:eastAsia="Arial" w:hAnsi="Arial"/>
          <w:sz w:val="18"/>
          <w:szCs w:val="18"/>
          <w:color w:val="auto"/>
        </w:rPr>
      </w:pPr>
    </w:p>
    <w:p>
      <w:pPr>
        <w:ind w:left="1380" w:hanging="460"/>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No. 4 on page 2.</w:t>
      </w:r>
    </w:p>
    <w:p>
      <w:pPr>
        <w:spacing w:after="0" w:line="116" w:lineRule="exact"/>
        <w:rPr>
          <w:rFonts w:ascii="Arial" w:cs="Arial" w:eastAsia="Arial" w:hAnsi="Arial"/>
          <w:sz w:val="18"/>
          <w:szCs w:val="18"/>
          <w:color w:val="auto"/>
        </w:rPr>
      </w:pPr>
    </w:p>
    <w:p>
      <w:pPr>
        <w:ind w:left="1380" w:right="8040" w:hanging="460"/>
        <w:spacing w:after="0" w:line="342"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See cover page.</w:t>
      </w:r>
    </w:p>
    <w:p>
      <w:pPr>
        <w:spacing w:after="0" w:line="29" w:lineRule="exact"/>
        <w:rPr>
          <w:rFonts w:ascii="Arial" w:cs="Arial" w:eastAsia="Arial" w:hAnsi="Arial"/>
          <w:sz w:val="16"/>
          <w:szCs w:val="16"/>
          <w:color w:val="auto"/>
        </w:rPr>
      </w:pPr>
    </w:p>
    <w:p>
      <w:pPr>
        <w:jc w:val="both"/>
        <w:ind w:left="1380" w:right="8820" w:hanging="460"/>
        <w:spacing w:after="0" w:line="381" w:lineRule="auto"/>
        <w:tabs>
          <w:tab w:leader="none" w:pos="1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CUSIP Number See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-29210</wp:posOffset>
            </wp:positionV>
            <wp:extent cx="6371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-381000</wp:posOffset>
            </wp:positionV>
            <wp:extent cx="6371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-732790</wp:posOffset>
            </wp:positionV>
            <wp:extent cx="63715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-1083945</wp:posOffset>
            </wp:positionV>
            <wp:extent cx="6371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-1572895</wp:posOffset>
            </wp:positionV>
            <wp:extent cx="6371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117" w:lineRule="exact"/>
        <w:rPr>
          <w:rFonts w:ascii="Arial" w:cs="Arial" w:eastAsia="Arial" w:hAnsi="Arial"/>
          <w:sz w:val="18"/>
          <w:szCs w:val="18"/>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117" w:lineRule="exact"/>
        <w:rPr>
          <w:rFonts w:ascii="Arial" w:cs="Arial" w:eastAsia="Arial" w:hAnsi="Arial"/>
          <w:sz w:val="18"/>
          <w:szCs w:val="18"/>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117" w:lineRule="exact"/>
        <w:rPr>
          <w:rFonts w:ascii="Arial" w:cs="Arial" w:eastAsia="Arial" w:hAnsi="Arial"/>
          <w:sz w:val="18"/>
          <w:szCs w:val="18"/>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17" w:lineRule="exact"/>
        <w:rPr>
          <w:rFonts w:ascii="Arial" w:cs="Arial" w:eastAsia="Arial" w:hAnsi="Arial"/>
          <w:sz w:val="18"/>
          <w:szCs w:val="18"/>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117" w:lineRule="exact"/>
        <w:rPr>
          <w:rFonts w:ascii="Arial" w:cs="Arial" w:eastAsia="Arial" w:hAnsi="Arial"/>
          <w:sz w:val="18"/>
          <w:szCs w:val="18"/>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780" w:hanging="914"/>
        <w:spacing w:after="0" w:line="277" w:lineRule="auto"/>
        <w:tabs>
          <w:tab w:leader="none" w:pos="1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320" w:hanging="45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(k)   o</w:t>
            </w:r>
          </w:p>
        </w:tc>
        <w:tc>
          <w:tcPr>
            <w:tcW w:w="7220" w:type="dxa"/>
            <w:vAlign w:val="bottom"/>
            <w:vMerge w:val="restart"/>
          </w:tcPr>
          <w:p>
            <w:pPr>
              <w:jc w:val="right"/>
              <w:spacing w:after="0"/>
              <w:rPr>
                <w:sz w:val="20"/>
                <w:szCs w:val="20"/>
                <w:color w:val="auto"/>
              </w:rPr>
            </w:pPr>
            <w:r>
              <w:rPr>
                <w:rFonts w:ascii="Arial" w:cs="Arial" w:eastAsia="Arial" w:hAnsi="Arial"/>
                <w:sz w:val="18"/>
                <w:szCs w:val="18"/>
                <w:color w:val="auto"/>
                <w:w w:val="94"/>
              </w:rPr>
              <w:t>§ 240.13d–1(b)(1)(ii)(J), please specify the type of institution:____________________________</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7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760" w:type="dxa"/>
            <w:vAlign w:val="bottom"/>
          </w:tcPr>
          <w:p>
            <w:pPr>
              <w:spacing w:after="0"/>
              <w:rPr>
                <w:sz w:val="24"/>
                <w:szCs w:val="24"/>
                <w:color w:val="auto"/>
              </w:rPr>
            </w:pPr>
          </w:p>
        </w:tc>
        <w:tc>
          <w:tcPr>
            <w:tcW w:w="7220" w:type="dxa"/>
            <w:vAlign w:val="bottom"/>
          </w:tcPr>
          <w:p>
            <w:pPr>
              <w:jc w:val="right"/>
              <w:ind w:right="30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66675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00" w:top="1175" w:right="25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500" w:right="7720" w:hanging="382"/>
        <w:spacing w:after="0" w:line="222" w:lineRule="auto"/>
        <w:tabs>
          <w:tab w:leader="none" w:pos="1500" w:val="left"/>
        </w:tabs>
        <w:numPr>
          <w:ilvl w:val="0"/>
          <w:numId w:val="8"/>
        </w:numPr>
        <w:rPr>
          <w:rFonts w:ascii="Arial" w:cs="Arial" w:eastAsia="Arial" w:hAnsi="Arial"/>
          <w:sz w:val="31"/>
          <w:szCs w:val="31"/>
          <w:color w:val="auto"/>
          <w:vertAlign w:val="superscript"/>
        </w:rPr>
      </w:pPr>
      <w:r>
        <w:rPr>
          <w:rFonts w:ascii="Arial" w:cs="Arial" w:eastAsia="Arial" w:hAnsi="Arial"/>
          <w:sz w:val="16"/>
          <w:szCs w:val="16"/>
          <w:color w:val="auto"/>
        </w:rPr>
        <w:t>Amount beneficially owned: See No. 9 on page 2.</w:t>
      </w:r>
    </w:p>
    <w:p>
      <w:pPr>
        <w:spacing w:after="0" w:line="32" w:lineRule="exact"/>
        <w:rPr>
          <w:rFonts w:ascii="Arial" w:cs="Arial" w:eastAsia="Arial" w:hAnsi="Arial"/>
          <w:sz w:val="31"/>
          <w:szCs w:val="31"/>
          <w:color w:val="auto"/>
          <w:vertAlign w:val="superscript"/>
        </w:rPr>
      </w:pPr>
    </w:p>
    <w:p>
      <w:pPr>
        <w:ind w:left="1500" w:hanging="387"/>
        <w:spacing w:after="0"/>
        <w:tabs>
          <w:tab w:leader="none" w:pos="150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Percent of class:</w:t>
      </w:r>
    </w:p>
    <w:p>
      <w:pPr>
        <w:spacing w:after="0" w:line="55" w:lineRule="exact"/>
        <w:rPr>
          <w:rFonts w:ascii="Arial" w:cs="Arial" w:eastAsia="Arial" w:hAnsi="Arial"/>
          <w:sz w:val="36"/>
          <w:szCs w:val="36"/>
          <w:color w:val="auto"/>
          <w:vertAlign w:val="superscript"/>
        </w:rPr>
      </w:pPr>
    </w:p>
    <w:p>
      <w:pPr>
        <w:ind w:left="1500"/>
        <w:spacing w:after="0"/>
        <w:rPr>
          <w:rFonts w:ascii="Arial" w:cs="Arial" w:eastAsia="Arial" w:hAnsi="Arial"/>
          <w:sz w:val="36"/>
          <w:szCs w:val="36"/>
          <w:color w:val="auto"/>
          <w:vertAlign w:val="superscript"/>
        </w:rPr>
      </w:pPr>
      <w:r>
        <w:rPr>
          <w:rFonts w:ascii="Arial" w:cs="Arial" w:eastAsia="Arial" w:hAnsi="Arial"/>
          <w:sz w:val="18"/>
          <w:szCs w:val="18"/>
          <w:color w:val="auto"/>
        </w:rPr>
        <w:t>See No. 11 on page 2.</w:t>
      </w:r>
    </w:p>
    <w:p>
      <w:pPr>
        <w:spacing w:after="0" w:line="39" w:lineRule="exact"/>
        <w:rPr>
          <w:rFonts w:ascii="Arial" w:cs="Arial" w:eastAsia="Arial" w:hAnsi="Arial"/>
          <w:sz w:val="36"/>
          <w:szCs w:val="36"/>
          <w:color w:val="auto"/>
          <w:vertAlign w:val="superscript"/>
        </w:rPr>
      </w:pPr>
    </w:p>
    <w:p>
      <w:pPr>
        <w:ind w:left="1500" w:hanging="382"/>
        <w:spacing w:after="0"/>
        <w:tabs>
          <w:tab w:leader="none" w:pos="150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240030</wp:posOffset>
            </wp:positionV>
            <wp:extent cx="6294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-213995</wp:posOffset>
            </wp:positionV>
            <wp:extent cx="6294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-668020</wp:posOffset>
            </wp:positionV>
            <wp:extent cx="6294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60" w:right="6400" w:hanging="414"/>
        <w:spacing w:after="0" w:line="193" w:lineRule="auto"/>
        <w:tabs>
          <w:tab w:leader="none" w:pos="206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Sole power to vote or to direct the vote See No. 5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69215</wp:posOffset>
            </wp:positionV>
            <wp:extent cx="59347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6" w:lineRule="exact"/>
        <w:rPr>
          <w:sz w:val="20"/>
          <w:szCs w:val="20"/>
          <w:color w:val="auto"/>
        </w:rPr>
      </w:pPr>
    </w:p>
    <w:p>
      <w:pPr>
        <w:ind w:left="2060" w:right="6220" w:hanging="439"/>
        <w:spacing w:after="0" w:line="193" w:lineRule="auto"/>
        <w:tabs>
          <w:tab w:leader="none" w:pos="206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Shared power to vote or to direct the vote See No. 6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69215</wp:posOffset>
            </wp:positionV>
            <wp:extent cx="59347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96" w:lineRule="exact"/>
        <w:rPr>
          <w:sz w:val="20"/>
          <w:szCs w:val="20"/>
          <w:color w:val="auto"/>
        </w:rPr>
      </w:pPr>
    </w:p>
    <w:p>
      <w:pPr>
        <w:ind w:left="2060" w:right="5500" w:hanging="464"/>
        <w:spacing w:after="0" w:line="193" w:lineRule="auto"/>
        <w:tabs>
          <w:tab w:leader="none" w:pos="206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Sole power to dispose or to direct the disposition of See No. 7 on page 2.</w:t>
      </w:r>
    </w:p>
    <w:p>
      <w:pPr>
        <w:spacing w:after="0" w:line="216" w:lineRule="exact"/>
        <w:rPr>
          <w:rFonts w:ascii="Arial" w:cs="Arial" w:eastAsia="Arial" w:hAnsi="Arial"/>
          <w:sz w:val="36"/>
          <w:szCs w:val="36"/>
          <w:color w:val="auto"/>
          <w:vertAlign w:val="superscript"/>
        </w:rPr>
      </w:pPr>
    </w:p>
    <w:p>
      <w:pPr>
        <w:ind w:left="2060" w:right="5320" w:hanging="459"/>
        <w:spacing w:after="0" w:line="193" w:lineRule="auto"/>
        <w:tabs>
          <w:tab w:leader="none" w:pos="206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Shared power to dispose or to direct the disposition of See No. 8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69215</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-384810</wp:posOffset>
            </wp:positionV>
            <wp:extent cx="5934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Securities reported on this Schedule 13G as being beneficially owned by Lord, Abbett &amp; Co. LLC are held on behalf on investment advisory clients, which may include investment companies registered under the Investment Company Act, employee benefit plans, pension funds or other institutional clients.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040" w:right="10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4" w:name="page5"/>
    <w:bookmarkEnd w:id="4"/>
    <w:p>
      <w:pPr>
        <w:ind w:left="60"/>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February 14, 2013</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Lawrence H. Kaplan</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Lawrence H. Kaplan/Member</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9"/>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2019-12-07T08:42:44Z</dcterms:created>
  <dcterms:modified xsi:type="dcterms:W3CDTF">2019-12-07T08:42:44Z</dcterms:modified>
</cp:coreProperties>
</file>