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Miglani Nalin Kumar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57"/>
        <w:spacing w:after="0"/>
        <w:rPr>
          <w:sz w:val="20"/>
          <w:szCs w:val="20"/>
          <w:color w:val="auto"/>
        </w:rPr>
      </w:pPr>
      <w:r>
        <w:rPr>
          <w:rFonts w:ascii="Times New Roman" w:cs="Times New Roman" w:eastAsia="Times New Roman" w:hAnsi="Times New Roman"/>
          <w:sz w:val="17"/>
          <w:szCs w:val="17"/>
          <w:color w:val="0000FF"/>
        </w:rPr>
        <w:t>EVP and Chief HR Officer</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6,660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6,660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02/17/2031</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6,660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line="243" w:lineRule="auto"/>
        <w:rPr>
          <w:sz w:val="20"/>
          <w:szCs w:val="20"/>
          <w:color w:val="auto"/>
        </w:rPr>
      </w:pPr>
      <w:r>
        <w:rPr>
          <w:rFonts w:ascii="Times New Roman" w:cs="Times New Roman" w:eastAsia="Times New Roman" w:hAnsi="Times New Roman"/>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701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2021-02-19T16:06:24Z</dcterms:created>
  <dcterms:modified xsi:type="dcterms:W3CDTF">2021-02-19T16:06:24Z</dcterms:modified>
</cp:coreProperties>
</file>