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09/10/2018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5,631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8.51</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24,477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09/10/2018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5,631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64.18</w:t>
            </w:r>
            <w:r>
              <w:rPr>
                <w:rFonts w:ascii="Arial" w:cs="Arial" w:eastAsia="Arial" w:hAnsi="Arial"/>
                <w:sz w:val="22"/>
                <w:szCs w:val="22"/>
                <w:color w:val="008000"/>
                <w:w w:val="93"/>
                <w:vertAlign w:val="superscript"/>
              </w:rPr>
              <w:t>(3)</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18,846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0"/>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5,631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8.505</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09/10/2018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5,631</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01/02/2019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line="149" w:lineRule="exact"/>
              <w:rPr>
                <w:sz w:val="20"/>
                <w:szCs w:val="20"/>
                <w:color w:val="auto"/>
              </w:rPr>
            </w:pPr>
            <w:r>
              <w:rPr>
                <w:rFonts w:ascii="Arial" w:cs="Arial" w:eastAsia="Arial" w:hAnsi="Arial"/>
                <w:sz w:val="14"/>
                <w:szCs w:val="14"/>
                <w:color w:val="0000FF"/>
                <w:w w:val="88"/>
              </w:rPr>
              <w:t>11,261</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10, 2018, the reporting person exercised previously issued options to purchase an aggregate of 5,631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$63.78 to $64.54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 2009, the reporting person was granted 16,892 stock options. 100 percent of these options became vested and exercisable on December 31, 2009.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09/12/2018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2019-12-23T21:59:43Z</dcterms:created>
  <dcterms:modified xsi:type="dcterms:W3CDTF">2019-12-23T21:59:43Z</dcterms:modified>
</cp:coreProperties>
</file>